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l4i6o6b24sc9" w:id="0"/>
      <w:bookmarkEnd w:id="0"/>
      <w:r w:rsidDel="00000000" w:rsidR="00000000" w:rsidRPr="00000000">
        <w:rPr>
          <w:rtl w:val="0"/>
        </w:rPr>
        <w:t xml:space="preserve">Memo</w:t>
      </w:r>
    </w:p>
    <w:p w:rsidR="00000000" w:rsidDel="00000000" w:rsidP="00000000" w:rsidRDefault="00000000" w:rsidRPr="00000000" w14:paraId="00000002">
      <w:pPr>
        <w:pStyle w:val="Heading4"/>
        <w:spacing w:line="360" w:lineRule="auto"/>
        <w:rPr>
          <w:color w:val="000000"/>
        </w:rPr>
      </w:pPr>
      <w:bookmarkStart w:colFirst="0" w:colLast="0" w:name="_rmjcxw97o89" w:id="1"/>
      <w:bookmarkEnd w:id="1"/>
      <w:r w:rsidDel="00000000" w:rsidR="00000000" w:rsidRPr="00000000">
        <w:rPr>
          <w:b w:val="1"/>
          <w:bCs w:val="1"/>
          <w:color w:val="000000"/>
          <w:rtl w:val="0"/>
        </w:rPr>
        <w:t xml:space="preserve">To</w:t>
      </w:r>
      <w:r w:rsidDel="00000000" w:rsidR="00000000" w:rsidRPr="00000000">
        <w:rPr>
          <w:color w:val="000000"/>
          <w:rtl w:val="0"/>
        </w:rPr>
        <w:t xml:space="preserve">: Dr. Derek G. Ross, Dr. Stewart Whittemore, and Dr. Susan Youngblood</w:t>
      </w:r>
    </w:p>
    <w:p w:rsidR="00000000" w:rsidDel="00000000" w:rsidP="00000000" w:rsidRDefault="00000000" w:rsidRPr="00000000" w14:paraId="00000003">
      <w:pPr>
        <w:pStyle w:val="Heading4"/>
        <w:spacing w:line="360" w:lineRule="auto"/>
        <w:rPr>
          <w:color w:val="000000"/>
        </w:rPr>
      </w:pPr>
      <w:bookmarkStart w:colFirst="0" w:colLast="0" w:name="_99fyeerq3bam" w:id="2"/>
      <w:bookmarkEnd w:id="2"/>
      <w:r w:rsidDel="00000000" w:rsidR="00000000" w:rsidRPr="00000000">
        <w:rPr>
          <w:b w:val="1"/>
          <w:bCs w:val="1"/>
          <w:color w:val="000000"/>
          <w:rtl w:val="0"/>
        </w:rPr>
        <w:t xml:space="preserve">From</w:t>
      </w:r>
      <w:r w:rsidDel="00000000" w:rsidR="00000000" w:rsidRPr="00000000">
        <w:rPr>
          <w:color w:val="000000"/>
          <w:rtl w:val="0"/>
        </w:rPr>
        <w:t xml:space="preserve">: V. Jasey Herrington</w:t>
      </w:r>
    </w:p>
    <w:p w:rsidR="00000000" w:rsidDel="00000000" w:rsidP="00000000" w:rsidRDefault="00000000" w:rsidRPr="00000000" w14:paraId="00000004">
      <w:pPr>
        <w:pStyle w:val="Heading4"/>
        <w:spacing w:line="360" w:lineRule="auto"/>
        <w:rPr>
          <w:color w:val="000000"/>
        </w:rPr>
      </w:pPr>
      <w:bookmarkStart w:colFirst="0" w:colLast="0" w:name="_ni9rv2pyi8xq" w:id="3"/>
      <w:bookmarkEnd w:id="3"/>
      <w:r w:rsidDel="00000000" w:rsidR="00000000" w:rsidRPr="00000000">
        <w:rPr>
          <w:b w:val="1"/>
          <w:bCs w:val="1"/>
          <w:color w:val="000000"/>
          <w:rtl w:val="0"/>
        </w:rPr>
        <w:t xml:space="preserve">Re</w:t>
      </w:r>
      <w:r w:rsidDel="00000000" w:rsidR="00000000" w:rsidRPr="00000000">
        <w:rPr>
          <w:color w:val="000000"/>
          <w:rtl w:val="0"/>
        </w:rPr>
        <w:t xml:space="preserve">: Advising as Pedagogy Meta-Analysis</w:t>
      </w:r>
    </w:p>
    <w:p w:rsidR="00000000" w:rsidDel="00000000" w:rsidP="00000000" w:rsidRDefault="00000000" w:rsidRPr="00000000" w14:paraId="00000005">
      <w:pPr>
        <w:pStyle w:val="Heading4"/>
        <w:spacing w:line="360" w:lineRule="auto"/>
        <w:rPr>
          <w:color w:val="000000"/>
        </w:rPr>
      </w:pPr>
      <w:bookmarkStart w:colFirst="0" w:colLast="0" w:name="_r36cabfv4meb" w:id="4"/>
      <w:bookmarkEnd w:id="4"/>
      <w:r w:rsidDel="00000000" w:rsidR="00000000" w:rsidRPr="00000000">
        <w:rPr>
          <w:b w:val="1"/>
          <w:bCs w:val="1"/>
          <w:color w:val="000000"/>
          <w:rtl w:val="0"/>
        </w:rPr>
        <w:t xml:space="preserve">Date</w:t>
      </w:r>
      <w:r w:rsidDel="00000000" w:rsidR="00000000" w:rsidRPr="00000000">
        <w:rPr>
          <w:color w:val="000000"/>
          <w:rtl w:val="0"/>
        </w:rPr>
        <w:t xml:space="preserve">: January 17th, 2026</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line="360" w:lineRule="auto"/>
        <w:rPr>
          <w:b w:val="1"/>
          <w:bCs w:val="1"/>
          <w:color w:val="000000"/>
        </w:rPr>
      </w:pPr>
      <w:bookmarkStart w:colFirst="0" w:colLast="0" w:name="_8xbcuh2nn353" w:id="5"/>
      <w:bookmarkEnd w:id="5"/>
      <w:r w:rsidDel="00000000" w:rsidR="00000000" w:rsidRPr="00000000">
        <w:rPr>
          <w:b w:val="1"/>
          <w:bCs w:val="1"/>
          <w:color w:val="000000"/>
          <w:rtl w:val="0"/>
        </w:rPr>
        <w:t xml:space="preserve">Audience and Purpose</w:t>
      </w:r>
    </w:p>
    <w:p w:rsidR="00000000" w:rsidDel="00000000" w:rsidP="00000000" w:rsidRDefault="00000000" w:rsidRPr="00000000" w14:paraId="00000009">
      <w:pPr>
        <w:spacing w:line="360" w:lineRule="auto"/>
        <w:rPr/>
      </w:pPr>
      <w:r w:rsidDel="00000000" w:rsidR="00000000" w:rsidRPr="00000000">
        <w:rPr>
          <w:rtl w:val="0"/>
        </w:rPr>
        <w:t xml:space="preserve">Advising as Pedagogy: Facilitating Transfer of Learning in One-on-One Spaces was initially conceived in ENGL 7040 and further developed in ENGL 7870: Special Topics in English Studies. The primary audience for this paper includes technical and professional communication and higher education scholars. This could also encompass those who are interested in the study of learning transfer, student success, and educational support structures. A secondary audience includes academic advisors and student services professionals who prioritize theoretically grounded language to legitimize their often unseen instructional labor.</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The purpose of the article is to argue that academic advising functions as a pedagogical space where students learn to advocate for themselves, develop academic literacies, and apply that knowledge across educational contexts. </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My role in this project was as sole author and researcher. My experience in the field of student services informed my approach and allowed me to combine theory with daily practice. This dual positioning allowed me to identify advising appointments as opportunities for rhetorical decision-making where audience, purpose and context is constantly renegotiated similar to classroom instruction. ENGL 7870 was the perfect opportunity to refine my original argument and deepen the literature review. </w:t>
      </w:r>
    </w:p>
    <w:p w:rsidR="00000000" w:rsidDel="00000000" w:rsidP="00000000" w:rsidRDefault="00000000" w:rsidRPr="00000000" w14:paraId="0000000E">
      <w:pPr>
        <w:pStyle w:val="Heading3"/>
        <w:spacing w:line="360" w:lineRule="auto"/>
        <w:rPr>
          <w:b w:val="1"/>
          <w:bCs w:val="1"/>
          <w:color w:val="000000"/>
        </w:rPr>
      </w:pPr>
      <w:bookmarkStart w:colFirst="0" w:colLast="0" w:name="_1ub9p7jw9fxd" w:id="6"/>
      <w:bookmarkEnd w:id="6"/>
      <w:r w:rsidDel="00000000" w:rsidR="00000000" w:rsidRPr="00000000">
        <w:rPr>
          <w:b w:val="1"/>
          <w:bCs w:val="1"/>
          <w:color w:val="000000"/>
          <w:rtl w:val="0"/>
        </w:rPr>
        <w:t xml:space="preserve">Goals and Editing Process</w:t>
      </w:r>
    </w:p>
    <w:p w:rsidR="00000000" w:rsidDel="00000000" w:rsidP="00000000" w:rsidRDefault="00000000" w:rsidRPr="00000000" w14:paraId="0000000F">
      <w:pPr>
        <w:spacing w:line="360" w:lineRule="auto"/>
        <w:rPr/>
      </w:pPr>
      <w:r w:rsidDel="00000000" w:rsidR="00000000" w:rsidRPr="00000000">
        <w:rPr>
          <w:rtl w:val="0"/>
        </w:rPr>
        <w:t xml:space="preserve">The central goal of this paper was to demonstrate how advising can facilitate transfer of learning and the development of academic literacies, particularly for first-generation and transfer students. My research question was “How can advisors help students recognize patterns in their learning and behavior and apply that knowledge across contexts and coursework?”. This guided both the structure of my paper and the theoretical lens. Rather than framing advising as prescriptive or supplemental, I sought to show how one-on-one advising appointments function as instructional encounters to develop student autonomy, learning, and decision-making. A related goal was to make visible the instructional labor done by advisors when it is often overlooked by higher education administrators.</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The writing and research process emphasized synthesis and reframing of understood principles. I analyzed my own advising practices through concepts familiar to TPC scholarship: audience awareness, usability, clarity, and responsiveness to context. This helped demonstrate that advising is not peripheral to technical communication, but an extension of it. I combined my understanding of the physical and material constraints of advising (high student loads, institutional expectations, diverse student needs) with my theoretical education in learning models and technical communication.</w:t>
      </w:r>
      <w:r w:rsidDel="00000000" w:rsidR="00000000" w:rsidRPr="00000000">
        <w:rPr>
          <w:rtl w:val="0"/>
        </w:rPr>
      </w:r>
    </w:p>
    <w:p w:rsidR="00000000" w:rsidDel="00000000" w:rsidP="00000000" w:rsidRDefault="00000000" w:rsidRPr="00000000" w14:paraId="00000012">
      <w:pPr>
        <w:pStyle w:val="Heading3"/>
        <w:spacing w:line="360" w:lineRule="auto"/>
        <w:rPr>
          <w:b w:val="1"/>
          <w:bCs w:val="1"/>
          <w:color w:val="000000"/>
        </w:rPr>
      </w:pPr>
      <w:bookmarkStart w:colFirst="0" w:colLast="0" w:name="_kh3alvjdx9nw" w:id="7"/>
      <w:bookmarkEnd w:id="7"/>
      <w:r w:rsidDel="00000000" w:rsidR="00000000" w:rsidRPr="00000000">
        <w:rPr>
          <w:b w:val="1"/>
          <w:bCs w:val="1"/>
          <w:color w:val="000000"/>
          <w:rtl w:val="0"/>
        </w:rPr>
        <w:t xml:space="preserve">Theories</w:t>
      </w:r>
    </w:p>
    <w:p w:rsidR="00000000" w:rsidDel="00000000" w:rsidP="00000000" w:rsidRDefault="00000000" w:rsidRPr="00000000" w14:paraId="00000013">
      <w:pPr>
        <w:spacing w:line="360" w:lineRule="auto"/>
        <w:rPr/>
      </w:pPr>
      <w:r w:rsidDel="00000000" w:rsidR="00000000" w:rsidRPr="00000000">
        <w:rPr>
          <w:rtl w:val="0"/>
        </w:rPr>
        <w:t xml:space="preserve">Several theoretical frameworks informed this project, including transfer of learning from Shipka’s </w:t>
      </w:r>
      <w:r w:rsidDel="00000000" w:rsidR="00000000" w:rsidRPr="00000000">
        <w:rPr>
          <w:i w:val="1"/>
          <w:iCs w:val="1"/>
          <w:rtl w:val="0"/>
        </w:rPr>
        <w:t xml:space="preserve">Toward a Composition Made Whole</w:t>
      </w:r>
      <w:r w:rsidDel="00000000" w:rsidR="00000000" w:rsidRPr="00000000">
        <w:rPr>
          <w:rtl w:val="0"/>
        </w:rPr>
        <w:t xml:space="preserve"> (Shipka, 2011), high and low road transfer methods from Perkins and Salomon (1992), and the New London Group’s </w:t>
      </w:r>
      <w:r w:rsidDel="00000000" w:rsidR="00000000" w:rsidRPr="00000000">
        <w:rPr>
          <w:i w:val="1"/>
          <w:iCs w:val="1"/>
          <w:rtl w:val="0"/>
        </w:rPr>
        <w:t xml:space="preserve">A Pedagogy of Multiliteracies </w:t>
      </w:r>
      <w:r w:rsidDel="00000000" w:rsidR="00000000" w:rsidRPr="00000000">
        <w:rPr>
          <w:rtl w:val="0"/>
        </w:rPr>
        <w:t xml:space="preserve">(1996). The rhetorical theory supported my position that advising serves an instructional, not only administrative function, while scholarship in composition and higher education emphasized applied, user-centered communication practices to help establish this role as one of technical communication.</w:t>
      </w:r>
    </w:p>
    <w:p w:rsidR="00000000" w:rsidDel="00000000" w:rsidP="00000000" w:rsidRDefault="00000000" w:rsidRPr="00000000" w14:paraId="00000014">
      <w:pPr>
        <w:pStyle w:val="Heading3"/>
        <w:spacing w:line="360" w:lineRule="auto"/>
        <w:rPr>
          <w:b w:val="1"/>
          <w:bCs w:val="1"/>
        </w:rPr>
      </w:pPr>
      <w:bookmarkStart w:colFirst="0" w:colLast="0" w:name="_84lsrs3oqwz4" w:id="8"/>
      <w:bookmarkEnd w:id="8"/>
      <w:r w:rsidDel="00000000" w:rsidR="00000000" w:rsidRPr="00000000">
        <w:rPr>
          <w:b w:val="1"/>
          <w:bCs w:val="1"/>
          <w:rtl w:val="0"/>
        </w:rPr>
        <w:t xml:space="preserve">Works Cited</w:t>
      </w:r>
    </w:p>
    <w:p w:rsidR="00000000" w:rsidDel="00000000" w:rsidP="00000000" w:rsidRDefault="00000000" w:rsidRPr="00000000" w14:paraId="00000015">
      <w:pPr>
        <w:spacing w:line="360" w:lineRule="auto"/>
        <w:ind w:left="360" w:hanging="360"/>
        <w:rPr/>
      </w:pPr>
      <w:r w:rsidDel="00000000" w:rsidR="00000000" w:rsidRPr="00000000">
        <w:rPr>
          <w:rtl w:val="0"/>
        </w:rPr>
        <w:t xml:space="preserve">New London Group. (1996). A pedagogy of multiliteracies: Designing social futures. Harvard</w:t>
      </w:r>
    </w:p>
    <w:p w:rsidR="00000000" w:rsidDel="00000000" w:rsidP="00000000" w:rsidRDefault="00000000" w:rsidRPr="00000000" w14:paraId="00000016">
      <w:pPr>
        <w:spacing w:line="360" w:lineRule="auto"/>
        <w:ind w:left="360" w:hanging="360"/>
        <w:rPr/>
      </w:pPr>
      <w:r w:rsidDel="00000000" w:rsidR="00000000" w:rsidRPr="00000000">
        <w:rPr>
          <w:rtl w:val="0"/>
        </w:rPr>
        <w:t xml:space="preserve">     Educational Review, 66(1), 60–92.</w:t>
      </w:r>
    </w:p>
    <w:p w:rsidR="00000000" w:rsidDel="00000000" w:rsidP="00000000" w:rsidRDefault="00000000" w:rsidRPr="00000000" w14:paraId="00000017">
      <w:pPr>
        <w:spacing w:line="360" w:lineRule="auto"/>
        <w:ind w:left="360" w:hanging="360"/>
        <w:rPr/>
      </w:pPr>
      <w:r w:rsidDel="00000000" w:rsidR="00000000" w:rsidRPr="00000000">
        <w:rPr>
          <w:rtl w:val="0"/>
        </w:rPr>
        <w:t xml:space="preserve">Perkins, D. N., &amp; Salomon, G. (1992). Transfer of learning. In The International Encyclopedia of Education (2nd ed.). Pergamon.</w:t>
      </w:r>
    </w:p>
    <w:p w:rsidR="00000000" w:rsidDel="00000000" w:rsidP="00000000" w:rsidRDefault="00000000" w:rsidRPr="00000000" w14:paraId="00000018">
      <w:pPr>
        <w:spacing w:line="360" w:lineRule="auto"/>
        <w:ind w:left="360" w:hanging="360"/>
        <w:rPr/>
      </w:pPr>
      <w:r w:rsidDel="00000000" w:rsidR="00000000" w:rsidRPr="00000000">
        <w:rPr>
          <w:rtl w:val="0"/>
        </w:rPr>
        <w:t xml:space="preserve">Shipka, J. (2011). Toward a composition made whole. University of Pittsburgh Press.</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