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Priprema za ogledni čas</w:t>
      </w:r>
    </w:p>
    <w:p>
      <w:r>
        <w:t>Islamska vjeronauka • VIII razred • 45 minuta • 16–19 učenika</w:t>
      </w:r>
    </w:p>
    <w:p>
      <w:r>
        <w:t>Nastavna jedinica: Vrednovanje djela u Zakonu Božijem. Tip: obrada i primjena. Nastavnik/škola/datum: __________________________</w:t>
      </w:r>
    </w:p>
    <w:p>
      <w:pPr>
        <w:pStyle w:val="Heading1"/>
      </w:pPr>
      <w:r>
        <w:t>Ishodi i dokazi učenja</w:t>
      </w:r>
    </w:p>
    <w:p>
      <w:r>
        <w:t>Učenik objašnjava fikh; razlikuje osam kategorija djela uz primjere iz udžbenika; razvrstava postupke uz uvažavanje okolnosti; objašnjava četiri termina sa str. 32. Ishodi se povezuju s B.8.5 iz dostavljenih radnih priprema, a primjena na odgovorno postupanje s C.8.5; formulacije prilagoditi važećem školskom kurikulumu.</w:t>
      </w:r>
    </w:p>
    <w:p>
      <w:r>
        <w:t>Uspješnost pratiti kroz obrazloženje barem dvije odluke u tabeli, razlikovanje obaveze od preporuke, povezivanje četiri termina i individualni kviz. Kviz je formativan; rezultat nije ocjena vjerske prakse učenika.</w:t>
      </w:r>
    </w:p>
    <w:p>
      <w:pPr>
        <w:pStyle w:val="Heading1"/>
      </w:pPr>
      <w:r>
        <w:t>Organizacija i sredstva</w:t>
      </w:r>
    </w:p>
    <w:p>
      <w:r>
        <w:t>Kratak rad u paru u uvodu i pojmovniku; pet grupa od 3–4 učenika za tabelu; individualni kviz i završni odgovor. U grupi rasporediti čitača, zapisničara i izvjestioca; četvrti član provjerava primjer u udžbeniku i prati vrijeme. U grupi od tri učenika ove zadatke dijele članovi. Ne tražiti javno iznošenje ličnih propusta.</w:t>
      </w:r>
    </w:p>
    <w:p>
      <w:r>
        <w:t>Udžbenik str. 29–32, očišćena prezentacija, HTML, tabela sa str. 31 i učenički listići. Za rad bez projektora pripremiti po jedan komplet za svakog učenika (do 19), pet primjeraka sažetka za grupe i nastavnički ključ. Odgovori A/B/C/D mogu se pisati na papiru.</w:t>
      </w:r>
    </w:p>
    <w:p>
      <w:pPr>
        <w:pStyle w:val="Heading1"/>
      </w:pPr>
      <w:r>
        <w:t>Tok časa – ukupno 45 minuta</w:t>
      </w:r>
    </w:p>
    <w:p>
      <w:pPr>
        <w:pStyle w:val="Heading2"/>
      </w:pPr>
      <w:r>
        <w:t>0–4 minuta | Uvodna pitanja</w:t>
      </w:r>
    </w:p>
    <w:p>
      <w:r>
        <w:t>Nastavnik: Prikaži primjere: dnevni namaz, slobodna šetnja i krađa. Pitaj jesu li jednako obavezni ili dopušteni.</w:t>
      </w:r>
    </w:p>
    <w:p>
      <w:r>
        <w:t>Učenici: Najprije razmisle samostalno, potom kratko razmijene odgovor u paru.</w:t>
      </w:r>
    </w:p>
    <w:p>
      <w:r>
        <w:t>Praćenje: Dva para obrazlažu razliku.</w:t>
      </w:r>
    </w:p>
    <w:p>
      <w:pPr>
        <w:pStyle w:val="Heading2"/>
      </w:pPr>
      <w:r>
        <w:t>4–16 minuta | Pojmovi iz udžbenika</w:t>
      </w:r>
    </w:p>
    <w:p>
      <w:r>
        <w:t>Nastavnik: Uz prezentaciju objasni fikh i osam kategorija, koristeći primjere sa str. 29–30. Kratko poveži halal i haram s porukom ajeta.</w:t>
      </w:r>
    </w:p>
    <w:p>
      <w:r>
        <w:t>Učenici: Prate str. 29–30; postavljaju pitanja o razlikama farz–vadžib i mubah–haram.</w:t>
      </w:r>
    </w:p>
    <w:p>
      <w:r>
        <w:t>Praćenje: Kratko provjeri razumijevanje poslije svakog para pojmova.</w:t>
      </w:r>
    </w:p>
    <w:p>
      <w:pPr>
        <w:pStyle w:val="Heading2"/>
      </w:pPr>
      <w:r>
        <w:t>16–25 minuta | Tabela sa 31. strane</w:t>
      </w:r>
    </w:p>
    <w:p>
      <w:r>
        <w:t>Nastavnik: Podijeli cijelu tabelu svakom učeniku ili paru. Pet grupa obrađuje redove: 1–3, 4–6, 7–9, 10–12 i 13–14. Nakon 4 minute slijedi zajednička provjera svih redova.</w:t>
      </w:r>
    </w:p>
    <w:p>
      <w:r>
        <w:t>Učenici: Svaka grupa predlaže kategorije svojih redova; svi dopunjavaju svih 14 redova u vlastitoj tabeli.</w:t>
      </w:r>
    </w:p>
    <w:p>
      <w:r>
        <w:t>Praćenje: Provjeri i obrazloženja; kod uslovljenih primjera objasni okolnosti. Tabela nije test brzine.</w:t>
      </w:r>
    </w:p>
    <w:p>
      <w:r>
        <w:br w:type="page"/>
      </w:r>
    </w:p>
    <w:p>
      <w:pPr>
        <w:pStyle w:val="Heading2"/>
      </w:pPr>
      <w:r>
        <w:t>25–29 minuta | Termini sa 32. strane</w:t>
      </w:r>
    </w:p>
    <w:p>
      <w:r>
        <w:t>Nastavnik: Pokreni povezivanje četiri termina i značenja te dopunjavanje rečenica.</w:t>
      </w:r>
    </w:p>
    <w:p>
      <w:r>
        <w:t>Učenici: Rade u paru; zatim provjeravaju kategorično, imperativ, mutevatir hadis i zinaluk.</w:t>
      </w:r>
    </w:p>
    <w:p>
      <w:r>
        <w:t>Praćenje: Svaki učenik svojim riječima objašnjava jedan termin.</w:t>
      </w:r>
    </w:p>
    <w:p>
      <w:pPr>
        <w:pStyle w:val="Heading2"/>
      </w:pPr>
      <w:r>
        <w:t>29–40 minuta | Kviz od 12 pitanja</w:t>
      </w:r>
    </w:p>
    <w:p>
      <w:r>
        <w:t>Nastavnik: Prikaži svih 12 pitanja. Daj oko 35–40 sekundi za odgovor i kratku povratnu informaciju.</w:t>
      </w:r>
    </w:p>
    <w:p>
      <w:r>
        <w:t>Učenici: Samostalno biraju A/B/C/D na papiru ili uređaju; zatim provjeravaju odgovore.</w:t>
      </w:r>
    </w:p>
    <w:p>
      <w:r>
        <w:t>Praćenje: Kviz je formativan. Rezultat 12 pitanja i objašnjenja dostupni su u HTML-u.</w:t>
      </w:r>
    </w:p>
    <w:p>
      <w:pPr>
        <w:pStyle w:val="Heading2"/>
      </w:pPr>
      <w:r>
        <w:t>40–43 minuta | Individualna završna provjera</w:t>
      </w:r>
    </w:p>
    <w:p>
      <w:r>
        <w:t>Nastavnik: Zatraži jedan primjer mubaha s razlogom i značenje jednog novog termina.</w:t>
      </w:r>
    </w:p>
    <w:p>
      <w:r>
        <w:t>Učenici: Pišu dva kratka odgovora bez pomoći grupe.</w:t>
      </w:r>
    </w:p>
    <w:p>
      <w:r>
        <w:t>Praćenje: Provjeri samostalno razumijevanje, ne samo grupni uspjeh.</w:t>
      </w:r>
    </w:p>
    <w:p>
      <w:pPr>
        <w:pStyle w:val="Heading2"/>
      </w:pPr>
      <w:r>
        <w:t>43–45 minuta | Zaključak i zadaća</w:t>
      </w:r>
    </w:p>
    <w:p>
      <w:r>
        <w:t>Nastavnik: Vrati se na uvodna pitanja. Za zadaću ponuditi mapu pojmova ili poruku hadisa o ustrajnosti sa str. 32.</w:t>
      </w:r>
    </w:p>
    <w:p>
      <w:r>
        <w:t>Učenici: Navode jednu naučenu razliku i biraju zadaću.</w:t>
      </w:r>
    </w:p>
    <w:p>
      <w:r>
        <w:t>Praćenje: Zabilježi pojam koji treba ponoviti.</w:t>
      </w:r>
    </w:p>
    <w:p>
      <w:r>
        <w:t>Tempo: osnovne pojmove obraditi do 16. minute. Dopunske poruke iz udžbenika (dova, upoznavanje drugih religijskih tradicija i hadis o ustrajnosti) nalaze se u prezentaciji; kratko ih povezati s glavnom porukom ili dati za samostalno čitanje. Ne skraćivati kviz: ostaje svih 12 pitanja. Dodatne stare kartice i slučajevi u HTML-u služe vježbanju izvan osnovnog toka.</w:t>
      </w:r>
    </w:p>
    <w:p>
      <w:r>
        <w:br w:type="page"/>
      </w:r>
    </w:p>
    <w:p>
      <w:pPr>
        <w:pStyle w:val="Heading1"/>
      </w:pPr>
      <w:r>
        <w:t>Pojmovi i primjeri iz udžbenika</w:t>
      </w:r>
    </w:p>
    <w:p>
      <w:pPr>
        <w:pStyle w:val="Heading2"/>
      </w:pPr>
      <w:r>
        <w:t>Farz | str. 29</w:t>
      </w:r>
    </w:p>
    <w:p>
      <w:r>
        <w:t>Stroga vjerska dužnost, naredba Uzvišenog Stvoritelja kojom se imperativno zahtijeva od punoljetne osobe činjenje određenog djela. Za izvršavanje slijedi nagrada, a za izostavljanje kazna.</w:t>
      </w:r>
    </w:p>
    <w:p>
      <w:r>
        <w:t>Primjeri iz lekcije: Namaz; pet islamskih dužnosti kao obaveze pojedinca; dženaza-namaz kao obaveza zajednice.</w:t>
      </w:r>
    </w:p>
    <w:p>
      <w:pPr>
        <w:pStyle w:val="Heading2"/>
      </w:pPr>
      <w:r>
        <w:t>Vadžib | str. 29</w:t>
      </w:r>
    </w:p>
    <w:p>
      <w:r>
        <w:t>Allahova, dž.š., naredba u blažoj formi od farza. Zahtjev za činjenjem djela propisanog pojedinačnim predajama od Poslanika, a.s.</w:t>
      </w:r>
    </w:p>
    <w:p>
      <w:r>
        <w:t>Primjeri iz lekcije: Sadekatu-l-fitr i klanjanje vitr-namaza.</w:t>
      </w:r>
    </w:p>
    <w:p>
      <w:pPr>
        <w:pStyle w:val="Heading2"/>
      </w:pPr>
      <w:r>
        <w:t>Sunnet | str. 29</w:t>
      </w:r>
    </w:p>
    <w:p>
      <w:r>
        <w:t>Djela koja je radio Muhammed, a.s., i preporučio ih i nama. Njihovim izvršavanjem možemo zaslužiti nagradu i šefaat Muhammeda, a.s.</w:t>
      </w:r>
    </w:p>
    <w:p>
      <w:r>
        <w:t>Primjeri iz lekcije: Sunneti i sunsunneti dnevnih namaza.</w:t>
      </w:r>
    </w:p>
    <w:p>
      <w:pPr>
        <w:pStyle w:val="Heading2"/>
      </w:pPr>
      <w:r>
        <w:t>Mustehab | str. 29–30</w:t>
      </w:r>
    </w:p>
    <w:p>
      <w:r>
        <w:t>Ono što je preporučeno i lijepo činiti. Izvršavanje se nagrađuje, a izostavljanje ne kažnjava.</w:t>
      </w:r>
    </w:p>
    <w:p>
      <w:r>
        <w:t>Primjeri iz lekcije: Klanjanje u džematu — primjer naveden u udžbeniku.</w:t>
      </w:r>
    </w:p>
    <w:p>
      <w:pPr>
        <w:pStyle w:val="Heading2"/>
      </w:pPr>
      <w:r>
        <w:t>Mubah | str. 30</w:t>
      </w:r>
    </w:p>
    <w:p>
      <w:r>
        <w:t>Djelo čije se izvršavanje ili neizvršavanje ostavlja osobi na slobodan izbor. Za samo izvršenje ili neizvršenje osoba nema ni nagradu ni kaznu.</w:t>
      </w:r>
    </w:p>
    <w:p>
      <w:r>
        <w:t>Primjeri iz lekcije: Izbor da jedemo, spavamo, šetamo i slično.</w:t>
      </w:r>
    </w:p>
    <w:p>
      <w:pPr>
        <w:pStyle w:val="Heading2"/>
      </w:pPr>
      <w:r>
        <w:t>Haram | str. 30</w:t>
      </w:r>
    </w:p>
    <w:p>
      <w:r>
        <w:t>Ono što Uzvišeni Allah strogo zabranjuje. Imperativna zabrana utemeljena na jasnom kur’anskom ajetu ili hadisu; zahtijeva nečinjenje djela.</w:t>
      </w:r>
    </w:p>
    <w:p>
      <w:r>
        <w:t>Primjeri iz lekcije: Pijenje alkohola, kockanje, krađa i zinaluk.</w:t>
      </w:r>
    </w:p>
    <w:p>
      <w:pPr>
        <w:pStyle w:val="Heading2"/>
      </w:pPr>
      <w:r>
        <w:t>Mekruh | str. 30</w:t>
      </w:r>
    </w:p>
    <w:p>
      <w:r>
        <w:t>Djelo koje je pokuđeno, ružno činiti. Mekruh-i tahrimen su djela bliska haramu, a mekruh-i tenzihen djela koja nije lijepo činiti.</w:t>
      </w:r>
    </w:p>
    <w:p>
      <w:r>
        <w:t>Primjeri iz lekcije: Tahrimen: rasipništvo i prenošenje tuđih riječi. Tenzihen: pričati u vrijeme učenja Kur’ana ili ezana.</w:t>
      </w:r>
    </w:p>
    <w:p>
      <w:pPr>
        <w:pStyle w:val="Heading2"/>
      </w:pPr>
      <w:r>
        <w:t>Mufsid | str. 30</w:t>
      </w:r>
    </w:p>
    <w:p>
      <w:r>
        <w:t>Djelo, radnja ili stanje koje kvari vjerski obred.</w:t>
      </w:r>
    </w:p>
    <w:p>
      <w:r>
        <w:t>Primjeri iz lekcije: Udžbenik navodi govor u namazu, san i uzimanje hrane ili pića u vrijeme posta. Preciziranje: obični govor kvari namaz, ali sam po sebi ne abdest; kod sna i jela/pića važni su uslovi.</w:t>
      </w:r>
    </w:p>
    <w:p>
      <w:r>
        <w:t>Stručna napomena: udžbenički primjer mufsida s govorom i abdestom nije precizan. Obični namjerni govor kvari namaz, ali sam po sebi ne kvari abdest. San procjenjujemo prema njegovim okolnostima; za primjer prekidanja posta govorimo o namjernom uzimanju hrane ili pića, ne zaboravu. Primjer džemata naveden je prema udžbeniku, a detaljni propisi zavise od namaza i okolnosti.</w:t>
      </w:r>
    </w:p>
    <w:p>
      <w:r>
        <w:br w:type="page"/>
      </w:r>
    </w:p>
    <w:p>
      <w:pPr>
        <w:pStyle w:val="Heading1"/>
      </w:pPr>
      <w:r>
        <w:t>Nastavnički ključ tabele</w:t>
      </w:r>
    </w:p>
    <w:p>
      <w:r>
        <w:t>Prijedlog rješenja u hanefijskom nastavnom okviru; ovo nije prepisan ključ iz udžbenika. Pri procjeni prihvatiti obrazloženje okolnosti. Mendub u ovoj tabeli obuhvata preporučena djela, uključujući sunnet.</w:t>
      </w:r>
    </w:p>
    <w:p>
      <w:r>
        <w:t>1. Klanjanje bajram-namaza — Vadžib. Vadžib u hanefijskom učenju za osobu na koju se obaveza odnosi.</w:t>
      </w:r>
    </w:p>
    <w:p>
      <w:r>
        <w:t>2. Nošenje odjeće od svile muškarcu — Haram. Prirodna svila za muškarca, bez izuzetka zbog opravdane potrebe; vještačka svila nije isto.</w:t>
      </w:r>
    </w:p>
    <w:p>
      <w:r>
        <w:t>3. Klanjanje nafile pred sami zalazak Sunca — Mekruh tahrimen. Mekruh tahrimen: nafila u vrijeme neposredno pred zalazak Sunca.</w:t>
      </w:r>
    </w:p>
    <w:p>
      <w:r>
        <w:t>4. Ruku’ u namazu — Farz. Ruku’ je namaski farz.</w:t>
      </w:r>
    </w:p>
    <w:p>
      <w:r>
        <w:t>5. Upotreba mirisa u ihramima — Haram. Upotreba mirisa nakon stupanja u ihramske zabrane; razlikovati od mirisanja prije ihrama.</w:t>
      </w:r>
    </w:p>
    <w:p>
      <w:r>
        <w:t>6. Klanje kurbana — Vadžib. Vadžib za osobu koja ispunjava uslove.</w:t>
      </w:r>
    </w:p>
    <w:p>
      <w:r>
        <w:t>7. Neposlušnost roditeljima — Haram. Neposlušnost u onome što je dobro i dozvoljeno. Nema poslušnosti ljudima u grijehu.</w:t>
      </w:r>
    </w:p>
    <w:p>
      <w:r>
        <w:t>8. Zapisivanje duga — Mendub. Mendub kao preporuka zapisivanja radi zaštite prava u uobičajenoj situaciji.</w:t>
      </w:r>
    </w:p>
    <w:p>
      <w:r>
        <w:t>9. Neklanjanje sunsunneta — Mekruh tenzihen. Mekruh tenzihen kao školsko svrstavanje izostavljanja sunneta. Potrebno je razlikovati opravdan izostanak od ustrajnog zanemarivanja pritvrđenog sunneta.</w:t>
      </w:r>
    </w:p>
    <w:p>
      <w:r>
        <w:t>10. Šetati u slobodno vrijeme — Mubah. Mubah u slobodno vrijeme, bez izostavljanja obaveza.</w:t>
      </w:r>
    </w:p>
    <w:p>
      <w:r>
        <w:t>11. Klanjanje teravih-namaza — Mendub. Mendub je u ovoj tabeli širi naziv za preporučena djela; teravih-namaz je pritvrđeni sunnet.</w:t>
      </w:r>
    </w:p>
    <w:p>
      <w:r>
        <w:t>12. Ramazanski post — Farz. Farz za osobu na koju se obaveza posta odnosi.</w:t>
      </w:r>
    </w:p>
    <w:p>
      <w:r>
        <w:t>13. Klanjati ikindijske sunnete — Mendub. Mendub; ikindijski sunneti su nepritvrđeni sunnet.</w:t>
      </w:r>
    </w:p>
    <w:p>
      <w:r>
        <w:t>14. Otići na izlet — Mubah. Mubah ako su sadržaj i okolnosti izleta dozvoljeni.</w:t>
      </w:r>
    </w:p>
    <w:p>
      <w:pPr>
        <w:pStyle w:val="Heading1"/>
      </w:pPr>
      <w:r>
        <w:t>Termini sa strane 32</w:t>
      </w:r>
    </w:p>
    <w:p>
      <w:r>
        <w:t>Kategorično — O čemu nema sumnje; sigurno, bezuvjetno, tačno određeno.</w:t>
      </w:r>
    </w:p>
    <w:p>
      <w:r>
        <w:t>Imperativ — Zapovijed, naredba.</w:t>
      </w:r>
    </w:p>
    <w:p>
      <w:r>
        <w:t>Mutevatir hadis — Hadis koji iz generacije u generaciju prenosi veliki broj prenosilaca tako da je isključena ikakva sumnja u njegovu vjerodostojnost.</w:t>
      </w:r>
    </w:p>
    <w:p>
      <w:r>
        <w:t>Zinaluk — Blud.</w:t>
      </w:r>
    </w:p>
    <w:p>
      <w:r>
        <w:t>Povezivanje u listiću: 1–C, 2–D, 3–A, 4–B. Dopune: kategorično; imperativ; mutevatir hadis; zinaluk. Zinaluk pojasniti kratko i primjereno uzrastu, u okviru udžbeničkog značenja, bez ličnih pitanja.</w:t>
      </w:r>
    </w:p>
    <w:p>
      <w:r>
        <w:br w:type="page"/>
      </w:r>
    </w:p>
    <w:p>
      <w:pPr>
        <w:pStyle w:val="Heading1"/>
      </w:pPr>
      <w:r>
        <w:t>Ključ kviza – svih 12 pitanja</w:t>
      </w:r>
    </w:p>
    <w:p>
      <w:r>
        <w:t>1. A — Fikh proučava propise o ljudskim djelima. Udžbenik, str. 29.</w:t>
      </w:r>
    </w:p>
    <w:p>
      <w:r>
        <w:t>2. B — Ramazanski post je farz za osobu na koju se obaveza odnosi. Str. 29 i 31.</w:t>
      </w:r>
    </w:p>
    <w:p>
      <w:r>
        <w:t>3. C — Vitr-namaz je primjer vadžiba u hanefijskom učenju. Str. 29.</w:t>
      </w:r>
    </w:p>
    <w:p>
      <w:r>
        <w:t>4. D — Dozvoljena šetnja u slobodno vrijeme primjer je mubaha. Str. 30.</w:t>
      </w:r>
    </w:p>
    <w:p>
      <w:r>
        <w:t>5. A — Mufsid se povezuje s konkretnim ibadetom. Govor kvari namaz; sam govor nije uzrok gubitka abdesta.</w:t>
      </w:r>
    </w:p>
    <w:p>
      <w:r>
        <w:t>6. C — Postoje različiti stepeni obaveznosti i zabrane. Ne zaključujemo samo prema popularnosti.</w:t>
      </w:r>
    </w:p>
    <w:p>
      <w:r>
        <w:t>7. B — Mustehab je preporučeno i lijepo djelo. Str. 29–30.</w:t>
      </w:r>
    </w:p>
    <w:p>
      <w:r>
        <w:t>8. D — Udžbenik navodi sunnete i sunsunnete dnevnih namaza. Str. 29.</w:t>
      </w:r>
    </w:p>
    <w:p>
      <w:r>
        <w:t>9. B — Krađa je strogo zabranjena. Str. 30.</w:t>
      </w:r>
    </w:p>
    <w:p>
      <w:r>
        <w:t>10. A — Mekruh je pokuđeno djelo; nije isto što i mubah. Str. 30.</w:t>
      </w:r>
    </w:p>
    <w:p>
      <w:r>
        <w:t>11. C — Razlika farz–vadžib ne znači da je vadžib neobavezan.</w:t>
      </w:r>
    </w:p>
    <w:p>
      <w:r>
        <w:t>12. D — Fardi kifaje je obaveza zajednice: kada je dovoljan broj izvrši, ostali su oslobođeni. Str. 29 i 32.</w:t>
      </w:r>
    </w:p>
    <w:p>
      <w:pPr>
        <w:pStyle w:val="Heading1"/>
      </w:pPr>
      <w:r>
        <w:t>Podrška i rezervni plan</w:t>
      </w:r>
    </w:p>
    <w:p>
      <w:r>
        <w:t>Učeniku kojem treba podrška dati sažetak pojmova, pročitati dužu rečenicu i omogućiti odgovor uz partnera u aktivnosti. Naprednijem učeniku zadati da navede okolnost koja mijenja procjenu primjera. Individualni kviz ostaje zajednički, uz prilagođeno vrijeme ako je predviđeno podrškom.</w:t>
      </w:r>
    </w:p>
    <w:p>
      <w:r>
        <w:t>Bez interneta otvoriti preuzeti HTML ili PPTX. Bez ekrana koristiti sažetak, tabelu i štampani kviz od 12 pitanja. Nastavnik čita pitanja, učenici upisuju slovo. Ako tehnika ne proradi u jednoj minuti, prijeći na papir. Za završnu provjeru učenik piše primjer mubaha s razlogom i objašnjava jedan novi termin.</w:t>
      </w:r>
    </w:p>
    <w:p>
      <w:pPr>
        <w:pStyle w:val="Heading1"/>
      </w:pPr>
      <w:r>
        <w:t>Izvori i osvrt nakon časa</w:t>
      </w:r>
    </w:p>
    <w:p>
      <w:r>
        <w:t>Osnovni izvor: dostavljeni udžbenik, štampane str. 29–32 (PDF str. 25–28); dvije radne pripreme u jednom DOCX-u i radna prezentacija. Definicije i primjeri sažeti prema lekciji. Tabela prenosi sve nazive i postupke.</w:t>
      </w:r>
    </w:p>
    <w:p>
      <w:r>
        <w:t>https://islamskazajednica.ba/index.php/namaz-ezan/3108-o-namazu</w:t>
      </w:r>
    </w:p>
    <w:p>
      <w:r>
        <w:t>https://islamskazajednica.ba/index.php/abdest-tjelesna-cistoca/4898-pitanja-o-abdestu</w:t>
      </w:r>
    </w:p>
    <w:p>
      <w:r>
        <w:t>https://www.islam.ba/teme/fikh/namaski-mekruhi</w:t>
      </w:r>
    </w:p>
    <w:p>
      <w:r>
        <w:t>https://www.islam.ba/teme/fikh/detaljno-o-hadzu-propisi</w:t>
      </w:r>
    </w:p>
    <w:p>
      <w:r>
        <w:t>Osvrt: Koje su razlike učenici samostalno objasnili? Koji red tabele je tražio dodatni kontekst? Šta ponoviti narednog časa? ____________________</w:t>
      </w:r>
    </w:p>
    <w:p>
      <w:r>
        <w:br w:type="page"/>
      </w:r>
    </w:p>
    <w:p>
      <w:pPr>
        <w:pStyle w:val="Heading1"/>
      </w:pPr>
      <w:r>
        <w:t>Slučajevi za pet grupa</w:t>
      </w:r>
    </w:p>
    <w:p>
      <w:r>
        <w:t>Grupe A–E imaju po 3–4 učenika. Za 16 učenika raspored je 4 + 3 + 3 + 3 + 3, a za 19 učenika 4 + 4 + 4 + 4 + 3. Svakoj grupi dodijeliti jedan slučaj; učenici pročitaju, dogovore zaključak i obrazlože ga. Dati 3 minute za dogovor i do 1 minutu po grupi za izvještaj. Aktivnost je dopunska; ako se koristi na istom času uz cijelu tabelu i kviz, planirati dodatno vrijeme.</w:t>
      </w:r>
    </w:p>
    <w:p>
      <w:pPr>
        <w:pStyle w:val="Heading2"/>
      </w:pPr>
      <w:r>
        <w:t>Grupa A</w:t>
      </w:r>
    </w:p>
    <w:p>
      <w:r>
        <w:t>Šetnja je mubah. Između obaveznog i zabranjenog postoje i druge kategorije; ono što nije farz nije automatski haram.</w:t>
      </w:r>
    </w:p>
    <w:p>
      <w:pPr>
        <w:pStyle w:val="Heading2"/>
      </w:pPr>
      <w:r>
        <w:t>Grupa B</w:t>
      </w:r>
    </w:p>
    <w:p>
      <w:r>
        <w:t>Vitr je vadžib prema lekciji i hanefijskom učenju. Vadžib jeste obaveza; razlika u odnosu na farz odnosi se na dokaz, ne na slobodan izbor.</w:t>
      </w:r>
    </w:p>
    <w:p>
      <w:pPr>
        <w:pStyle w:val="Heading2"/>
      </w:pPr>
      <w:r>
        <w:t>Grupa C</w:t>
      </w:r>
    </w:p>
    <w:p>
      <w:r>
        <w:t>Govor kvari namaz. Abdest nije pokvaren samim govorom; morao bi postojati zaseban uzrok koji kvari abdest.</w:t>
      </w:r>
    </w:p>
    <w:p>
      <w:pPr>
        <w:pStyle w:val="Heading2"/>
      </w:pPr>
      <w:r>
        <w:t>Grupa D</w:t>
      </w:r>
    </w:p>
    <w:p>
      <w:r>
        <w:t>Popularnost nije mjerilo dozvoljenosti. Stvarna krađa je haram. Ne prenosimo olako ocjene iz igre na stvarne postupke; provjeravamo činjenice i propis.</w:t>
      </w:r>
    </w:p>
    <w:p>
      <w:pPr>
        <w:pStyle w:val="Heading2"/>
      </w:pPr>
      <w:r>
        <w:t>Grupa E</w:t>
      </w:r>
    </w:p>
    <w:p>
      <w:r>
        <w:t>Tvrdnja nije tačna. Sunneti dnevnih namaza pripadaju sunnetu: preporučenoj praksi Muhammeda, a.s., za čije izvršavanje slijedi nagrada. Farz je stroga dužnost. To što djelo nije farz ne znači da nema vrijednost.</w:t>
      </w:r>
    </w:p>
    <w:sectPr w:rsidR="00FC693F" w:rsidRPr="0006063C" w:rsidSect="00034616"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color w:val="172E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172E2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172E2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2E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2E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72E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72E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color w:val="172E27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i/>
      <w:iCs/>
      <w:color w:val="172E27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i/>
      <w:iCs/>
      <w:color w:val="172E27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color w:val="172E27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i/>
      <w:iCs/>
      <w:color w:val="172E27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172E27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2E2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172E27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color w:val="172E27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color w:val="172E27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color w:val="172E27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color w:val="172E27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color w:val="172E27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color w:val="172E27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color w:val="172E27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color w:val="172E2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color w:val="172E27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color w:val="172E27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color w:val="172E27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color w:val="172E27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color w:val="172E27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color w:val="172E27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color w:val="172E27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color w:val="172E27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172E27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172E27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172E2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/>
      <w:b/>
      <w:bCs/>
      <w:i/>
      <w:iCs/>
      <w:color w:val="172E27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color w:val="172E27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