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eetkatablice"/>
        <w:tblW w:w="0" w:type="auto"/>
        <w:tblLook w:val="04A0" w:firstRow="1" w:lastRow="0" w:firstColumn="1" w:lastColumn="0" w:noHBand="0" w:noVBand="1"/>
      </w:tblPr>
      <w:tblGrid>
        <w:gridCol w:w="2222"/>
        <w:gridCol w:w="2081"/>
        <w:gridCol w:w="2137"/>
        <w:gridCol w:w="2082"/>
      </w:tblGrid>
      <w:tr w:rsidR="00B0236D" w14:paraId="2C892B96" w14:textId="77777777" w:rsidTr="00E85138">
        <w:trPr/>
        <w:tc>
          <w:tcPr>
            <w:tcW w:w="8522" w:type="dxa"/>
            <w:gridSpan w:val="4"/>
            <w:shd w:val="clear" w:color="auto" w:fill="D1D1D1" w:themeFill="background2" w:themeFillShade="E6"/>
            <w:vAlign w:val="center"/>
          </w:tcPr>
          <w:p>
            <w:pPr>
              <w:spacing w:after="100" w:before="60"/>
            </w:pPr>
            <w:r>
              <w:rPr>
                <w:rFonts w:ascii="Arial" w:hAnsi="Arial"/>
                <w:sz w:val="21"/>
              </w:rPr>
              <w:t>PRIPREMA ZA REALIZACIJU OGLEDNOG ČASA</w:t>
            </w:r>
          </w:p>
        </w:tc>
      </w:tr>
      <w:tr w:rsidR="00B0236D" w14:paraId="5D6A112B" w14:textId="77777777" w:rsidTr="00E85138">
        <w:trPr/>
        <w:tc>
          <w:tcPr>
            <w:tcW w:w="2222" w:type="dxa"/>
            <w:vAlign w:val="center"/>
          </w:tcPr>
          <w:p w14:paraId="2559EA0B" w14:textId="77777777" w:rsidR="00B0236D" w:rsidRDefault="00B0236D" w:rsidP="00E85138">
            <w:pPr>
              <w:keepLines/>
              <w:spacing w:line="360" w:lineRule="auto"/>
              <w:rPr>
                <w:b/>
              </w:rPr>
            </w:pPr>
            <w:r>
              <w:rPr>
                <w:rFonts w:eastAsia="Calibri"/>
                <w:b/>
              </w:rPr>
              <w:t>Nastavni predmet</w:t>
            </w:r>
          </w:p>
        </w:tc>
        <w:tc>
          <w:tcPr>
            <w:tcW w:w="6300" w:type="dxa"/>
            <w:gridSpan w:val="3"/>
            <w:vAlign w:val="center"/>
          </w:tcPr>
          <w:p w14:paraId="05746597" w14:textId="77777777" w:rsidR="00B0236D" w:rsidRDefault="00B0236D" w:rsidP="00E85138">
            <w:pPr>
              <w:pStyle w:val="Naslov4"/>
              <w:autoSpaceDE w:val="0"/>
              <w:autoSpaceDN w:val="0"/>
              <w:spacing w:after="60"/>
            </w:pPr>
            <w:r>
              <w:rPr>
                <w:rFonts w:eastAsia="Times New Roman" w:cs="Times New Roman"/>
                <w:b/>
                <w:sz w:val="24"/>
                <w:szCs w:val="24"/>
                <w:lang w:eastAsia="bs-Latn-BA"/>
              </w:rPr>
              <w:t>Vjeronauka</w:t>
            </w:r>
          </w:p>
        </w:tc>
      </w:tr>
      <w:tr w:rsidR="00B0236D" w14:paraId="67923E4C" w14:textId="77777777" w:rsidTr="00E85138">
        <w:trPr/>
        <w:tc>
          <w:tcPr>
            <w:tcW w:w="2222" w:type="dxa"/>
            <w:vAlign w:val="center"/>
          </w:tcPr>
          <w:p w14:paraId="49218B1E" w14:textId="77777777" w:rsidR="00B0236D" w:rsidRDefault="00B0236D" w:rsidP="00E85138">
            <w:pPr>
              <w:keepLines/>
              <w:spacing w:line="360" w:lineRule="auto"/>
              <w:rPr>
                <w:b/>
              </w:rPr>
            </w:pPr>
            <w:r>
              <w:rPr>
                <w:b/>
              </w:rPr>
              <w:t>Škola</w:t>
            </w:r>
          </w:p>
        </w:tc>
        <w:tc>
          <w:tcPr>
            <w:tcW w:w="6300" w:type="dxa"/>
            <w:gridSpan w:val="3"/>
            <w:vAlign w:val="center"/>
          </w:tcPr>
          <w:p w14:paraId="26E2D857" w14:textId="77777777" w:rsidR="00B0236D" w:rsidRDefault="00B0236D" w:rsidP="00E85138">
            <w:pPr>
              <w:pStyle w:val="Naslov4"/>
              <w:autoSpaceDE w:val="0"/>
              <w:autoSpaceDN w:val="0"/>
              <w:spacing w:after="60"/>
            </w:pPr>
          </w:p>
        </w:tc>
      </w:tr>
      <w:tr w:rsidR="00B0236D" w14:paraId="511AAAF0" w14:textId="77777777" w:rsidTr="00E85138">
        <w:trPr/>
        <w:tc>
          <w:tcPr>
            <w:tcW w:w="2222" w:type="dxa"/>
            <w:vAlign w:val="center"/>
          </w:tcPr>
          <w:p w14:paraId="706CC864" w14:textId="77777777" w:rsidR="00B0236D" w:rsidRDefault="00B0236D" w:rsidP="00E85138">
            <w:pPr>
              <w:keepLines/>
              <w:spacing w:line="360" w:lineRule="auto"/>
              <w:rPr>
                <w:b/>
              </w:rPr>
            </w:pPr>
            <w:r>
              <w:rPr>
                <w:b/>
              </w:rPr>
              <w:t>Razred</w:t>
            </w:r>
          </w:p>
        </w:tc>
        <w:tc>
          <w:tcPr>
            <w:tcW w:w="2081" w:type="dxa"/>
            <w:vAlign w:val="center"/>
          </w:tcPr>
          <w:p w14:paraId="18509BEB" w14:textId="77777777" w:rsidR="00B0236D" w:rsidRDefault="00B0236D" w:rsidP="00E85138">
            <w:pPr>
              <w:pStyle w:val="Naslov4"/>
              <w:autoSpaceDE w:val="0"/>
              <w:autoSpaceDN w:val="0"/>
              <w:spacing w:after="60"/>
            </w:pPr>
            <w:r>
              <w:rPr>
                <w:rFonts w:eastAsia="Times New Roman" w:cs="Times New Roman"/>
                <w:b/>
                <w:sz w:val="24"/>
                <w:szCs w:val="24"/>
                <w:lang w:eastAsia="bs-Latn-BA"/>
              </w:rPr>
              <w:t>VIII</w:t>
            </w:r>
          </w:p>
        </w:tc>
        <w:tc>
          <w:tcPr>
            <w:tcW w:w="2137" w:type="dxa"/>
            <w:vAlign w:val="center"/>
          </w:tcPr>
          <w:p w14:paraId="677A35F3" w14:textId="77777777" w:rsidR="00B0236D" w:rsidRDefault="00B0236D" w:rsidP="00E85138">
            <w:pPr>
              <w:keepLines/>
              <w:spacing w:line="360" w:lineRule="auto"/>
              <w:rPr>
                <w:b/>
              </w:rPr>
            </w:pPr>
            <w:r>
              <w:rPr>
                <w:b/>
              </w:rPr>
              <w:t>Datum</w:t>
            </w:r>
          </w:p>
        </w:tc>
        <w:tc>
          <w:tcPr>
            <w:tcW w:w="2082" w:type="dxa"/>
            <w:vAlign w:val="center"/>
          </w:tcPr>
          <w:p w14:paraId="5674923A" w14:textId="77777777" w:rsidR="00B0236D" w:rsidRDefault="00B0236D" w:rsidP="00E85138">
            <w:pPr>
              <w:pStyle w:val="Naslov4"/>
              <w:autoSpaceDE w:val="0"/>
              <w:autoSpaceDN w:val="0"/>
              <w:spacing w:after="60"/>
            </w:pPr>
          </w:p>
        </w:tc>
      </w:tr>
      <w:tr w:rsidR="00B0236D" w14:paraId="21B747C4" w14:textId="77777777" w:rsidTr="00E85138">
        <w:trPr/>
        <w:tc>
          <w:tcPr>
            <w:tcW w:w="2222" w:type="dxa"/>
            <w:vAlign w:val="center"/>
          </w:tcPr>
          <w:p w14:paraId="071C9A4C" w14:textId="77777777" w:rsidR="00B0236D" w:rsidRDefault="00B0236D" w:rsidP="00E85138">
            <w:pPr>
              <w:keepLines/>
              <w:spacing w:line="360" w:lineRule="auto"/>
              <w:rPr>
                <w:b/>
              </w:rPr>
            </w:pPr>
            <w:r>
              <w:rPr>
                <w:b/>
              </w:rPr>
              <w:t>Nastavna jedinica</w:t>
            </w:r>
          </w:p>
        </w:tc>
        <w:tc>
          <w:tcPr>
            <w:tcW w:w="6300" w:type="dxa"/>
            <w:gridSpan w:val="3"/>
            <w:vAlign w:val="center"/>
          </w:tcPr>
          <w:p>
            <w:pPr>
              <w:spacing w:after="100" w:before="60"/>
            </w:pPr>
            <w:r>
              <w:rPr>
                <w:rFonts w:ascii="Arial" w:hAnsi="Arial"/>
                <w:sz w:val="21"/>
              </w:rPr>
              <w:t>Vrednovanje djela u Zakonu Božijem</w:t>
            </w:r>
          </w:p>
        </w:tc>
      </w:tr>
      <w:tr w:rsidR="00B0236D" w14:paraId="6FD76430" w14:textId="77777777" w:rsidTr="00E85138">
        <w:trPr/>
        <w:tc>
          <w:tcPr>
            <w:tcW w:w="2222" w:type="dxa"/>
            <w:vAlign w:val="center"/>
          </w:tcPr>
          <w:p w14:paraId="0F48F68F" w14:textId="77777777" w:rsidR="00B0236D" w:rsidRDefault="00B0236D" w:rsidP="00E85138">
            <w:pPr>
              <w:keepLines/>
              <w:spacing w:line="360" w:lineRule="auto"/>
              <w:rPr>
                <w:b/>
              </w:rPr>
            </w:pPr>
            <w:r>
              <w:rPr>
                <w:b/>
              </w:rPr>
              <w:t>Tip sata</w:t>
            </w:r>
          </w:p>
        </w:tc>
        <w:tc>
          <w:tcPr>
            <w:tcW w:w="6300" w:type="dxa"/>
            <w:gridSpan w:val="3"/>
            <w:vAlign w:val="center"/>
          </w:tcPr>
          <w:p>
            <w:pPr>
              <w:spacing w:after="100" w:before="60"/>
            </w:pPr>
            <w:r>
              <w:rPr>
                <w:rFonts w:ascii="Arial" w:hAnsi="Arial"/>
                <w:sz w:val="21"/>
              </w:rPr>
              <w:t>Obrada i primjena • 45 minuta • 16–19 učenika</w:t>
            </w:r>
          </w:p>
        </w:tc>
      </w:tr>
      <w:tr w:rsidR="00B0236D" w14:paraId="2E9478B9" w14:textId="77777777" w:rsidTr="00E85138">
        <w:trPr/>
        <w:tc>
          <w:tcPr>
            <w:tcW w:w="2222" w:type="dxa"/>
            <w:vAlign w:val="center"/>
          </w:tcPr>
          <w:p>
            <w:pPr>
              <w:spacing w:after="100" w:before="60"/>
            </w:pPr>
            <w:r>
              <w:rPr>
                <w:rFonts w:ascii="Arial" w:hAnsi="Arial"/>
                <w:sz w:val="21"/>
              </w:rPr>
              <w:t>Oblast / domena</w:t>
            </w:r>
          </w:p>
        </w:tc>
        <w:tc>
          <w:tcPr>
            <w:tcW w:w="6300" w:type="dxa"/>
            <w:gridSpan w:val="3"/>
            <w:vAlign w:val="center"/>
          </w:tcPr>
          <w:p>
            <w:pPr>
              <w:spacing w:after="100" w:before="60"/>
            </w:pPr>
            <w:r>
              <w:rPr>
                <w:rFonts w:ascii="Arial" w:hAnsi="Arial"/>
                <w:sz w:val="21"/>
              </w:rPr>
              <w:t>B / Islam – praktikovanje</w:t>
            </w:r>
          </w:p>
        </w:tc>
      </w:tr>
      <w:tr w:rsidR="00B0236D" w14:paraId="5D5EE54A" w14:textId="77777777" w:rsidTr="00E85138">
        <w:trPr/>
        <w:tc>
          <w:tcPr>
            <w:tcW w:w="2222" w:type="dxa"/>
            <w:vAlign w:val="center"/>
          </w:tcPr>
          <w:p>
            <w:pPr>
              <w:spacing w:after="100" w:before="60"/>
            </w:pPr>
            <w:r>
              <w:rPr>
                <w:rFonts w:ascii="Arial" w:hAnsi="Arial"/>
                <w:sz w:val="21"/>
              </w:rPr>
              <w:t>Ishod učenja</w:t>
            </w:r>
          </w:p>
        </w:tc>
        <w:tc>
          <w:tcPr>
            <w:tcW w:w="6300" w:type="dxa"/>
            <w:gridSpan w:val="3"/>
            <w:vAlign w:val="center"/>
          </w:tcPr>
          <w:p>
            <w:pPr>
              <w:spacing w:after="100" w:before="60"/>
            </w:pPr>
            <w:r>
              <w:rPr>
                <w:rFonts w:ascii="Arial" w:hAnsi="Arial"/>
                <w:sz w:val="21"/>
              </w:rPr>
              <w:t>B.8.5. Definira pojmove šerijat i izvori šerijata, analizira značaj Božijeg zakona i klasificira ljudske postupke – „efalul-mukellefin“.</w:t>
              <w:br/>
              <w:t>Na ovom času naglasak je na klasifikaciji i vrednovanju djela. Šerijat i njegove izvore povezati s prethodnim znanjem.</w:t>
            </w:r>
          </w:p>
        </w:tc>
      </w:tr>
      <w:tr w:rsidR="00B0236D" w14:paraId="38297ED1" w14:textId="77777777" w:rsidTr="00E85138">
        <w:trPr/>
        <w:tc>
          <w:tcPr>
            <w:tcW w:w="2222" w:type="dxa"/>
            <w:vAlign w:val="center"/>
          </w:tcPr>
          <w:p>
            <w:pPr>
              <w:spacing w:after="100" w:before="60"/>
            </w:pPr>
            <w:r>
              <w:rPr>
                <w:rFonts w:ascii="Arial" w:hAnsi="Arial"/>
                <w:sz w:val="21"/>
              </w:rPr>
              <w:t>Cilj časa</w:t>
            </w:r>
          </w:p>
        </w:tc>
        <w:tc>
          <w:tcPr>
            <w:tcW w:w="6300" w:type="dxa"/>
            <w:gridSpan w:val="3"/>
            <w:vAlign w:val="center"/>
          </w:tcPr>
          <w:p>
            <w:pPr>
              <w:spacing w:after="100" w:before="60"/>
            </w:pPr>
            <w:r>
              <w:rPr>
                <w:rFonts w:ascii="Arial" w:hAnsi="Arial"/>
                <w:sz w:val="21"/>
              </w:rPr>
              <w:t>Razumjeti kako se djela vrednuju u Zakonu Božijem, razlikovati osnovne kategorije i primjenjivati naučeno na primjere iz udžbenika i svakodnevnog života.</w:t>
            </w:r>
          </w:p>
        </w:tc>
      </w:tr>
      <w:tr w:rsidR="00B0236D" w14:paraId="67CCC74D" w14:textId="77777777" w:rsidTr="00E85138">
        <w:trPr/>
        <w:tc>
          <w:tcPr>
            <w:tcW w:w="2222" w:type="dxa"/>
            <w:vAlign w:val="center"/>
          </w:tcPr>
          <w:p>
            <w:pPr>
              <w:spacing w:after="100" w:before="60"/>
            </w:pPr>
            <w:r>
              <w:rPr>
                <w:rFonts w:ascii="Arial" w:hAnsi="Arial"/>
                <w:sz w:val="21"/>
              </w:rPr>
              <w:t>Odgojni i funkcionalni zadaci</w:t>
            </w:r>
          </w:p>
        </w:tc>
        <w:tc>
          <w:tcPr>
            <w:tcW w:w="6300" w:type="dxa"/>
            <w:gridSpan w:val="3"/>
            <w:vAlign w:val="center"/>
          </w:tcPr>
          <w:p>
            <w:pPr>
              <w:spacing w:after="100" w:before="60"/>
            </w:pPr>
            <w:r>
              <w:rPr>
                <w:rFonts w:ascii="Arial" w:hAnsi="Arial"/>
                <w:sz w:val="21"/>
              </w:rPr>
              <w:t>Razvijati odgovorno odlučivanje, uvažavanje sagovornika i ustrajnost u dobru. Vježbati čitanje s razumijevanjem, poređenje, razvrstavanje i obrazlaganje odgovora.</w:t>
            </w:r>
          </w:p>
        </w:tc>
      </w:tr>
      <w:tr w:rsidR="00B0236D" w14:paraId="088DA34F" w14:textId="77777777" w:rsidTr="00E85138">
        <w:trPr/>
        <w:tc>
          <w:tcPr>
            <w:tcW w:w="2222" w:type="dxa"/>
            <w:vAlign w:val="center"/>
          </w:tcPr>
          <w:p w14:paraId="3606C418" w14:textId="77777777" w:rsidR="00B0236D" w:rsidRDefault="00B0236D" w:rsidP="00E85138">
            <w:pPr>
              <w:keepNext/>
              <w:keepLines/>
              <w:spacing w:line="360" w:lineRule="auto"/>
              <w:rPr>
                <w:b/>
                <w:sz w:val="24"/>
                <w:szCs w:val="24"/>
              </w:rPr>
            </w:pPr>
            <w:r>
              <w:rPr>
                <w:b/>
                <w:sz w:val="24"/>
                <w:szCs w:val="24"/>
              </w:rPr>
              <w:t>Razrada ishoda učenja (pokazatelji / indikatori)</w:t>
            </w:r>
          </w:p>
        </w:tc>
        <w:tc>
          <w:tcPr>
            <w:tcW w:w="2081" w:type="dxa"/>
            <w:vAlign w:val="center"/>
          </w:tcPr>
          <w:p>
            <w:pPr>
              <w:spacing w:after="100" w:before="60"/>
            </w:pPr>
            <w:r>
              <w:rPr>
                <w:rFonts w:ascii="Arial" w:hAnsi="Arial"/>
                <w:sz w:val="21"/>
              </w:rPr>
              <w:t>Učenik objašnjava fikh i prepoznaje osam kategorija djela uz primjere.</w:t>
            </w:r>
          </w:p>
        </w:tc>
        <w:tc>
          <w:tcPr>
            <w:tcW w:w="2137" w:type="dxa"/>
            <w:vAlign w:val="center"/>
          </w:tcPr>
          <w:p>
            <w:pPr>
              <w:spacing w:after="100" w:before="60"/>
            </w:pPr>
            <w:r>
              <w:rPr>
                <w:rFonts w:ascii="Arial" w:hAnsi="Arial"/>
                <w:sz w:val="21"/>
              </w:rPr>
              <w:t>Učenik razlikuje obavezu, preporuku, dozvoljen izbor, zabranu i pokuđenost.</w:t>
            </w:r>
          </w:p>
        </w:tc>
        <w:tc>
          <w:tcPr>
            <w:tcW w:w="2082" w:type="dxa"/>
            <w:vAlign w:val="center"/>
          </w:tcPr>
          <w:p>
            <w:pPr>
              <w:spacing w:after="100" w:before="60"/>
            </w:pPr>
            <w:r>
              <w:rPr>
                <w:rFonts w:ascii="Arial" w:hAnsi="Arial"/>
                <w:sz w:val="21"/>
              </w:rPr>
              <w:t>Učenik razvrstava postupke, obrazlaže primjer i povezuje termine sa str. 32.</w:t>
            </w:r>
          </w:p>
        </w:tc>
      </w:tr>
      <w:tr w:rsidR="00B0236D" w14:paraId="0B945E04" w14:textId="77777777" w:rsidTr="00E85138">
        <w:trPr/>
        <w:tc>
          <w:tcPr>
            <w:tcW w:w="2222" w:type="dxa"/>
            <w:vAlign w:val="center"/>
          </w:tcPr>
          <w:p>
            <w:pPr>
              <w:spacing w:after="100" w:before="60"/>
            </w:pPr>
            <w:r>
              <w:rPr>
                <w:rFonts w:ascii="Arial" w:hAnsi="Arial"/>
                <w:sz w:val="21"/>
              </w:rPr>
              <w:t>Oblici rada</w:t>
            </w:r>
          </w:p>
        </w:tc>
        <w:tc>
          <w:tcPr>
            <w:tcW w:w="6300" w:type="dxa"/>
            <w:gridSpan w:val="3"/>
            <w:vAlign w:val="center"/>
          </w:tcPr>
          <w:p>
            <w:pPr>
              <w:spacing w:after="100" w:before="60"/>
            </w:pPr>
            <w:r>
              <w:rPr>
                <w:rFonts w:ascii="Arial" w:hAnsi="Arial"/>
                <w:sz w:val="21"/>
              </w:rPr>
              <w:t>Frontalni razgovor i prezentacija; individualno popunjavanje tabele, odgovori na kviz i završni zadatak; rad u paru u uvodu i pojmovniku; rad u pet grupa A–E od 3–4 učenika.</w:t>
            </w:r>
          </w:p>
        </w:tc>
      </w:tr>
      <w:tr w:rsidR="00B0236D" w14:paraId="0436E104" w14:textId="77777777" w:rsidTr="00E85138">
        <w:trPr/>
        <w:tc>
          <w:tcPr>
            <w:tcW w:w="2222" w:type="dxa"/>
            <w:vAlign w:val="center"/>
          </w:tcPr>
          <w:p>
            <w:pPr>
              <w:spacing w:after="100" w:before="60"/>
            </w:pPr>
            <w:r>
              <w:rPr>
                <w:rFonts w:ascii="Arial" w:hAnsi="Arial"/>
                <w:sz w:val="21"/>
              </w:rPr>
              <w:t>Metode rada / strategije / tehnike</w:t>
            </w:r>
          </w:p>
        </w:tc>
        <w:tc>
          <w:tcPr>
            <w:tcW w:w="6300" w:type="dxa"/>
            <w:gridSpan w:val="3"/>
            <w:vAlign w:val="center"/>
          </w:tcPr>
          <w:p>
            <w:pPr>
              <w:spacing w:after="100" w:before="60"/>
            </w:pPr>
            <w:r>
              <w:rPr>
                <w:rFonts w:ascii="Arial" w:hAnsi="Arial"/>
                <w:sz w:val="21"/>
              </w:rPr>
              <w:t>Razgovor i usmeno izlaganje; demonstracija; rad na tekstu udžbenika; analiza slučaja; razvrstavanje; razmisli–razmijeni–obrazloži; formativni kviz i samoprocjena.</w:t>
            </w:r>
          </w:p>
        </w:tc>
      </w:tr>
      <w:tr w:rsidR="00B0236D" w14:paraId="63AA9EA8" w14:textId="77777777" w:rsidTr="00E85138">
        <w:trPr/>
        <w:tc>
          <w:tcPr>
            <w:tcW w:w="2222" w:type="dxa"/>
            <w:vAlign w:val="center"/>
          </w:tcPr>
          <w:p>
            <w:pPr>
              <w:spacing w:after="100" w:before="60"/>
            </w:pPr>
            <w:r>
              <w:rPr>
                <w:rFonts w:ascii="Arial" w:hAnsi="Arial"/>
                <w:sz w:val="21"/>
              </w:rPr>
              <w:t>Nastavna sredstva i pomagala</w:t>
            </w:r>
          </w:p>
        </w:tc>
        <w:tc>
          <w:tcPr>
            <w:tcW w:w="6300" w:type="dxa"/>
            <w:gridSpan w:val="3"/>
            <w:vAlign w:val="center"/>
          </w:tcPr>
          <w:p>
            <w:pPr>
              <w:spacing w:after="100" w:before="60"/>
            </w:pPr>
            <w:r>
              <w:rPr>
                <w:rFonts w:ascii="Arial" w:hAnsi="Arial"/>
                <w:sz w:val="21"/>
              </w:rPr>
              <w:t>Udžbenik Vjeronauka za VIII razred, štampane str. 29–32 (PDF 25–28); HTML za pametnu tablu, prezentacija i kviz od 12 pitanja; individualni listić s tabelom; po jedan zadatak za pet grupa; nastavnički ključ, sveska i olovka. Prošireni kviz od 18 pitanja služi dodatnom vježbanju.</w:t>
            </w:r>
          </w:p>
        </w:tc>
      </w:tr>
      <w:tr w:rsidR="00B0236D" w14:paraId="126C6862" w14:textId="77777777" w:rsidTr="00E85138">
        <w:trPr/>
        <w:tc>
          <w:tcPr>
            <w:tcW w:w="2222" w:type="dxa"/>
            <w:vAlign w:val="center"/>
          </w:tcPr>
          <w:p>
            <w:pPr>
              <w:spacing w:after="100" w:before="60"/>
            </w:pPr>
            <w:r>
              <w:rPr>
                <w:rFonts w:ascii="Arial" w:hAnsi="Arial"/>
                <w:sz w:val="21"/>
              </w:rPr>
              <w:t>Međupredmetna korelacija</w:t>
            </w:r>
          </w:p>
        </w:tc>
        <w:tc>
          <w:tcPr>
            <w:tcW w:w="6300" w:type="dxa"/>
            <w:gridSpan w:val="3"/>
            <w:vAlign w:val="center"/>
          </w:tcPr>
          <w:p>
            <w:pPr>
              <w:spacing w:after="100" w:before="60"/>
            </w:pPr>
            <w:r>
              <w:rPr>
                <w:rFonts w:ascii="Arial" w:hAnsi="Arial"/>
                <w:sz w:val="21"/>
              </w:rPr>
              <w:t>Bosanski jezik i književnost: čitanje s razumijevanjem i jasno obrazlaganje. Odjeljenska zajednica: odgovorno odlučivanje i saradnja. Poveznice navedene u izvornom obrascu: DHP-1.1.3 i DHP-1.2.1.</w:t>
            </w:r>
          </w:p>
        </w:tc>
      </w:tr>
    </w:tbl>
    <w:p>
      <w:r>
        <w:br w:type="page"/>
      </w:r>
    </w:p>
    <w:tbl>
      <w:tblPr>
        <w:tblStyle w:val="Reetkatablice"/>
        <w:tblW w:w="0" w:type="auto"/>
        <w:tblLook w:val="04A0" w:firstRow="1" w:lastRow="0" w:firstColumn="1" w:lastColumn="0" w:noHBand="0" w:noVBand="1"/>
      </w:tblPr>
      <w:tblGrid>
        <w:gridCol w:w="2222"/>
        <w:gridCol w:w="2081"/>
        <w:gridCol w:w="2137"/>
        <w:gridCol w:w="2082"/>
      </w:tblGrid>
      <w:tr w:rsidR="00B0236D" w14:paraId="7F84BADA" w14:textId="77777777" w:rsidTr="00E85138">
        <w:trPr/>
        <w:tc>
          <w:tcPr>
            <w:tcW w:w="8522" w:type="dxa"/>
            <w:gridSpan w:val="4"/>
            <w:shd w:val="clear" w:color="auto" w:fill="D1D1D1" w:themeFill="background2" w:themeFillShade="E6"/>
            <w:vAlign w:val="center"/>
          </w:tcPr>
          <w:p>
            <w:pPr>
              <w:spacing w:after="100" w:before="60"/>
            </w:pPr>
            <w:r>
              <w:rPr>
                <w:rFonts w:ascii="Arial" w:hAnsi="Arial"/>
                <w:sz w:val="21"/>
              </w:rPr>
              <w:t>ARTIKULACIJA NASTAVNOG SATA</w:t>
            </w:r>
          </w:p>
        </w:tc>
      </w:tr>
      <w:tr w:rsidR="00B0236D" w14:paraId="26F0491C" w14:textId="77777777" w:rsidTr="00E85138">
        <w:trPr/>
        <w:tc>
          <w:tcPr>
            <w:tcW w:w="8522" w:type="dxa"/>
            <w:gridSpan w:val="4"/>
            <w:shd w:val="clear" w:color="auto" w:fill="E8E8E8" w:themeFill="background2"/>
            <w:vAlign w:val="center"/>
          </w:tcPr>
          <w:p>
            <w:pPr>
              <w:keepNext/>
              <w:spacing w:after="100" w:before="60"/>
            </w:pPr>
            <w:r>
              <w:rPr>
                <w:rFonts w:ascii="Arial" w:hAnsi="Arial"/>
                <w:sz w:val="21"/>
              </w:rPr>
              <w:t>Uvodni dio • 0–4 minute</w:t>
            </w:r>
          </w:p>
        </w:tc>
      </w:tr>
      <w:tr w:rsidR="00B0236D" w14:paraId="3A1F5471" w14:textId="77777777" w:rsidTr="00E85138">
        <w:trPr/>
        <w:tc>
          <w:tcPr>
            <w:tcW w:w="8522" w:type="dxa"/>
            <w:gridSpan w:val="4"/>
            <w:vAlign w:val="center"/>
          </w:tcPr>
          <w:p>
            <w:pPr>
              <w:spacing w:after="100" w:before="60"/>
            </w:pPr>
            <w:r>
              <w:rPr>
                <w:rFonts w:ascii="Arial" w:hAnsi="Arial"/>
                <w:sz w:val="21"/>
              </w:rPr>
              <w:t>0–4 minuta — Uvod i motivacija</w:t>
              <w:br/>
              <w:t>Nastavnik: Prikaži namaz, šetnju u slobodno vrijeme i krađu. Pitaj jesu li svi postupci jednako obavezni ili dopušteni. Najavi vrednovanje djela u Zakonu Božijem.</w:t>
              <w:br/>
              <w:t>Učenici: Razmišljaju samostalno, zatim razmijene odgovor u paru.</w:t>
              <w:br/>
              <w:t>Praćenje: Dva para daju kratko obrazloženje; odgovore zasad ne ocjenjivati.</w:t>
            </w:r>
          </w:p>
        </w:tc>
      </w:tr>
      <w:tr w:rsidR="00B0236D" w14:paraId="5130AE48" w14:textId="77777777" w:rsidTr="00E85138">
        <w:trPr/>
        <w:tc>
          <w:tcPr>
            <w:tcW w:w="8522" w:type="dxa"/>
            <w:gridSpan w:val="4"/>
            <w:shd w:val="clear" w:color="auto" w:fill="E8E8E8" w:themeFill="background2"/>
            <w:vAlign w:val="center"/>
          </w:tcPr>
          <w:p>
            <w:pPr>
              <w:keepNext/>
              <w:spacing w:after="100" w:before="60"/>
            </w:pPr>
            <w:r>
              <w:rPr>
                <w:rFonts w:ascii="Arial" w:hAnsi="Arial"/>
                <w:sz w:val="21"/>
              </w:rPr>
              <w:t>Glavni dio • 4–39 minuta</w:t>
            </w:r>
          </w:p>
        </w:tc>
      </w:tr>
      <w:tr w:rsidR="00B0236D" w14:paraId="56015FA2" w14:textId="77777777" w:rsidTr="00E85138">
        <w:trPr/>
        <w:tc>
          <w:tcPr>
            <w:tcW w:w="8522" w:type="dxa"/>
            <w:gridSpan w:val="4"/>
            <w:vAlign w:val="center"/>
          </w:tcPr>
          <w:p>
            <w:pPr>
              <w:spacing w:after="100" w:before="60"/>
            </w:pPr>
            <w:r>
              <w:rPr>
                <w:rFonts w:ascii="Arial" w:hAnsi="Arial"/>
                <w:sz w:val="21"/>
              </w:rPr>
              <w:t>4–14 minuta — Pojmovi i primjeri</w:t>
              <w:br/>
              <w:t>Nastavnik: Uz slajdove 3–12 i udžbenik str. 29–30 predstavi fikh i osam kategorija. Poredi obavezu, preporuku, slobodan izbor, zabranu i pokuđenost. Mufsid objasni kratko, kao jednu od kategorija.</w:t>
              <w:br/>
              <w:t>Učenici: Pronalaze primjere u udžbeniku i povezuju ih s kategorijama.</w:t>
              <w:br/>
              <w:t>Praćenje: Usmeno traži da učenik objasni razliku između obaveze i preporuke.</w:t>
              <w:br/>
              <w:br/>
              <w:t>14–22 minuta — Pet grupa A–E</w:t>
              <w:br/>
              <w:t>Nastavnik: Podijeli zaseban zadatak svakoj grupi. Daj 3 minute za dogovor, zatim do 45 sekundi za izlaganje svake grupe i kratku povratnu informaciju.</w:t>
              <w:br/>
              <w:t>Učenici: U grupama od 3–4 čitaju, dogovaraju odgovor i obrazlažu ga. Svaki član doprinosi; izvjestilac predstavlja zaključak.</w:t>
              <w:br/>
              <w:t>Praćenje: Prati tačnost kategorije, razlog i saradnju. Grupe ne ispituju lične vjerske navike.</w:t>
              <w:br/>
              <w:br/>
              <w:t>22–28 minuta — Individualna tabela</w:t>
              <w:br/>
              <w:t>Nastavnik: Svaki učenik dobija cijelu tabelu sa str. 31. Daj 3 minute za samostalno označavanje; naredne 3 minute prikaži ključ i razjasni nejasne redove.</w:t>
              <w:br/>
              <w:t>Učenici: Samostalno popunjavaju svih 14 redova; zatim drugom bojom dopunjavaju ili ispravljaju.</w:t>
              <w:br/>
              <w:t>Praćenje: Razlikuj samostalno rješenje od odgovora nakon pomoći. Tabela je formativna, uz okolnosti iz nastavničkog ključa.</w:t>
              <w:br/>
              <w:br/>
              <w:t>28–31 minuta — Termini iz pojmovnika</w:t>
              <w:br/>
              <w:t>Nastavnik: Poveži četiri termina sa str. 32 s njihovim značenjima. Koristi prvi zadatak na drugoj strani listića ili HTML.</w:t>
              <w:br/>
              <w:t>Učenici: Najprije povezuju samostalno, potom provjeravaju s partnerom.</w:t>
              <w:br/>
              <w:t>Praćenje: Provjeri kategorično, imperativ, mutevatir hadis i zinaluk.</w:t>
              <w:br/>
              <w:br/>
              <w:t>31–39 minuta — Kviz za čas od 12 pitanja</w:t>
              <w:br/>
              <w:t>Nastavnik: Prikaži svih 12 pitanja; oko 30 sekundi po pitanju i ukupno 2 minute za osvrt. Na tabli jedan učenik bira tek nakon što ostali zapišu slovo.</w:t>
              <w:br/>
              <w:t>Učenici: Svako upisuje odgovore 1–12 u polje na listiću; potom provjerava vlastite odgovore.</w:t>
              <w:br/>
              <w:t>Praćenje: HTML rezultat na zajedničkoj tabli je rezultat zajedničkog pokušaja; individualno razumijevanje prati po listićima.</w:t>
            </w:r>
          </w:p>
        </w:tc>
      </w:tr>
      <w:tr w:rsidR="00B0236D" w14:paraId="64C8B869" w14:textId="77777777" w:rsidTr="00E85138">
        <w:trPr/>
        <w:tc>
          <w:tcPr>
            <w:tcW w:w="8522" w:type="dxa"/>
            <w:gridSpan w:val="4"/>
            <w:shd w:val="clear" w:color="auto" w:fill="E8E8E8" w:themeFill="background2"/>
            <w:vAlign w:val="center"/>
          </w:tcPr>
          <w:p>
            <w:pPr>
              <w:keepNext/>
              <w:spacing w:after="100" w:before="60"/>
            </w:pPr>
            <w:r>
              <w:rPr>
                <w:rFonts w:ascii="Arial" w:hAnsi="Arial"/>
                <w:sz w:val="21"/>
              </w:rPr>
              <w:t>Završni dio • 39–45 minuta</w:t>
            </w:r>
          </w:p>
        </w:tc>
      </w:tr>
      <w:tr w:rsidR="00B0236D" w14:paraId="191EEA8B" w14:textId="77777777" w:rsidTr="00E85138">
        <w:trPr/>
        <w:tc>
          <w:tcPr>
            <w:tcW w:w="8522" w:type="dxa"/>
            <w:gridSpan w:val="4"/>
            <w:vAlign w:val="center"/>
          </w:tcPr>
          <w:p>
            <w:pPr>
              <w:keepLines/>
              <w:spacing w:after="100" w:before="60"/>
            </w:pPr>
            <w:r>
              <w:rPr>
                <w:rFonts w:ascii="Arial" w:hAnsi="Arial"/>
                <w:sz w:val="21"/>
              </w:rPr>
              <w:t>39–43 minuta — Primjena i samoprocjena</w:t>
              <w:br/>
              <w:t>Nastavnik: Zatraži primjer bilo koje kategorije s razlogom te samoprocjenu sigurnosti u odgovor.</w:t>
              <w:br/>
              <w:t>Učenici: Rješavaju drugi zadatak na listiću i navode šta još trebaju ponoviti.</w:t>
              <w:br/>
              <w:t>Praćenje: Prati da učenik navede kategoriju i smislen razlog, a ne samo prepozna naziv.</w:t>
              <w:br/>
              <w:br/>
              <w:t>43–45 minuta — Zaključak i zadaća</w:t>
              <w:br/>
              <w:t>Nastavnik: Vrati se na uvodne primjere i izdvoji poruku odgovornog izbora i ustrajnosti u dobru. Zadaća: dopunski zadaci ili prošireni kviz od 18 pitanja.</w:t>
              <w:br/>
              <w:t>Učenici: Navode jednu naučenu razliku i bilježe odabranu zadaću.</w:t>
              <w:br/>
              <w:t>Praćenje: Prema odgovorima planiraj kratko ponavljanje narednog časa.</w:t>
            </w:r>
          </w:p>
        </w:tc>
      </w:tr>
      <w:tr w:rsidR="00B0236D" w14:paraId="12130B66" w14:textId="77777777" w:rsidTr="00E85138">
        <w:trPr/>
        <w:tc>
          <w:tcPr>
            <w:tcW w:w="8522" w:type="dxa"/>
            <w:gridSpan w:val="4"/>
            <w:vAlign w:val="center"/>
          </w:tcPr>
          <w:p w14:paraId="52188780" w14:textId="77777777" w:rsidR="00B0236D" w:rsidRDefault="00B0236D" w:rsidP="00E85138">
            <w:pPr>
              <w:keepNext/>
              <w:keepLines/>
              <w:rPr>
                <w:b/>
                <w:sz w:val="24"/>
                <w:szCs w:val="24"/>
              </w:rPr>
            </w:pPr>
            <w:r>
              <w:rPr>
                <w:b/>
                <w:sz w:val="24"/>
                <w:szCs w:val="24"/>
              </w:rPr>
              <w:t>Prilozi</w:t>
            </w:r>
          </w:p>
        </w:tc>
      </w:tr>
      <w:tr w:rsidR="00B0236D" w14:paraId="5FB9E615" w14:textId="77777777" w:rsidTr="00E85138">
        <w:trPr/>
        <w:tc>
          <w:tcPr>
            <w:tcW w:w="8522" w:type="dxa"/>
            <w:gridSpan w:val="4"/>
            <w:vAlign w:val="center"/>
          </w:tcPr>
          <w:p>
            <w:pPr>
              <w:spacing w:after="100" w:before="60"/>
            </w:pPr>
            <w:r>
              <w:rPr>
                <w:rFonts w:ascii="Arial" w:hAnsi="Arial"/>
                <w:sz w:val="21"/>
              </w:rPr>
              <w:t>1. Individualni listić: cijela tabela sa str. 31, pojmovnik, primjena, polje za 12 odgovora i dopunski zadaci.</w:t>
              <w:br/>
              <w:t>2. Pet zasebnih listova za grupe A–E.</w:t>
              <w:br/>
              <w:t>3. Prošireni kviz od 18 pitanja za vježbu ili zadaću.</w:t>
              <w:br/>
              <w:t>4. Nastavnički ključ u nastavku pripreme.</w:t>
              <w:br/>
              <w:t>5. HTML i PowerPoint prezentacija.</w:t>
              <w:br/>
              <w:t>Štampa za 19 učenika: 19 individualnih listića (po dvije stranice) i jedan komplet od pet grupnih listova. Prošireni kviz štampati samo ako se radi na papiru.</w:t>
            </w:r>
          </w:p>
        </w:tc>
      </w:tr>
      <w:tr w:rsidR="00B0236D" w14:paraId="524F7D78" w14:textId="77777777" w:rsidTr="00E85138">
        <w:trPr/>
        <w:tc>
          <w:tcPr>
            <w:tcW w:w="8522" w:type="dxa"/>
            <w:gridSpan w:val="4"/>
            <w:vAlign w:val="center"/>
          </w:tcPr>
          <w:p w14:paraId="79BC928F" w14:textId="77777777" w:rsidR="00B0236D" w:rsidRDefault="00B0236D" w:rsidP="00E85138">
            <w:pPr>
              <w:keepNext/>
              <w:keepLines/>
              <w:rPr>
                <w:b/>
                <w:sz w:val="24"/>
                <w:szCs w:val="24"/>
              </w:rPr>
            </w:pPr>
            <w:r>
              <w:rPr>
                <w:b/>
                <w:sz w:val="24"/>
                <w:szCs w:val="24"/>
              </w:rPr>
              <w:t>Napomena</w:t>
            </w:r>
          </w:p>
        </w:tc>
      </w:tr>
      <w:tr w:rsidR="00B0236D" w14:paraId="28C9E50C" w14:textId="77777777" w:rsidTr="00E85138">
        <w:trPr/>
        <w:tc>
          <w:tcPr>
            <w:tcW w:w="8522" w:type="dxa"/>
            <w:gridSpan w:val="4"/>
            <w:vAlign w:val="center"/>
          </w:tcPr>
          <w:p>
            <w:pPr>
              <w:spacing w:after="100" w:before="60"/>
            </w:pPr>
            <w:r>
              <w:rPr>
                <w:rFonts w:ascii="Arial" w:hAnsi="Arial"/>
                <w:sz w:val="21"/>
              </w:rPr>
              <w:t>Organizacija: za 16 učenika grupe 4+3+3+3+3; za 19 učenika 4+4+4+4+3. Uloge: čitač, zapisničar, izvjestilac i, gdje postoji četvrti član, provjerivač/vremenar.</w:t>
              <w:br/>
              <w:t>Podrška: dati sažetak pojmova, pročitati duže pitanje i omogućiti objašnjenje usmeno. Naprednijim učenicima zadati okolnost koja mijenja procjenu primjera.</w:t>
              <w:br/>
              <w:t>Rezerva: bez interneta koristiti preuzeti HTML; bez ekrana čitati pitanja i koristiti štampane listove. Nakon jedne minute tehničkog zastoja prijeći na papir.</w:t>
              <w:br/>
              <w:t>Mufsid obraditi kratko, kao jednu kategoriju. Ako se spomene udžbenički primjer govora, samo pojasniti da obični govor kvari namaz, ali sam po sebi ne abdest. To nije zaseban ishod ni predmet posebnog provjeravanja.</w:t>
              <w:br/>
              <w:t>Slajdove s dopunskim sadržajem (dova i upoznavanje drugih tradicija) koristiti po potrebi ili za samostalno čitanje. Prednost imaju osnovni pojmovi, pet grupa, tabela i 12 pitanja.</w:t>
              <w:br/>
              <w:t>Osvrt nakon časa: koji pojam traži ponavljanje, jesu li svi članovi grupa učestvovali i koliko su učenici samostalno obrazlagali? ____________________</w:t>
            </w:r>
          </w:p>
        </w:tc>
      </w:tr>
      <w:tr w:rsidR="00B0236D" w14:paraId="07C3BDB1" w14:textId="77777777" w:rsidTr="00E85138">
        <w:trPr/>
        <w:tc>
          <w:tcPr>
            <w:tcW w:w="8522" w:type="dxa"/>
            <w:gridSpan w:val="4"/>
            <w:vAlign w:val="center"/>
          </w:tcPr>
          <w:p w14:paraId="6464BD6C" w14:textId="77777777" w:rsidR="00B0236D" w:rsidRDefault="00B0236D" w:rsidP="00E85138">
            <w:pPr>
              <w:keepNext/>
              <w:keepLines/>
              <w:rPr>
                <w:b/>
                <w:sz w:val="24"/>
                <w:szCs w:val="24"/>
              </w:rPr>
            </w:pPr>
            <w:r>
              <w:rPr>
                <w:b/>
                <w:sz w:val="24"/>
                <w:szCs w:val="24"/>
              </w:rPr>
              <w:t>Nastavnik</w:t>
            </w:r>
          </w:p>
        </w:tc>
      </w:tr>
      <w:tr w:rsidR="00B0236D" w14:paraId="68C281D8" w14:textId="77777777" w:rsidTr="00E85138">
        <w:trPr/>
        <w:tc>
          <w:tcPr>
            <w:tcW w:w="8522" w:type="dxa"/>
            <w:gridSpan w:val="4"/>
            <w:vAlign w:val="center"/>
          </w:tcPr>
          <w:p w14:paraId="7B50E086" w14:textId="7BC2F675" w:rsidR="00B0236D" w:rsidRDefault="00B0236D" w:rsidP="00E85138">
            <w:pPr>
              <w:pStyle w:val="Naslov4"/>
              <w:autoSpaceDE w:val="0"/>
              <w:autoSpaceDN w:val="0"/>
              <w:spacing w:after="60"/>
            </w:pPr>
            <w:r>
              <w:rPr>
                <w:rFonts w:eastAsia="Times New Roman" w:cs="Times New Roman"/>
                <w:sz w:val="24"/>
                <w:szCs w:val="24"/>
                <w:lang w:eastAsia="bs-Latn-BA"/>
              </w:rPr>
              <w:t>_____________________________________</w:t>
            </w:r>
          </w:p>
        </w:tc>
      </w:tr>
    </w:tbl>
    <w:p>
      <w:r>
        <w:br w:type="page"/>
      </w:r>
    </w:p>
    <w:p>
      <w:pPr>
        <w:pStyle w:val="Naslov"/>
      </w:pPr>
      <w:r>
        <w:t>Nastavnički ključ</w:t>
      </w:r>
    </w:p>
    <w:p>
      <w:r>
        <w:t>Ključ je podrška formativnom praćenju. Uvažiti okolnosti i smisleno obrazloženje; javno ne procjenjivati ličnu vjersku praksu učenika.</w:t>
      </w:r>
    </w:p>
    <w:p>
      <w:pPr>
        <w:pStyle w:val="Naslov1"/>
      </w:pPr>
      <w:r>
        <w:t>Tabela sa strane 31</w:t>
      </w:r>
    </w:p>
    <w:p>
      <w:r>
        <w:t>Prijedlog razvrstavanja u hanefijskom nastavnom okviru, uz navedene okolnosti. Mendub u tabeli obuhvata preporučena djela, uključujući sunnet i mustehab; udžbenik ne sadrži odštampan ključ.</w:t>
      </w:r>
    </w:p>
    <w:p>
      <w:r>
        <w:t>1. Klanjanje bajram-namaza — Vadžib. Vadžib u hanefijskom učenju za osobu na koju se obaveza odnosi.</w:t>
      </w:r>
    </w:p>
    <w:p>
      <w:r>
        <w:t>2. Nošenje odjeće od svile muškarcu — Haram. Prirodna svila za muškarca, bez izuzetka zbog opravdane potrebe; vještačka svila nije isto.</w:t>
      </w:r>
    </w:p>
    <w:p>
      <w:r>
        <w:t>3. Klanjanje nafile pred sami zalazak Sunca — Mekruh tahrimen. Mekruh tahrimen: nafila u vrijeme neposredno pred zalazak Sunca.</w:t>
      </w:r>
    </w:p>
    <w:p>
      <w:r>
        <w:t>4. Ruku’ u namazu — Farz. Ruku’ je namaski farz.</w:t>
      </w:r>
    </w:p>
    <w:p>
      <w:r>
        <w:t>5. Upotreba mirisa u ihramima — Haram. Upotreba mirisa nakon stupanja u ihramske zabrane; razlikovati od mirisanja prije ihrama.</w:t>
      </w:r>
    </w:p>
    <w:p>
      <w:r>
        <w:t>6. Klanje kurbana — Vadžib. Vadžib za osobu koja ispunjava uslove.</w:t>
      </w:r>
    </w:p>
    <w:p>
      <w:r>
        <w:t>7. Neposlušnost roditeljima — Haram. Neposlušnost u onome što je dobro i dozvoljeno. Nema poslušnosti ljudima u grijehu.</w:t>
      </w:r>
    </w:p>
    <w:p>
      <w:r>
        <w:t>8. Zapisivanje duga — Mendub. Mendub kao preporuka zapisivanja radi zaštite prava u uobičajenoj situaciji.</w:t>
      </w:r>
    </w:p>
    <w:p>
      <w:r>
        <w:t>9. Neklanjanje sunsunneta — Mekruh tenzihen. Mekruh tenzihen kao školsko svrstavanje izostavljanja sunneta. Potrebno je razlikovati opravdan izostanak od ustrajnog zanemarivanja pritvrđenog sunneta.</w:t>
      </w:r>
    </w:p>
    <w:p>
      <w:r>
        <w:t>10. Šetati u slobodno vrijeme — Mubah. Mubah u slobodno vrijeme, bez izostavljanja obaveza.</w:t>
      </w:r>
    </w:p>
    <w:p>
      <w:r>
        <w:t>11. Klanjanje teravih-namaza — Mendub. Mendub je u ovoj tabeli širi naziv za preporučena djela; teravih-namaz je pritvrđeni sunnet.</w:t>
      </w:r>
    </w:p>
    <w:p>
      <w:r>
        <w:t>12. Ramazanski post — Farz. Farz za osobu na koju se obaveza posta odnosi.</w:t>
      </w:r>
    </w:p>
    <w:p>
      <w:r>
        <w:t>13. Klanjati ikindijske sunnete — Mendub. Mendub; ikindijski sunneti su nepritvrđeni sunnet.</w:t>
      </w:r>
    </w:p>
    <w:p>
      <w:r>
        <w:t>14. Otići na izlet — Mubah. Mubah ako su sadržaj i okolnosti izleta dozvoljeni.</w:t>
      </w:r>
    </w:p>
    <w:p>
      <w:r>
        <w:br w:type="page"/>
      </w:r>
    </w:p>
    <w:p>
      <w:pPr>
        <w:pStyle w:val="Naslov"/>
      </w:pPr>
      <w:r>
        <w:t>Grupe i individualni zadaci</w:t>
      </w:r>
    </w:p>
    <w:p>
      <w:pPr>
        <w:pStyle w:val="Naslov2"/>
      </w:pPr>
      <w:r>
        <w:t>Grupa A</w:t>
      </w:r>
    </w:p>
    <w:p>
      <w:r>
        <w:t>Šetnja je mubah. Između obaveznog i zabranjenog postoje i druge kategorije; ono što nije farz nije automatski haram.</w:t>
      </w:r>
    </w:p>
    <w:p>
      <w:pPr>
        <w:pStyle w:val="Naslov2"/>
      </w:pPr>
      <w:r>
        <w:t>Grupa B</w:t>
      </w:r>
    </w:p>
    <w:p>
      <w:r>
        <w:t>Vitr je vadžib prema lekciji i hanefijskom učenju. Vadžib jeste obaveza; razlika u odnosu na farz odnosi se na dokaz, ne na slobodan izbor.</w:t>
      </w:r>
    </w:p>
    <w:p>
      <w:pPr>
        <w:pStyle w:val="Naslov2"/>
      </w:pPr>
      <w:r>
        <w:t>Grupa C</w:t>
      </w:r>
    </w:p>
    <w:p>
      <w:r>
        <w:t>Krađa je haram, a razgovor bez potrebe tokom učenja ezana primjer je mekruha tenzihen u udžbeniku. Haram je stroga zabrana; mekruh označava pokuđen postupak. Nijedan od navedenih primjera nije običan slobodan izbor.</w:t>
      </w:r>
    </w:p>
    <w:p>
      <w:pPr>
        <w:pStyle w:val="Naslov2"/>
      </w:pPr>
      <w:r>
        <w:t>Grupa D</w:t>
      </w:r>
    </w:p>
    <w:p>
      <w:r>
        <w:t>Popularnost nije mjerilo dozvoljenosti. Stvarna krađa je haram. Ne prenosimo olako ocjene iz igre na stvarne postupke; provjeravamo činjenice i propis.</w:t>
      </w:r>
    </w:p>
    <w:p>
      <w:pPr>
        <w:pStyle w:val="Naslov2"/>
      </w:pPr>
      <w:r>
        <w:t>Grupa E</w:t>
      </w:r>
    </w:p>
    <w:p>
      <w:r>
        <w:t>Tvrdnja nije tačna. Sunneti dnevnih namaza pripadaju sunnetu: preporučenoj praksi Muhammeda, a.s., za čije izvršavanje slijedi nagrada. Farz je stroga dužnost. To što djelo nije farz ne znači da nema vrijednost.</w:t>
      </w:r>
    </w:p>
    <w:p>
      <w:pPr>
        <w:pStyle w:val="Naslov1"/>
      </w:pPr>
      <w:r>
        <w:t>Individualni listić</w:t>
      </w:r>
    </w:p>
    <w:p>
      <w:r>
        <w:t>1. Povezivanje: kategorično–C, imperativ–D, mutevatir hadis–A, zinaluk–B.</w:t>
        <w:br/>
        <w:t>2. Primjena: prihvatiti tačan primjer bilo koje kategorije uz razlog i primjerene okolnosti.</w:t>
        <w:br/>
        <w:t>Dopunski zadaci: 3. Farz je stroga dužnost, a mustehab preporuka. 4. Vitr–vadžib, krađa–haram, slobodna šetnja–mubah. 5. Fikh. 6. Poruka o ustrajnosti u dobru, objašnjena svojim riječima.</w:t>
      </w:r>
    </w:p>
    <w:p>
      <w:pPr>
        <w:pStyle w:val="Naslov1"/>
      </w:pPr>
      <w:r>
        <w:t>Kviz</w:t>
      </w:r>
    </w:p>
    <w:p>
      <w:r>
        <w:t>Pitanja 1–12 koriste se na času; 13–18 su proširenje za vježbu. Svaki tačan odgovor nosi jedan bod; rezultat služi povratnoj informaciji, bez automatskog pretvaranja u ocjenu.</w:t>
      </w:r>
    </w:p>
    <w:p>
      <w:r>
        <w:t>1. A • 2. B • 3. C • 4. D • 5. A • 6. C • 7. B • 8. D • 9. B • 10. A • 11. C • 12. D • 13. B • 14. C • 15. D • 16. A • 17. B • 18. C</w:t>
      </w:r>
    </w:p>
    <w:p>
      <w:pPr>
        <w:pStyle w:val="Naslov1"/>
      </w:pPr>
      <w:r>
        <w:t>Praćenje i izvori</w:t>
      </w:r>
    </w:p>
    <w:p>
      <w:r>
        <w:t>Za grupu pratiti: tačna kategorija; smislen razlog; učešće članova. Za pojedinca pratiti samostalni dio tabele, kviz i završno obrazloženje. Samoprocjena učenika: mogu samostalno / mogu uz pomoć / trebam još vježbe.</w:t>
        <w:br/>
        <w:t>Osnovni izvor: dostavljena radna priprema i udžbenik str. 29–32. Dopunske stručne provjere za uslovljene primjere u tabeli: islam.ba/teme/fikh/namaski-mekruhi i islam.ba/teme/fikh/detaljno-o-hadzu-propisi.</w:t>
      </w:r>
    </w:p>
    <w:sectPr w:rsidR="000D46B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210A7" w14:textId="77777777" w:rsidR="00E909B8" w:rsidRDefault="00E909B8" w:rsidP="004A5250">
      <w:pPr>
        <w:spacing w:after="0" w:line="240" w:lineRule="auto"/>
      </w:pPr>
      <w:r>
        <w:separator/>
      </w:r>
    </w:p>
  </w:endnote>
  <w:endnote w:type="continuationSeparator" w:id="0">
    <w:p w14:paraId="2420ABB7" w14:textId="77777777" w:rsidR="00E909B8" w:rsidRDefault="00E909B8" w:rsidP="004A52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2AE23" w14:textId="77777777" w:rsidR="00E909B8" w:rsidRDefault="00E909B8" w:rsidP="004A5250">
      <w:pPr>
        <w:spacing w:after="0" w:line="240" w:lineRule="auto"/>
      </w:pPr>
      <w:r>
        <w:separator/>
      </w:r>
    </w:p>
  </w:footnote>
  <w:footnote w:type="continuationSeparator" w:id="0">
    <w:p w14:paraId="47555A74" w14:textId="77777777" w:rsidR="00E909B8" w:rsidRDefault="00E909B8" w:rsidP="004A525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36D"/>
    <w:rsid w:val="000D46B8"/>
    <w:rsid w:val="002A7BCD"/>
    <w:rsid w:val="004A5250"/>
    <w:rsid w:val="00796930"/>
    <w:rsid w:val="008E0224"/>
    <w:rsid w:val="009245DD"/>
    <w:rsid w:val="00B0236D"/>
    <w:rsid w:val="00B51A0A"/>
    <w:rsid w:val="00E909B8"/>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B6D8"/>
  <w15:chartTrackingRefBased/>
  <w15:docId w15:val="{BC0C1CD0-BB5B-4D55-98DF-228E95B6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36D"/>
    <w:pPr>
      <w:spacing w:after="120"/>
    </w:pPr>
    <w:rPr>
      <w:rFonts w:ascii="Arial" w:hAnsi="Arial"/>
      <w:color w:val="000000"/>
      <w:sz w:val="21"/>
      <w:lang w:val="bs-Latn-BA"/>
    </w:rPr>
  </w:style>
  <w:style w:type="paragraph" w:styleId="Naslov1">
    <w:name w:val="heading 1"/>
    <w:basedOn w:val="Normal"/>
    <w:next w:val="Normal"/>
    <w:link w:val="Naslov1Char"/>
    <w:uiPriority w:val="9"/>
    <w:qFormat/>
    <w:rsid w:val="00B0236D"/>
    <w:pPr>
      <w:keepNext/>
      <w:keepLines/>
      <w:spacing w:before="360" w:after="80"/>
      <w:outlineLvl w:val="0"/>
    </w:pPr>
    <w:rPr>
      <w:rFonts w:asciiTheme="majorHAnsi" w:eastAsiaTheme="majorEastAsia" w:hAnsiTheme="majorHAnsi" w:cstheme="majorBidi" w:ascii="Arial" w:hAnsi="Arial"/>
      <w:color w:val="000000"/>
      <w:sz w:val="40"/>
      <w:szCs w:val="40"/>
      <w:lang w:val="hr-HR"/>
    </w:rPr>
  </w:style>
  <w:style w:type="paragraph" w:styleId="Naslov2">
    <w:name w:val="heading 2"/>
    <w:basedOn w:val="Normal"/>
    <w:next w:val="Normal"/>
    <w:link w:val="Naslov2Char"/>
    <w:uiPriority w:val="9"/>
    <w:semiHidden/>
    <w:unhideWhenUsed/>
    <w:qFormat/>
    <w:rsid w:val="00B0236D"/>
    <w:pPr>
      <w:keepNext/>
      <w:keepLines/>
      <w:spacing w:before="160" w:after="80"/>
      <w:outlineLvl w:val="1"/>
    </w:pPr>
    <w:rPr>
      <w:rFonts w:asciiTheme="majorHAnsi" w:eastAsiaTheme="majorEastAsia" w:hAnsiTheme="majorHAnsi" w:cstheme="majorBidi" w:ascii="Arial" w:hAnsi="Arial"/>
      <w:color w:val="000000"/>
      <w:sz w:val="32"/>
      <w:szCs w:val="32"/>
      <w:lang w:val="hr-HR"/>
    </w:rPr>
  </w:style>
  <w:style w:type="paragraph" w:styleId="Naslov3">
    <w:name w:val="heading 3"/>
    <w:basedOn w:val="Normal"/>
    <w:next w:val="Normal"/>
    <w:link w:val="Naslov3Char"/>
    <w:uiPriority w:val="9"/>
    <w:semiHidden/>
    <w:unhideWhenUsed/>
    <w:qFormat/>
    <w:rsid w:val="00B0236D"/>
    <w:pPr>
      <w:keepNext/>
      <w:keepLines/>
      <w:spacing w:before="160" w:after="80"/>
      <w:outlineLvl w:val="2"/>
    </w:pPr>
    <w:rPr>
      <w:rFonts w:eastAsiaTheme="majorEastAsia" w:cstheme="majorBidi" w:ascii="Arial" w:hAnsi="Arial"/>
      <w:color w:val="000000"/>
      <w:sz w:val="28"/>
      <w:szCs w:val="28"/>
      <w:lang w:val="hr-HR"/>
    </w:rPr>
  </w:style>
  <w:style w:type="paragraph" w:styleId="Naslov4">
    <w:name w:val="heading 4"/>
    <w:basedOn w:val="Normal"/>
    <w:next w:val="Normal"/>
    <w:link w:val="Naslov4Char"/>
    <w:unhideWhenUsed/>
    <w:qFormat/>
    <w:rsid w:val="00B0236D"/>
    <w:pPr>
      <w:keepNext/>
      <w:keepLines/>
      <w:spacing w:before="80" w:after="40"/>
      <w:outlineLvl w:val="3"/>
    </w:pPr>
    <w:rPr>
      <w:rFonts w:eastAsiaTheme="majorEastAsia" w:cstheme="majorBidi" w:ascii="Arial" w:hAnsi="Arial"/>
      <w:i/>
      <w:iCs/>
      <w:color w:val="000000"/>
      <w:lang w:val="hr-HR"/>
    </w:rPr>
  </w:style>
  <w:style w:type="paragraph" w:styleId="Naslov5">
    <w:name w:val="heading 5"/>
    <w:basedOn w:val="Normal"/>
    <w:next w:val="Normal"/>
    <w:link w:val="Naslov5Char"/>
    <w:uiPriority w:val="9"/>
    <w:semiHidden/>
    <w:unhideWhenUsed/>
    <w:qFormat/>
    <w:rsid w:val="00B0236D"/>
    <w:pPr>
      <w:keepNext/>
      <w:keepLines/>
      <w:spacing w:before="80" w:after="40"/>
      <w:outlineLvl w:val="4"/>
    </w:pPr>
    <w:rPr>
      <w:rFonts w:eastAsiaTheme="majorEastAsia" w:cstheme="majorBidi" w:ascii="Arial" w:hAnsi="Arial"/>
      <w:color w:val="000000"/>
      <w:lang w:val="hr-HR"/>
    </w:rPr>
  </w:style>
  <w:style w:type="paragraph" w:styleId="Naslov6">
    <w:name w:val="heading 6"/>
    <w:basedOn w:val="Normal"/>
    <w:next w:val="Normal"/>
    <w:link w:val="Naslov6Char"/>
    <w:uiPriority w:val="9"/>
    <w:semiHidden/>
    <w:unhideWhenUsed/>
    <w:qFormat/>
    <w:rsid w:val="00B0236D"/>
    <w:pPr>
      <w:keepNext/>
      <w:keepLines/>
      <w:spacing w:before="40" w:after="0"/>
      <w:outlineLvl w:val="5"/>
    </w:pPr>
    <w:rPr>
      <w:rFonts w:eastAsiaTheme="majorEastAsia" w:cstheme="majorBidi" w:ascii="Arial" w:hAnsi="Arial"/>
      <w:i/>
      <w:iCs/>
      <w:color w:val="000000"/>
      <w:lang w:val="hr-HR"/>
    </w:rPr>
  </w:style>
  <w:style w:type="paragraph" w:styleId="Naslov7">
    <w:name w:val="heading 7"/>
    <w:basedOn w:val="Normal"/>
    <w:next w:val="Normal"/>
    <w:link w:val="Naslov7Char"/>
    <w:uiPriority w:val="9"/>
    <w:semiHidden/>
    <w:unhideWhenUsed/>
    <w:qFormat/>
    <w:rsid w:val="00B0236D"/>
    <w:pPr>
      <w:keepNext/>
      <w:keepLines/>
      <w:spacing w:before="40" w:after="0"/>
      <w:outlineLvl w:val="6"/>
    </w:pPr>
    <w:rPr>
      <w:rFonts w:eastAsiaTheme="majorEastAsia" w:cstheme="majorBidi" w:ascii="Arial" w:hAnsi="Arial"/>
      <w:color w:val="000000"/>
      <w:lang w:val="hr-HR"/>
    </w:rPr>
  </w:style>
  <w:style w:type="paragraph" w:styleId="Naslov8">
    <w:name w:val="heading 8"/>
    <w:basedOn w:val="Normal"/>
    <w:next w:val="Normal"/>
    <w:link w:val="Naslov8Char"/>
    <w:uiPriority w:val="9"/>
    <w:semiHidden/>
    <w:unhideWhenUsed/>
    <w:qFormat/>
    <w:rsid w:val="00B0236D"/>
    <w:pPr>
      <w:keepNext/>
      <w:keepLines/>
      <w:spacing w:after="0"/>
      <w:outlineLvl w:val="7"/>
    </w:pPr>
    <w:rPr>
      <w:rFonts w:eastAsiaTheme="majorEastAsia" w:cstheme="majorBidi" w:ascii="Arial" w:hAnsi="Arial"/>
      <w:i/>
      <w:iCs/>
      <w:color w:val="000000"/>
      <w:lang w:val="hr-HR"/>
    </w:rPr>
  </w:style>
  <w:style w:type="paragraph" w:styleId="Naslov9">
    <w:name w:val="heading 9"/>
    <w:basedOn w:val="Normal"/>
    <w:next w:val="Normal"/>
    <w:link w:val="Naslov9Char"/>
    <w:uiPriority w:val="9"/>
    <w:semiHidden/>
    <w:unhideWhenUsed/>
    <w:qFormat/>
    <w:rsid w:val="00B0236D"/>
    <w:pPr>
      <w:keepNext/>
      <w:keepLines/>
      <w:spacing w:after="0"/>
      <w:outlineLvl w:val="8"/>
    </w:pPr>
    <w:rPr>
      <w:rFonts w:eastAsiaTheme="majorEastAsia" w:cstheme="majorBidi" w:ascii="Arial" w:hAnsi="Arial"/>
      <w:color w:val="000000"/>
      <w:lang w:val="hr-HR"/>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B0236D"/>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semiHidden/>
    <w:rsid w:val="00B0236D"/>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semiHidden/>
    <w:rsid w:val="00B0236D"/>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rsid w:val="00B0236D"/>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B0236D"/>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B0236D"/>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B0236D"/>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B0236D"/>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B0236D"/>
    <w:rPr>
      <w:rFonts w:eastAsiaTheme="majorEastAsia" w:cstheme="majorBidi"/>
      <w:color w:val="272727" w:themeColor="text1" w:themeTint="D8"/>
    </w:rPr>
  </w:style>
  <w:style w:type="paragraph" w:styleId="Naslov">
    <w:name w:val="Title"/>
    <w:basedOn w:val="Normal"/>
    <w:next w:val="Normal"/>
    <w:link w:val="NaslovChar"/>
    <w:uiPriority w:val="10"/>
    <w:qFormat/>
    <w:rsid w:val="00B0236D"/>
    <w:pPr>
      <w:spacing w:after="80" w:line="240" w:lineRule="auto"/>
      <w:contextualSpacing/>
    </w:pPr>
    <w:rPr>
      <w:rFonts w:asciiTheme="majorHAnsi" w:eastAsiaTheme="majorEastAsia" w:hAnsiTheme="majorHAnsi" w:cstheme="majorBidi" w:ascii="Arial" w:hAnsi="Arial"/>
      <w:color w:val="000000"/>
      <w:spacing w:val="-10"/>
      <w:kern w:val="28"/>
      <w:sz w:val="56"/>
      <w:szCs w:val="56"/>
      <w:lang w:val="hr-HR"/>
    </w:rPr>
  </w:style>
  <w:style w:type="character" w:customStyle="1" w:styleId="NaslovChar">
    <w:name w:val="Naslov Char"/>
    <w:basedOn w:val="Zadanifontodlomka"/>
    <w:link w:val="Naslov"/>
    <w:uiPriority w:val="10"/>
    <w:rsid w:val="00B0236D"/>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B0236D"/>
    <w:pPr>
      <w:numPr>
        <w:ilvl w:val="1"/>
      </w:numPr>
    </w:pPr>
    <w:rPr>
      <w:rFonts w:eastAsiaTheme="majorEastAsia" w:cstheme="majorBidi" w:ascii="Arial" w:hAnsi="Arial"/>
      <w:color w:val="000000"/>
      <w:spacing w:val="15"/>
      <w:sz w:val="28"/>
      <w:szCs w:val="28"/>
      <w:lang w:val="hr-HR"/>
    </w:rPr>
  </w:style>
  <w:style w:type="character" w:customStyle="1" w:styleId="PodnaslovChar">
    <w:name w:val="Podnaslov Char"/>
    <w:basedOn w:val="Zadanifontodlomka"/>
    <w:link w:val="Podnaslov"/>
    <w:uiPriority w:val="11"/>
    <w:rsid w:val="00B0236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B0236D"/>
    <w:pPr>
      <w:spacing w:before="160"/>
      <w:jc w:val="center"/>
    </w:pPr>
    <w:rPr>
      <w:rFonts w:ascii="Arial" w:hAnsi="Arial"/>
      <w:i/>
      <w:iCs/>
      <w:color w:val="000000"/>
      <w:lang w:val="hr-HR"/>
    </w:rPr>
  </w:style>
  <w:style w:type="character" w:customStyle="1" w:styleId="CitatChar">
    <w:name w:val="Citat Char"/>
    <w:basedOn w:val="Zadanifontodlomka"/>
    <w:link w:val="Citat"/>
    <w:uiPriority w:val="29"/>
    <w:rsid w:val="00B0236D"/>
    <w:rPr>
      <w:i/>
      <w:iCs/>
      <w:color w:val="404040" w:themeColor="text1" w:themeTint="BF"/>
    </w:rPr>
  </w:style>
  <w:style w:type="paragraph" w:styleId="Odlomakpopisa">
    <w:name w:val="List Paragraph"/>
    <w:basedOn w:val="Normal"/>
    <w:uiPriority w:val="34"/>
    <w:qFormat/>
    <w:rsid w:val="00B0236D"/>
    <w:pPr>
      <w:ind w:left="720"/>
      <w:contextualSpacing/>
    </w:pPr>
    <w:rPr>
      <w:rFonts w:ascii="Arial" w:hAnsi="Arial"/>
      <w:color w:val="000000"/>
      <w:lang w:val="hr-HR"/>
    </w:rPr>
  </w:style>
  <w:style w:type="character" w:styleId="Jakoisticanje">
    <w:name w:val="Intense Emphasis"/>
    <w:basedOn w:val="Zadanifontodlomka"/>
    <w:uiPriority w:val="21"/>
    <w:qFormat/>
    <w:rsid w:val="00B0236D"/>
    <w:rPr>
      <w:i/>
      <w:iCs/>
      <w:color w:val="0F4761" w:themeColor="accent1" w:themeShade="BF"/>
    </w:rPr>
  </w:style>
  <w:style w:type="paragraph" w:styleId="Naglaencitat">
    <w:name w:val="Intense Quote"/>
    <w:basedOn w:val="Normal"/>
    <w:next w:val="Normal"/>
    <w:link w:val="NaglaencitatChar"/>
    <w:uiPriority w:val="30"/>
    <w:qFormat/>
    <w:rsid w:val="00B0236D"/>
    <w:pPr>
      <w:spacing w:before="360" w:after="360"/>
      <w:ind w:left="864" w:right="864"/>
      <w:jc w:val="center"/>
    </w:pPr>
    <w:rPr>
      <w:rFonts w:ascii="Arial" w:hAnsi="Arial"/>
      <w:i/>
      <w:iCs/>
      <w:color w:val="000000"/>
      <w:lang w:val="hr-HR"/>
    </w:rPr>
  </w:style>
  <w:style w:type="character" w:customStyle="1" w:styleId="NaglaencitatChar">
    <w:name w:val="Naglašen citat Char"/>
    <w:basedOn w:val="Zadanifontodlomka"/>
    <w:link w:val="Naglaencitat"/>
    <w:uiPriority w:val="30"/>
    <w:rsid w:val="00B0236D"/>
    <w:rPr>
      <w:i/>
      <w:iCs/>
      <w:color w:val="0F4761" w:themeColor="accent1" w:themeShade="BF"/>
    </w:rPr>
  </w:style>
  <w:style w:type="character" w:styleId="Istaknutareferenca">
    <w:name w:val="Intense Reference"/>
    <w:basedOn w:val="Zadanifontodlomka"/>
    <w:uiPriority w:val="32"/>
    <w:qFormat/>
    <w:rsid w:val="00B0236D"/>
    <w:rPr>
      <w:b/>
      <w:bCs/>
      <w:smallCaps/>
      <w:color w:val="0F4761" w:themeColor="accent1" w:themeShade="BF"/>
      <w:spacing w:val="5"/>
    </w:rPr>
  </w:style>
  <w:style w:type="table" w:styleId="Reetkatablice">
    <w:name w:val="Table Grid"/>
    <w:basedOn w:val="Obinatablica"/>
    <w:uiPriority w:val="39"/>
    <w:qFormat/>
    <w:rsid w:val="00B0236D"/>
    <w:pPr>
      <w:spacing w:after="0" w:line="240" w:lineRule="auto"/>
    </w:pPr>
    <w:rPr>
      <w:rFonts w:ascii="Times New Roman" w:eastAsia="SimSun" w:hAnsi="Times New Roman" w:cs="Times New Roman"/>
      <w:kern w:val="0"/>
      <w:sz w:val="20"/>
      <w:szCs w:val="20"/>
      <w:lang w:eastAsia="hr-H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aglavlje">
    <w:name w:val="header"/>
    <w:basedOn w:val="Normal"/>
    <w:link w:val="ZaglavljeChar"/>
    <w:uiPriority w:val="99"/>
    <w:unhideWhenUsed/>
    <w:rsid w:val="004A5250"/>
    <w:pPr>
      <w:tabs>
        <w:tab w:val="center" w:pos="4536"/>
        <w:tab w:val="right" w:pos="9072"/>
      </w:tabs>
      <w:spacing w:after="0" w:line="240" w:lineRule="auto"/>
    </w:pPr>
    <w:rPr>
      <w:rFonts w:ascii="Arial" w:hAnsi="Arial"/>
      <w:color w:val="000000"/>
    </w:rPr>
  </w:style>
  <w:style w:type="character" w:customStyle="1" w:styleId="ZaglavljeChar">
    <w:name w:val="Zaglavlje Char"/>
    <w:basedOn w:val="Zadanifontodlomka"/>
    <w:link w:val="Zaglavlje"/>
    <w:uiPriority w:val="99"/>
    <w:rsid w:val="004A5250"/>
    <w:rPr>
      <w:lang w:val="bs-Latn-BA"/>
    </w:rPr>
  </w:style>
  <w:style w:type="paragraph" w:styleId="Podnoje">
    <w:name w:val="footer"/>
    <w:basedOn w:val="Normal"/>
    <w:link w:val="PodnojeChar"/>
    <w:uiPriority w:val="99"/>
    <w:unhideWhenUsed/>
    <w:rsid w:val="004A5250"/>
    <w:pPr>
      <w:tabs>
        <w:tab w:val="center" w:pos="4536"/>
        <w:tab w:val="right" w:pos="9072"/>
      </w:tabs>
      <w:spacing w:after="0" w:line="240" w:lineRule="auto"/>
    </w:pPr>
    <w:rPr>
      <w:rFonts w:ascii="Arial" w:hAnsi="Arial"/>
      <w:color w:val="000000"/>
    </w:rPr>
  </w:style>
  <w:style w:type="character" w:customStyle="1" w:styleId="PodnojeChar">
    <w:name w:val="Podnožje Char"/>
    <w:basedOn w:val="Zadanifontodlomka"/>
    <w:link w:val="Podnoje"/>
    <w:uiPriority w:val="99"/>
    <w:rsid w:val="004A5250"/>
    <w:rPr>
      <w:lang w:val="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7</Pages>
  <Words>1113</Words>
  <Characters>6345</Characters>
  <Application>Microsoft Office Word</Application>
  <DocSecurity>0</DocSecurity>
  <Lines>52</Lines>
  <Paragraphs>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 User</dc:creator>
  <cp:keywords/>
  <dc:description/>
  <cp:lastModifiedBy>DT User</cp:lastModifiedBy>
  <cp:revision>2</cp:revision>
  <dcterms:created xsi:type="dcterms:W3CDTF">2026-10-25T16:34:00Z</dcterms:created>
  <dcterms:modified xsi:type="dcterms:W3CDTF">2026-10-29T16:50:00Z</dcterms:modified>
</cp:coreProperties>
</file>