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aslov"/>
      </w:pPr>
      <w:r>
        <w:t>Priprema za realizaciju oglednog časa</w:t>
      </w:r>
    </w:p>
    <w:p>
      <w:r>
        <w:t>Vrednovanje djela u Zakonu Božijem • prošireno prema dostavljenoj radnoj pripremi</w:t>
      </w:r>
    </w:p>
    <w:tbl>
      <w:tblPr>
        <w:tblStyle w:val="Reetkatablice"/>
        <w:tblW w:type="auto" w:w="0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Podatak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Priprema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Nastavni predmet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Islamska vjeronauka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Škola i nastavnik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Razred i datum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VIII • 16–19 učenika • datum: __________________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Nastavna jedinica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Vrednovanje djela u Zakonu Božijem (15)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Tip sata i trajanje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Obrada uz primjenu i formativnu provjeru • 45 minuta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Oblast / domena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B / Islam – praktikovanje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Ishod učenja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B.8.5. Definira pojmove šerijat i izvori šerijata, analizira značaj Božijeg zakona i klasificira ljudske postupke – „efalul-mukellefin”.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Razrada ishoda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1. Učenik razvrstava pet postupaka prema kategoriji.</w:t>
              <w:br/>
              <w:t>2. Razlikuje kvarenje namaza i abdesta.</w:t>
              <w:br/>
              <w:t>3. Navodi i obrazlaže primjer mubaha.</w:t>
              <w:br/>
              <w:t>Dodatno: prepoznaje osam kategorija i četiri termina sa str. 32.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Oblici rada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Frontalni razgovor i demonstracija; individualni listić i kviz; rad u paru za termine; pet grupa A–E od 3–4 učenika.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Metode / strategije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Razgovor, rad na tekstu, demonstracija, razvrstavanje s razlogom, analiza slučaja, kviz i samoprocjena.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Sredstva i pomagala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Udžbenik str. 29–32; HTML na pametnoj tabli, prezentacija, individualni listić, pet grupnih zadataka, nastavnički ključ; papir, olovka i tabla.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60" w:before="60"/>
            </w:pPr>
            <w:r>
              <w:rPr>
                <w:sz w:val="20"/>
              </w:rPr>
              <w:t>Međupredmetna korelacija</w:t>
            </w:r>
          </w:p>
        </w:tc>
        <w:tc>
          <w:tcPr>
            <w:tcW w:type="dxa" w:w="7370"/>
          </w:tcPr>
          <w:p>
            <w:pPr>
              <w:spacing w:after="60" w:before="60"/>
            </w:pPr>
            <w:r>
              <w:rPr>
                <w:sz w:val="20"/>
              </w:rPr>
              <w:t>Bosanski jezik: čitanje s razumijevanjem i argumentacija. Odjeljenska zajednica: odgovorno odlučivanje i saradnja. DHP-1.1.3 i DHP-1.2.1 preuzeto iz osnovne pripreme.</w:t>
            </w:r>
          </w:p>
        </w:tc>
      </w:tr>
    </w:tbl>
    <w:p>
      <w:r>
        <w:br w:type="page"/>
      </w:r>
    </w:p>
    <w:p>
      <w:pPr>
        <w:pStyle w:val="Naslov1"/>
      </w:pPr>
      <w:r>
        <w:t>Artikulacija nastavnog sata</w:t>
      </w:r>
    </w:p>
    <w:p>
      <w:r>
        <w:t>Uvodni dio 5 minuta • glavni dio 35 minuta • završni dio 5 minuta. Osnovna tri pokazatelja ostaju iz dostavljene pripreme; digitalne aktivnosti daju učeniku vidljiv trag rada.</w:t>
      </w:r>
    </w:p>
    <w:p>
      <w:pPr>
        <w:pStyle w:val="Naslov2"/>
      </w:pPr>
      <w:r>
        <w:t>0–5 minuta Uvod i kriteriji uspjeha</w:t>
      </w:r>
    </w:p>
    <w:p>
      <w:r>
        <w:t>Nastavnik: Prikaži uvodna pitanja (slajd 2): namaz, šetnja i krađa. Poveži razliku obaveze, preporuke i dopuštenja s naslovom. Najavi tri pokazatelja iz osnovne pripreme.</w:t>
      </w:r>
    </w:p>
    <w:p>
      <w:r>
        <w:t>Učenici: Razmisle samostalno, kratko razmijene mišljenje u paru, dva para obrazlažu odgovor.</w:t>
      </w:r>
    </w:p>
    <w:p>
      <w:r>
        <w:t>Praćenje: Prepoznaju da postupci nemaju jednaku obaveznost.</w:t>
      </w:r>
    </w:p>
    <w:p>
      <w:pPr>
        <w:pStyle w:val="Naslov2"/>
      </w:pPr>
      <w:r>
        <w:t>5–13 minuta Mapa osam pojmova</w:t>
      </w:r>
    </w:p>
    <w:p>
      <w:r>
        <w:t>Nastavnik: Prikaži slajdove 3–12 uz str. 29–30. Objasni farz, vadžib, sunnet, mustehab, mubah, haram, mekruh i mufsid. Istakni preciznost primjera o namazu i abdestu.</w:t>
      </w:r>
    </w:p>
    <w:p>
      <w:r>
        <w:t>Učenici: Prate primjer u udžbeniku i usmeno povezuju kategoriju i značenje.</w:t>
      </w:r>
    </w:p>
    <w:p>
      <w:r>
        <w:t>Praćenje: Kratko provjeri farz–vadžib, preporuka–obaveza i mubah–haram.</w:t>
      </w:r>
    </w:p>
    <w:p>
      <w:pPr>
        <w:pStyle w:val="Naslov2"/>
      </w:pPr>
      <w:r>
        <w:t>13–20 minuta Individualno razvrstavanje</w:t>
      </w:r>
    </w:p>
    <w:p>
      <w:r>
        <w:t>Nastavnik: Podijeli individualni listić. Zadatak 1 su pet postupaka iz osnovne pripreme. U cijeloj tabeli sa str. 31 obavezno provjeri redove 1, 4, 10, 11 i 12; ostale redove ostavi za dodatni rad.</w:t>
      </w:r>
    </w:p>
    <w:p>
      <w:r>
        <w:t>Učenici: Samostalno rješavaju pet postupaka i označene redove tabele; uz dva postupka obrazlažu razlog.</w:t>
      </w:r>
    </w:p>
    <w:p>
      <w:r>
        <w:t>Praćenje: Prati prvi pokazatelj; ne zaključuj samo prema broju oznaka.</w:t>
      </w:r>
    </w:p>
    <w:p>
      <w:pPr>
        <w:pStyle w:val="Naslov2"/>
      </w:pPr>
      <w:r>
        <w:t>20–27 minuta Pet grupa i pet slučajeva</w:t>
      </w:r>
    </w:p>
    <w:p>
      <w:r>
        <w:t>Nastavnik: Podijeli zasebne listove A–E: 1 min čitanje, 3 min dogovor, do 30 sekundi izvještaj svake grupe i kratka korekcija.</w:t>
      </w:r>
    </w:p>
    <w:p>
      <w:r>
        <w:t>Učenici: U grupama od 3–4 učenika napišu zaključak i dokaz iz lekcije; svaki učenik doprinosi jednim prijedlogom.</w:t>
      </w:r>
    </w:p>
    <w:p>
      <w:r>
        <w:t>Praćenje: Prati argumentaciju; slučaj C poveži s individualnim zadatkom o namazu i abdestu.</w:t>
      </w:r>
    </w:p>
    <w:p>
      <w:pPr>
        <w:pStyle w:val="Naslov2"/>
      </w:pPr>
      <w:r>
        <w:t>27–30 minuta Četiri termina</w:t>
      </w:r>
    </w:p>
    <w:p>
      <w:r>
        <w:t>Nastavnik: Prikaži slajdove 16–17; poveži kategorično, imperativ, mutevatir hadis i zinaluk sa značenjem.</w:t>
      </w:r>
    </w:p>
    <w:p>
      <w:r>
        <w:t>Učenici: U paru popune povezivanje na individualnom listiću; provjera na tabli.</w:t>
      </w:r>
    </w:p>
    <w:p>
      <w:r>
        <w:t>Praćenje: Učenik objašnjava jedan termin svojim riječima.</w:t>
      </w:r>
    </w:p>
    <w:p>
      <w:pPr>
        <w:pStyle w:val="Naslov2"/>
      </w:pPr>
      <w:r>
        <w:t>30–40 minuta Kviz za čas od 12 pitanja</w:t>
      </w:r>
    </w:p>
    <w:p>
      <w:r>
        <w:t>Nastavnik: U HTML-u izaberi 12 pitanja. Za svaki odgovor oko 30 sekundi, zatim kratka provjera. Odgovore prikupi na individualnom listiću.</w:t>
      </w:r>
    </w:p>
    <w:p>
      <w:r>
        <w:t>Učenici: Svako prvo upisuje A/B/C/D, zatim jedan učenik označi odgovor na tabli.</w:t>
      </w:r>
    </w:p>
    <w:p>
      <w:r>
        <w:t>Praćenje: Razlikuj individualni rezultat od zajedničkog odgovora na tabli. Prošireni kviz od 18 pitanja služi dodatnom radu.</w:t>
      </w:r>
    </w:p>
    <w:p>
      <w:pPr>
        <w:pStyle w:val="Naslov2"/>
      </w:pPr>
      <w:r>
        <w:t>40–45 minuta Završna provjera i samoprocjena</w:t>
      </w:r>
    </w:p>
    <w:p>
      <w:r>
        <w:t>Nastavnik: Tri minute za zadatke o namazu/abdestu i primjeru mubaha; dvije za povratnu informaciju i samoprocjenu.</w:t>
      </w:r>
    </w:p>
    <w:p>
      <w:r>
        <w:t>Učenici: Napišu kratak odgovor, zaokruže nivo podrške i jednu nejasnoću.</w:t>
      </w:r>
    </w:p>
    <w:p>
      <w:r>
        <w:t>Praćenje: Bilježi 0–2 za svaki od tri pokazatelja iz osnovne pripreme; zadaj dovršavanje tabele ili prošireni kviz.</w:t>
      </w:r>
    </w:p>
    <w:p>
      <w:r>
        <w:br w:type="page"/>
      </w:r>
    </w:p>
    <w:p>
      <w:pPr>
        <w:pStyle w:val="Naslov1"/>
      </w:pPr>
      <w:r>
        <w:t>Prilozi i organizacija</w:t>
      </w:r>
    </w:p>
    <w:p>
      <w:r>
        <w:t>Za svakog učenika: Individualni radni listic.docx/PDF, dvije stranice, pri čemu je druga vodoravna tabela. Štampati 19 kompleta. U prvom dijelu učenik radi zadatke 1 i 2 i pet označenih redova tabele; u kvizu upisuje 12 slova, a na kraju rješava zadatke 4 i 5. Prazna mjesta za samoprocjenu ne bodovati.</w:t>
      </w:r>
    </w:p>
    <w:p>
      <w:r>
        <w:t>Za grupe: Grupni zadaci A-E.docx/PDF ima pet odvojenih stranica, po jednu za svaku grupu. Kod 16 učenika raspored je 4+3+3+3+3; kod 19 učenika 4+4+4+4+3. Uloge: čitač, zapisničar, izvjestilac; četvrti član provjerava izvor i vrijeme. U grupi od tri učenika ove zadatke podijeliti.</w:t>
      </w:r>
    </w:p>
    <w:p>
      <w:r>
        <w:t>Prošireni kviz: 18 pitanja na tri stranice za dodatnu vježbu ili naredni čas. Pitanja 1–12 identična su osnovnom kvizu, a 13–18 provjeravaju termine, mendub i poruku hadisa. Na oglednom času ne rješavati uzastopno oba kviza.</w:t>
      </w:r>
    </w:p>
    <w:p>
      <w:r>
        <w:t>Tabela zadržava svih 14 redova i sedam kategorija. Na času su obavezni redovi 1, 4, 10, 11 i 12; preostalih devet redova je za učenike koji ranije završe ili za zadaću i naknadnu zajedničku provjeru. Ne predstavljati svih 14 redova kao provjeren ishod ako nisu obrađeni.</w:t>
      </w:r>
    </w:p>
    <w:p>
      <w:pPr>
        <w:pStyle w:val="Naslov1"/>
      </w:pPr>
      <w:r>
        <w:t>Upotreba prezentacije i HTML stranice</w:t>
      </w:r>
    </w:p>
    <w:p>
      <w:r>
        <w:t>Slajd 2 za uvod; slajdovi 3–12 za pojmove; slajdovi 16–17 za termine. Slajdovi 13–15 i 18 su dopunski udžbenički sadržaj za čitanje ili zadaću. Kviz pokrenuti u kartici Kviz; slajdovi 19–30 ostaju alternativa. Ne prikazivati ista pitanja dvaput.</w:t>
      </w:r>
    </w:p>
    <w:p>
      <w:r>
        <w:t>Na Prestigio tabli uključiti Pametna tabla ili otvoriti link s dodatkom ?tabla=1. Velikim poljima biraju se odgovori; tabela se može prikazati postupak po postupak. U kvizu učenici prvo odgovaraju individualno na papiru; rezultat na tabli predstavlja zajednički odgovor, ne uspjeh svakog učenika.</w:t>
      </w:r>
    </w:p>
    <w:p>
      <w:pPr>
        <w:pStyle w:val="Naslov1"/>
      </w:pPr>
      <w:r>
        <w:t>Rezervna izvedba i podrška</w:t>
      </w:r>
    </w:p>
    <w:p>
      <w:r>
        <w:t>Bez interneta otvoriti preuzeti HTML ili PPTX. Bez projektora koristiti udžbenik, štampane listiće i grupne zadatke; nastavnik čita 12 pitanja, učenici upisuju slovo. Poslije jedne minute tehničkog zastoja prijeći na papir.</w:t>
      </w:r>
    </w:p>
    <w:p>
      <w:r>
        <w:t>Podrška: označen odlomak iz udžbenika, ponuđena lista pojmova i obrazac „Tvrdnja – podatak iz teksta – razlog”. Učenik može prvo usmeno odgovoriti, zatim zapisati ključne riječi. Dodatni izazov: dopuniti neobrađene redove tabele ili objasniti okolnost koja mijenja procjenu postupka.</w:t>
      </w:r>
    </w:p>
    <w:p>
      <w:r>
        <w:br w:type="page"/>
      </w:r>
    </w:p>
    <w:p>
      <w:pPr>
        <w:pStyle w:val="Naslov1"/>
      </w:pPr>
      <w:r>
        <w:t>Očekivani odgovori i smjernice za nastavnika</w:t>
      </w:r>
    </w:p>
    <w:p>
      <w:r>
        <w:t>Individualni zadatak 1: farz, vadžib, mustehab, mubah, haram. Za dva obrazloženja prihvatiti smislen razlog povezan s definicijom. Zadatak 2: 1–C, 2–D, 3–A, 4–B. Zadatak 4: obični namjerni govor kvari namaz, ali sam po sebi ne kvari abdest. Zadatak 5: primjer mubaha uz jasne okolnosti, npr. odmor koji pomaže učenju i izvršavanju dužnosti.</w:t>
      </w:r>
    </w:p>
    <w:p>
      <w:pPr>
        <w:pStyle w:val="Naslov2"/>
      </w:pPr>
      <w:r>
        <w:t>Kviz od 12 pitanja i proširenje do 18</w:t>
      </w:r>
    </w:p>
    <w:p>
      <w:r>
        <w:t>1. A — Fikh proučava propise o ljudskim djelima. Udžbenik, str. 29.</w:t>
      </w:r>
    </w:p>
    <w:p>
      <w:r>
        <w:t>2. B — Ramazanski post je farz za osobu na koju se obaveza odnosi. Str. 29 i 31.</w:t>
      </w:r>
    </w:p>
    <w:p>
      <w:r>
        <w:t>3. C — Vitr-namaz je primjer vadžiba u hanefijskom učenju. Str. 29.</w:t>
      </w:r>
    </w:p>
    <w:p>
      <w:r>
        <w:t>4. D — Dozvoljena šetnja u slobodno vrijeme primjer je mubaha. Str. 30.</w:t>
      </w:r>
    </w:p>
    <w:p>
      <w:r>
        <w:t>5. A — Mufsid se povezuje s konkretnim ibadetom. Govor kvari namaz; sam govor nije uzrok gubitka abdesta.</w:t>
      </w:r>
    </w:p>
    <w:p>
      <w:r>
        <w:t>6. C — Postoje različiti stepeni obaveznosti i zabrane. Ne zaključujemo samo prema popularnosti.</w:t>
      </w:r>
    </w:p>
    <w:p>
      <w:r>
        <w:t>7. B — Mustehab je preporučeno i lijepo djelo. Str. 29–30.</w:t>
      </w:r>
    </w:p>
    <w:p>
      <w:r>
        <w:t>8. D — Udžbenik navodi sunnete i sunsunnete dnevnih namaza. Str. 29.</w:t>
      </w:r>
    </w:p>
    <w:p>
      <w:r>
        <w:t>9. B — Krađa je strogo zabranjena. Str. 30.</w:t>
      </w:r>
    </w:p>
    <w:p>
      <w:r>
        <w:t>10. A — Mekruh je pokuđeno djelo; nije isto što i mubah. Str. 30.</w:t>
      </w:r>
    </w:p>
    <w:p>
      <w:r>
        <w:t>11. C — Razlika farz–vadžib ne znači da je vadžib neobavezan.</w:t>
      </w:r>
    </w:p>
    <w:p>
      <w:r>
        <w:t>12. D — Fardi kifaje je obaveza zajednice: kada je dovoljan broj izvrši, ostali su oslobođeni. Str. 29 i 32.</w:t>
      </w:r>
    </w:p>
    <w:p>
      <w:r>
        <w:t>13. B — Kategorično znači da o nečemu nema sumnje; sigurno i bezuvjetno. Udžbenik, str. 32.</w:t>
      </w:r>
    </w:p>
    <w:p>
      <w:r>
        <w:t>14. C — Imperativ znači zapovijed ili naredba. Udžbenik, str. 32.</w:t>
      </w:r>
    </w:p>
    <w:p>
      <w:r>
        <w:t>15. A — Definicija naglašava mnogobrojne prenosioce kroz generacije i pouzdanost predaje. Str. 32.</w:t>
      </w:r>
    </w:p>
    <w:p>
      <w:r>
        <w:t>16. D — Udžbeničko značenje termina zinaluk je blud. Str. 32.</w:t>
      </w:r>
    </w:p>
    <w:p>
      <w:r>
        <w:t>17. B — Mendub je ovdje širi naziv za preporučena djela. Zato tabela ima mendub, a u objašnjenju lekcije pojavljuju se sunnet i mustehab.</w:t>
      </w:r>
    </w:p>
    <w:p>
      <w:r>
        <w:t>18. C — Hadis sa str. 32 upućuje na vrijednost trajnog dobrog djela, makar bilo malo.</w:t>
      </w:r>
    </w:p>
    <w:p>
      <w:r>
        <w:br w:type="page"/>
      </w:r>
    </w:p>
    <w:p>
      <w:pPr>
        <w:pStyle w:val="Naslov1"/>
      </w:pPr>
      <w:r>
        <w:t>Ključ tabele i grupnih zadataka</w:t>
      </w:r>
    </w:p>
    <w:p>
      <w:r>
        <w:t>Predloženo svrstavanje u hanefijskom nastavnom okviru; udžbenik ne donosi štampani ključ. Uvažiti navedene uslove. Mendub je ovdje širi naziv za preporučena djela, uključujući sunnet.</w:t>
      </w:r>
    </w:p>
    <w:p>
      <w:r>
        <w:t>1. Klanjanje bajram-namaza — Vadžib. Vadžib u hanefijskom učenju za osobu na koju se obaveza odnosi.</w:t>
      </w:r>
    </w:p>
    <w:p>
      <w:r>
        <w:t>2. Nošenje odjeće od svile muškarcu — Haram. Prirodna svila za muškarca, bez izuzetka zbog opravdane potrebe; vještačka svila nije isto.</w:t>
      </w:r>
    </w:p>
    <w:p>
      <w:r>
        <w:t>3. Klanjanje nafile pred sami zalazak Sunca — Mekruh tahrimen. Mekruh tahrimen: nafila u vrijeme neposredno pred zalazak Sunca.</w:t>
      </w:r>
    </w:p>
    <w:p>
      <w:r>
        <w:t>4. Ruku’ u namazu — Farz. Ruku’ je namaski farz.</w:t>
      </w:r>
    </w:p>
    <w:p>
      <w:r>
        <w:t>5. Upotreba mirisa u ihramima — Haram. Upotreba mirisa nakon stupanja u ihramske zabrane; razlikovati od mirisanja prije ihrama.</w:t>
      </w:r>
    </w:p>
    <w:p>
      <w:r>
        <w:t>6. Klanje kurbana — Vadžib. Vadžib za osobu koja ispunjava uslove.</w:t>
      </w:r>
    </w:p>
    <w:p>
      <w:r>
        <w:t>7. Neposlušnost roditeljima — Haram. Neposlušnost u onome što je dobro i dozvoljeno. Nema poslušnosti ljudima u grijehu.</w:t>
      </w:r>
    </w:p>
    <w:p>
      <w:r>
        <w:t>8. Zapisivanje duga — Mendub. Mendub kao preporuka zapisivanja radi zaštite prava u uobičajenoj situaciji.</w:t>
      </w:r>
    </w:p>
    <w:p>
      <w:r>
        <w:t>9. Neklanjanje sunsunneta — Mekruh tenzihen. Mekruh tenzihen kao školsko svrstavanje izostavljanja sunneta. Potrebno je razlikovati opravdan izostanak od ustrajnog zanemarivanja pritvrđenog sunneta.</w:t>
      </w:r>
    </w:p>
    <w:p>
      <w:r>
        <w:t>10. Šetati u slobodno vrijeme — Mubah. Mubah u slobodno vrijeme, bez izostavljanja obaveza.</w:t>
      </w:r>
    </w:p>
    <w:p>
      <w:r>
        <w:t>11. Klanjanje teravih-namaza — Mendub. Mendub je u ovoj tabeli širi naziv za preporučena djela; teravih-namaz je pritvrđeni sunnet.</w:t>
      </w:r>
    </w:p>
    <w:p>
      <w:r>
        <w:t>12. Ramazanski post — Farz. Farz za osobu na koju se obaveza posta odnosi.</w:t>
      </w:r>
    </w:p>
    <w:p>
      <w:r>
        <w:t>13. Klanjati ikindijske sunnete — Mendub. Mendub; ikindijski sunneti su nepritvrđeni sunnet.</w:t>
      </w:r>
    </w:p>
    <w:p>
      <w:r>
        <w:t>14. Otići na izlet — Mubah. Mubah ako su sadržaj i okolnosti izleta dozvoljeni.</w:t>
      </w:r>
    </w:p>
    <w:p>
      <w:pPr>
        <w:pStyle w:val="Naslov2"/>
      </w:pPr>
      <w:r>
        <w:t>Grupa A</w:t>
      </w:r>
    </w:p>
    <w:p>
      <w:r>
        <w:t>Šetnja je mubah. Između obaveznog i zabranjenog postoje i druge kategorije; ono što nije farz nije automatski haram.</w:t>
      </w:r>
    </w:p>
    <w:p>
      <w:pPr>
        <w:pStyle w:val="Naslov2"/>
      </w:pPr>
      <w:r>
        <w:t>Grupa B</w:t>
      </w:r>
    </w:p>
    <w:p>
      <w:r>
        <w:t>Vitr je vadžib prema lekciji i hanefijskom učenju. Vadžib jeste obaveza; razlika u odnosu na farz odnosi se na dokaz, ne na slobodan izbor.</w:t>
      </w:r>
    </w:p>
    <w:p>
      <w:pPr>
        <w:pStyle w:val="Naslov2"/>
      </w:pPr>
      <w:r>
        <w:t>Grupa C</w:t>
      </w:r>
    </w:p>
    <w:p>
      <w:r>
        <w:t>Govor kvari namaz. Abdest nije pokvaren samim govorom; morao bi postojati zaseban uzrok koji kvari abdest.</w:t>
      </w:r>
    </w:p>
    <w:p>
      <w:pPr>
        <w:pStyle w:val="Naslov2"/>
      </w:pPr>
      <w:r>
        <w:t>Grupa D</w:t>
      </w:r>
    </w:p>
    <w:p>
      <w:r>
        <w:t>Popularnost nije mjerilo dozvoljenosti. Stvarna krađa je haram. Ne prenosimo olako ocjene iz igre na stvarne postupke; provjeravamo činjenice i propis.</w:t>
      </w:r>
    </w:p>
    <w:p>
      <w:pPr>
        <w:pStyle w:val="Naslov2"/>
      </w:pPr>
      <w:r>
        <w:t>Grupa E</w:t>
      </w:r>
    </w:p>
    <w:p>
      <w:r>
        <w:t>Tvrdnja nije tačna. Sunneti dnevnih namaza pripadaju sunnetu: preporučenoj praksi Muhammeda, a.s., za čije izvršavanje slijedi nagrada. Farz je stroga dužnost. To što djelo nije farz ne znači da nema vrijednost.</w:t>
      </w:r>
    </w:p>
    <w:p>
      <w:r>
        <w:br w:type="page"/>
      </w:r>
    </w:p>
    <w:p>
      <w:pPr>
        <w:pStyle w:val="Naslov1"/>
      </w:pPr>
      <w:r>
        <w:t>Praćenje napretka i napomene</w:t>
      </w:r>
    </w:p>
    <w:tbl>
      <w:tblPr>
        <w:tblStyle w:val="Reetkatablice"/>
        <w:tblW w:type="auto" w:w="0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Pokazatelj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2 samostalno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1 uz podršku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0 još nije pokazano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Razvrstava pet postupaka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Tačno razvrstava i obrazlaže dva izbora.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Dio tačno ili uz podsjetnik.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Ne razlikuje kategorije ni uz usmjeravanje.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Razlikuje namaz i abdest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Jasno objašnjava da sam govor ne kvari abdest.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Tačan zaključak uz pomoć.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Prenosi kvarenje namaza na abdest.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Navodi primjer mubaha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Primjer, razlog i okolnosti.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Primjer bez potpunog razloga.</w:t>
            </w:r>
          </w:p>
        </w:tc>
        <w:tc>
          <w:tcPr>
            <w:tcW w:type="dxa" w:w="2466"/>
          </w:tcPr>
          <w:p>
            <w:pPr>
              <w:spacing w:after="60" w:before="60"/>
            </w:pPr>
            <w:r>
              <w:rPr>
                <w:sz w:val="20"/>
              </w:rPr>
              <w:t>Primjer ne odgovara pojmu.</w:t>
            </w:r>
          </w:p>
        </w:tc>
      </w:tr>
    </w:tbl>
    <w:p>
      <w:r>
        <w:t>Zapisati po učeniku 0–2 za svaki pokazatelj. Zbir 0–6 je bilješka za formativnu povratnu informaciju, a ne automatska ocjena. Kviz i grupni rad daju dodatni dokaz. Procjenjuje se znanje i obrazloženje; ne traže se lična priznanja o vjerskoj praksi.</w:t>
      </w:r>
    </w:p>
    <w:p>
      <w:pPr>
        <w:pStyle w:val="Naslov1"/>
      </w:pPr>
      <w:r>
        <w:t>Izvori i usklađenost</w:t>
      </w:r>
    </w:p>
    <w:p>
      <w:r>
        <w:t>Dostavljena radna priprema je osnova za strukturu, ishod B.8.5, tri pokazatelja i podjelu časa 5+35+5. Oznake časa i korelacije prenesene su iz tog dokumenta. Udžbenik vjeronauke za VIII razred, štampane str. 29–32 (PDF 25–28), osnova je za pojmove i tabelu. Grupni slučajevi i zadaci su autorski primjeri za uzrast 13–14 godina.</w:t>
      </w:r>
    </w:p>
    <w:p>
      <w:r>
        <w:t>Stručna napomena: neprecizan primjer govora i abdesta na str. 30 razjašnjen je u svim materijalima. Obični namjerni govor tokom namaza kvari namaz, ali sam po sebi ne abdest. Kod sna i uzimanja hrane ili pića u postu važne su okolnosti; ne izjednačavati zaborav s namjernim prekidanjem posta.</w:t>
      </w:r>
    </w:p>
    <w:p>
      <w:r>
        <w:t>Stručna provjera: https://www.islam.ba/teme/fikh/sta-kvari-namaz ; https://islamskazajednica.ba/index.php/abdest-tjelesna-cistoca/4898-pitanja-o-abdestu ; https://www.islam.ba/teme/fikh/namaski-mekruhi .</w:t>
      </w:r>
    </w:p>
    <w:p>
      <w:pPr>
        <w:pStyle w:val="Naslov1"/>
      </w:pPr>
      <w:r>
        <w:t>Zapažanja nakon realizacije</w:t>
      </w:r>
    </w:p>
    <w:p>
      <w:r>
        <w:t>Ostvareno i dokaz: ______________________________________________</w:t>
        <w:br/>
        <w:t>Potrebna podrška i naredni korak: __________________________________</w:t>
        <w:br/>
        <w:t>Nastavnik: ______________________________</w:t>
      </w:r>
    </w:p>
    <w:sectPr w:rsidR="000D46B8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10A7" w14:textId="77777777" w:rsidR="00E909B8" w:rsidRDefault="00E909B8" w:rsidP="004A5250">
      <w:pPr>
        <w:spacing w:after="0" w:line="240" w:lineRule="auto"/>
      </w:pPr>
      <w:r>
        <w:separator/>
      </w:r>
    </w:p>
  </w:endnote>
  <w:endnote w:type="continuationSeparator" w:id="0">
    <w:p w14:paraId="2420ABB7" w14:textId="77777777" w:rsidR="00E909B8" w:rsidRDefault="00E909B8" w:rsidP="004A5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AE23" w14:textId="77777777" w:rsidR="00E909B8" w:rsidRDefault="00E909B8" w:rsidP="004A5250">
      <w:pPr>
        <w:spacing w:after="0" w:line="240" w:lineRule="auto"/>
      </w:pPr>
      <w:r>
        <w:separator/>
      </w:r>
    </w:p>
  </w:footnote>
  <w:footnote w:type="continuationSeparator" w:id="0">
    <w:p w14:paraId="47555A74" w14:textId="77777777" w:rsidR="00E909B8" w:rsidRDefault="00E909B8" w:rsidP="004A5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6D"/>
    <w:rsid w:val="000D46B8"/>
    <w:rsid w:val="002A7BCD"/>
    <w:rsid w:val="004A5250"/>
    <w:rsid w:val="00796930"/>
    <w:rsid w:val="008E0224"/>
    <w:rsid w:val="009245DD"/>
    <w:rsid w:val="00B0236D"/>
    <w:rsid w:val="00B51A0A"/>
    <w:rsid w:val="00E9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B6D8"/>
  <w15:chartTrackingRefBased/>
  <w15:docId w15:val="{BC0C1CD0-BB5B-4D55-98DF-228E95B6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6D"/>
    <w:pPr>
      <w:spacing w:after="100"/>
    </w:pPr>
    <w:rPr>
      <w:rFonts w:ascii="Arial" w:hAnsi="Arial"/>
      <w:color w:val="000000"/>
      <w:sz w:val="21"/>
      <w:lang w:val="bs-Latn-BA"/>
    </w:rPr>
  </w:style>
  <w:style w:type="paragraph" w:styleId="Naslov1">
    <w:name w:val="heading 1"/>
    <w:basedOn w:val="Normal"/>
    <w:next w:val="Normal"/>
    <w:link w:val="Naslov1Char"/>
    <w:uiPriority w:val="9"/>
    <w:qFormat/>
    <w:rsid w:val="00B0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0000"/>
      <w:sz w:val="30"/>
      <w:szCs w:val="40"/>
      <w:lang w:val="hr-HR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B0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0000"/>
      <w:sz w:val="24"/>
      <w:szCs w:val="32"/>
      <w:lang w:val="hr-HR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0236D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0000"/>
      <w:sz w:val="28"/>
      <w:szCs w:val="28"/>
      <w:lang w:val="hr-HR"/>
    </w:rPr>
  </w:style>
  <w:style w:type="paragraph" w:styleId="Naslov4">
    <w:name w:val="heading 4"/>
    <w:basedOn w:val="Normal"/>
    <w:next w:val="Normal"/>
    <w:link w:val="Naslov4Char"/>
    <w:unhideWhenUsed/>
    <w:qFormat/>
    <w:rsid w:val="00B0236D"/>
    <w:pPr>
      <w:keepNext/>
      <w:keepLines/>
      <w:spacing w:before="80" w:after="40"/>
      <w:outlineLvl w:val="3"/>
    </w:pPr>
    <w:rPr>
      <w:rFonts w:eastAsiaTheme="majorEastAsia" w:cstheme="majorBidi" w:ascii="Arial" w:hAnsi="Arial"/>
      <w:i/>
      <w:iCs/>
      <w:color w:val="000000"/>
      <w:lang w:val="hr-HR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0236D"/>
    <w:pPr>
      <w:keepNext/>
      <w:keepLines/>
      <w:spacing w:before="80" w:after="40"/>
      <w:outlineLvl w:val="4"/>
    </w:pPr>
    <w:rPr>
      <w:rFonts w:eastAsiaTheme="majorEastAsia" w:cstheme="majorBidi" w:ascii="Arial" w:hAnsi="Arial"/>
      <w:color w:val="000000"/>
      <w:lang w:val="hr-HR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0236D"/>
    <w:pPr>
      <w:keepNext/>
      <w:keepLines/>
      <w:spacing w:before="40" w:after="0"/>
      <w:outlineLvl w:val="5"/>
    </w:pPr>
    <w:rPr>
      <w:rFonts w:eastAsiaTheme="majorEastAsia" w:cstheme="majorBidi" w:ascii="Arial" w:hAnsi="Arial"/>
      <w:i/>
      <w:iCs/>
      <w:color w:val="000000"/>
      <w:lang w:val="hr-HR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0236D"/>
    <w:pPr>
      <w:keepNext/>
      <w:keepLines/>
      <w:spacing w:before="40" w:after="0"/>
      <w:outlineLvl w:val="6"/>
    </w:pPr>
    <w:rPr>
      <w:rFonts w:eastAsiaTheme="majorEastAsia" w:cstheme="majorBidi" w:ascii="Arial" w:hAnsi="Arial"/>
      <w:color w:val="000000"/>
      <w:lang w:val="hr-HR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0236D"/>
    <w:pPr>
      <w:keepNext/>
      <w:keepLines/>
      <w:spacing w:after="0"/>
      <w:outlineLvl w:val="7"/>
    </w:pPr>
    <w:rPr>
      <w:rFonts w:eastAsiaTheme="majorEastAsia" w:cstheme="majorBidi" w:ascii="Arial" w:hAnsi="Arial"/>
      <w:i/>
      <w:iCs/>
      <w:color w:val="000000"/>
      <w:lang w:val="hr-HR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0236D"/>
    <w:pPr>
      <w:keepNext/>
      <w:keepLines/>
      <w:spacing w:after="0"/>
      <w:outlineLvl w:val="8"/>
    </w:pPr>
    <w:rPr>
      <w:rFonts w:eastAsiaTheme="majorEastAsia" w:cstheme="majorBidi" w:ascii="Arial" w:hAnsi="Arial"/>
      <w:color w:val="000000"/>
      <w:lang w:val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0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B0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0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rsid w:val="00B0236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0236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0236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0236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0236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0236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0236D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42"/>
      <w:szCs w:val="56"/>
      <w:lang w:val="hr-HR"/>
    </w:rPr>
  </w:style>
  <w:style w:type="character" w:customStyle="1" w:styleId="NaslovChar">
    <w:name w:val="Naslov Char"/>
    <w:basedOn w:val="Zadanifontodlomka"/>
    <w:link w:val="Naslov"/>
    <w:uiPriority w:val="10"/>
    <w:rsid w:val="00B0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0236D"/>
    <w:pPr>
      <w:numPr>
        <w:ilvl w:val="1"/>
      </w:numPr>
    </w:pPr>
    <w:rPr>
      <w:rFonts w:eastAsiaTheme="majorEastAsia" w:cstheme="majorBidi" w:ascii="Arial" w:hAnsi="Arial"/>
      <w:color w:val="000000"/>
      <w:spacing w:val="15"/>
      <w:sz w:val="28"/>
      <w:szCs w:val="28"/>
      <w:lang w:val="hr-HR"/>
    </w:rPr>
  </w:style>
  <w:style w:type="character" w:customStyle="1" w:styleId="PodnaslovChar">
    <w:name w:val="Podnaslov Char"/>
    <w:basedOn w:val="Zadanifontodlomka"/>
    <w:link w:val="Podnaslov"/>
    <w:uiPriority w:val="11"/>
    <w:rsid w:val="00B0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0236D"/>
    <w:pPr>
      <w:spacing w:before="160"/>
      <w:jc w:val="center"/>
    </w:pPr>
    <w:rPr>
      <w:rFonts w:ascii="Arial" w:hAnsi="Arial"/>
      <w:i/>
      <w:iCs/>
      <w:color w:val="000000"/>
      <w:lang w:val="hr-HR"/>
    </w:rPr>
  </w:style>
  <w:style w:type="character" w:customStyle="1" w:styleId="CitatChar">
    <w:name w:val="Citat Char"/>
    <w:basedOn w:val="Zadanifontodlomka"/>
    <w:link w:val="Citat"/>
    <w:uiPriority w:val="29"/>
    <w:rsid w:val="00B0236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0236D"/>
    <w:pPr>
      <w:ind w:left="720"/>
      <w:contextualSpacing/>
    </w:pPr>
    <w:rPr>
      <w:rFonts w:ascii="Arial" w:hAnsi="Arial"/>
      <w:color w:val="000000"/>
      <w:lang w:val="hr-HR"/>
    </w:rPr>
  </w:style>
  <w:style w:type="character" w:styleId="Jakoisticanje">
    <w:name w:val="Intense Emphasis"/>
    <w:basedOn w:val="Zadanifontodlomka"/>
    <w:uiPriority w:val="21"/>
    <w:qFormat/>
    <w:rsid w:val="00B0236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0236D"/>
    <w:pPr>
      <w:spacing w:before="360" w:after="360"/>
      <w:ind w:left="864" w:right="864"/>
      <w:jc w:val="center"/>
    </w:pPr>
    <w:rPr>
      <w:rFonts w:ascii="Arial" w:hAnsi="Arial"/>
      <w:i/>
      <w:iCs/>
      <w:color w:val="000000"/>
      <w:lang w:val="hr-HR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0236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0236D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qFormat/>
    <w:rsid w:val="00B0236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hr-H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4A5250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color w:val="000000"/>
    </w:rPr>
  </w:style>
  <w:style w:type="character" w:customStyle="1" w:styleId="ZaglavljeChar">
    <w:name w:val="Zaglavlje Char"/>
    <w:basedOn w:val="Zadanifontodlomka"/>
    <w:link w:val="Zaglavlje"/>
    <w:uiPriority w:val="99"/>
    <w:rsid w:val="004A5250"/>
    <w:rPr>
      <w:lang w:val="bs-Latn-BA"/>
    </w:rPr>
  </w:style>
  <w:style w:type="paragraph" w:styleId="Podnoje">
    <w:name w:val="footer"/>
    <w:basedOn w:val="Normal"/>
    <w:link w:val="PodnojeChar"/>
    <w:uiPriority w:val="99"/>
    <w:unhideWhenUsed/>
    <w:rsid w:val="004A5250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color w:val="000000"/>
    </w:rPr>
  </w:style>
  <w:style w:type="character" w:customStyle="1" w:styleId="PodnojeChar">
    <w:name w:val="Podnožje Char"/>
    <w:basedOn w:val="Zadanifontodlomka"/>
    <w:link w:val="Podnoje"/>
    <w:uiPriority w:val="99"/>
    <w:rsid w:val="004A5250"/>
    <w:rPr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2026-10-25T16:34:00Z</dcterms:created>
  <dcterms:modified xsi:type="dcterms:W3CDTF">2026-10-29T16:50:00Z</dcterms:modified>
</cp:coreProperties>
</file>