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2060"/>
          <w:sz w:val="32"/>
        </w:rPr>
        <w:t>엔젤로보틱스 CB/CPS IM — 소제목별 집필 계획</w:t>
      </w:r>
    </w:p>
    <w:p>
      <w:r>
        <w:rPr>
          <w:b/>
          <w:color w:val="002060"/>
          <w:sz w:val="28"/>
        </w:rPr>
        <w:t>엔젤로보틱스 CB/CPS IM — 소제목별 집필 계획</w:t>
      </w:r>
    </w:p>
    <w:p>
      <w:r>
        <w:t>작성 2026.08.25 | 본문 미착수</w:t>
      </w:r>
    </w:p>
    <w:p>
      <w:r>
        <w:t>출처 약칭 — 반기: 제10기 반기보고서(26.08.14) / 사업: 제9기 사업보고서(26.03.23) / IR협: 한국IR협의회(24.09.26) / 리딩: 리딩투자증권(25.12.16) / SK: SK증권(25.05.29) / 유진: 유진투자증권 IPO분석(24.03.06) / 웹: 웹 리서치 / [요청]: 발행사 확보 필요</w:t>
      </w:r>
    </w:p>
    <w:p>
      <w:r>
        <w:t>상태 — ● 확보 / ◐ 부분 / ○ 미확보</w:t>
      </w:r>
    </w:p>
    <w:p>
      <w:r>
        <w:rPr>
          <w:b/>
          <w:color w:val="002060"/>
          <w:sz w:val="24"/>
        </w:rPr>
        <w:t>Ⅰ. Executive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소제목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쓸 내용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근거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출처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1.1 주요 금융 조건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총 [500]억 사모 메자닌. CPS [40]% 이상 자본 계상 + CB 잔여. 무이표·리픽싱 [70]%·2년 Put·선순위 채권 부재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딜 조건표, 차입금 전무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[요청], 반기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◐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1.2 투자 논거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보유 자산(규제·임상) → 변화 시점(인증 완결) → 하방 방어(무차입+CPS) 3단 구조로 요약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각 장 논거 집약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종합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1.3 자금 사용목적 및 일정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국책과제 민간부담금 / 양산 CAPEX / 해외 판매망 3개 항목. 이미 확보된 과제·인허가의 실행에 투입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국가과제 3건, 인허가 3개국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반기, [요청]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◐</w:t>
            </w:r>
          </w:p>
        </w:tc>
      </w:tr>
    </w:tbl>
    <w:p/>
    <w:p>
      <w:r>
        <w:rPr>
          <w:b/>
          <w:color w:val="002060"/>
          <w:sz w:val="24"/>
        </w:rPr>
        <w:t>Ⅱ. Investment Highlights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소제목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쓸 내용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근거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출처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2.1 인증·수가·임상 선점을 통한 국내 시장 과반 점유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점유율 56%로 2위의 2.7배. 식약처 3등급·건강보험 수가·최상위 저널 임상을 업계 최초 동시 확보. 국산 재활로봇 다수가 수가 진입에 실패한 것과 대조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56/21/10/7, 3등급('22.12), MM304, Stroke IF 8.9, JAMA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IR협 p.13, 반기, 웹(의학신문)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2.2 해외 판매 자격 확보에 따른 수출 본격화 국면 진입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2025년 매출 미달분의 24%p가 CE MDR 인증 지연. 아세안 3개국 완결로 제약 해소, 수출 비중 5.2%→9.7%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괴리사유 공시, 인증 3건, 수출 241→125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반기(괴리사유·매출실적·연혁)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2.3 기술·임상·경영 3개 부문의 전문 인력 확보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사이배슬론 2연패 기술진, 연세의대 교수 상근 임상총괄, Medtronic 출신 CEO. 인증 완결 시점과 경영진 재편 시점 일치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임원현황 8인, 연혁, 의무보유 3년 자발 연장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반기(임원·연혁), 유진(보호예수)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2.4 국책과제 주관기관 선정에 따른 장기 R&amp;D 재원 확보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브레인-투-로봇 등 국가과제 3건 동시 수행. 국고보조금이 R&amp;D 비용의 33~39%를 실제 분담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과제 3건 표, 보조금 1,202/1,731/766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반기(국가연구개발·연구개발비용)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</w:tbl>
    <w:p/>
    <w:p>
      <w:r>
        <w:rPr>
          <w:b/>
          <w:color w:val="002060"/>
          <w:sz w:val="24"/>
        </w:rPr>
        <w:t>Ⅲ-1. 회사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소제목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쓸 내용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근거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출처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1.1 설립 배경과 사업 구조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2017.02 ㈜에스지로보틱스로 교수창업, 2018.09 사명 변경. angel MEDI/SUIT/GEAR/KIT 4개 브랜드 + 용역. 종속회사 없어 별도 기준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기업개요표, 사업 구성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반기, IR협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1.2 주요 연혁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설립부터 2026.06 브레인-투-로봇 주관기관 선정까지 주요 이벤트 28건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연혁표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반기(경영활동 중요사항)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1.3 주주 현황 및 지배구조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공경철 22.56%, 특관 포함 27.48%, LG전자 6.24%, 소액 69,348명 56.8%. 설립 이후 최대주주 변동 없음. 의무보유 규정 1년→3년 자발 연장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주주현황표, 보호예수 현황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반기(주주), 유진(보호예수)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</w:tbl>
    <w:p/>
    <w:p>
      <w:r>
        <w:rPr>
          <w:b/>
          <w:color w:val="002060"/>
          <w:sz w:val="24"/>
        </w:rPr>
        <w:t>Ⅲ-2. 산업 분석  매출 → 성장성 → 이익 → 경쟁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소제목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쓸 내용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근거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출처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2.1 수가가 사업성을 가르는 산업 — 정의와 구조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착용형 재활로봇은 의료기기 인증과 수가 편입이 판매 가능 여부를 결정. 기술력이 아니라 제도 진입이 1차 관문인 산업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신의료기술평가 '기존기술' 3회 판정 사례, 급여 미적용 시 환자 전액부담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웹(의학신문), 반기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2.2 글로벌 시장 규모와 국내 산업의 위치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글로벌 의료용 로봇 116.6→722.2억$, 재활로봇 8.63→46.4억$. 국내 로봇산업 매출 6조1,695억원(2024)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GII·technavio, KIRIA 정부승인통계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IR협, 웹(KIRIA·Fortune)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◐ ⚠️기관별 편차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2.3 침투율 8% — 개화 초기에 머문 국내 시장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재활전문기관 보행재활로봇 보유율 8%, 수익시장 침투 2.5%. 현재 매출 규모는 시장 부재가 아니라 침투 초기의 결과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침투율 8%/2.5%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유진(IR Book)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◐ 2023년 기준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2.4 고령화와 재활 인력 부족이 만드는 비가역적 수요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2025년 고령인구 20.3% → 2036년 30% → 2050년 40%. 치료사 1:1 부축 구조의 인력 병목을 자본투자로 대체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인구추계, 재활치료 노동집약 구조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웹(국가데이터처·KOSIS), IR협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2.5 적응증 확대가 여는 차기 시장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현행 수가는 발병 6개월 이내 뇌졸중 한정. 소아 뇌성마비 약 8만명. 복지부가 척수손상·파킨슨 확대 추진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수가 대상 요건, 8만명, 복지부 정책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유진, IR협, 반기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2.6 수가 확보 여부가 가르는 수익 구조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수가 편입 시 병원 회수기간 0.9~1.3년으로 도입이 정당화됨. 미편입 시 환자 전액부담으로 고가 장비 판매가 사실상 불가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회수기간 0.9~1.3년, 교체주기 5년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IR협, 웹(의학신문)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◐ ⚠️산업 평균 마진·수가 단가 없음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2.7 인증·수가·임상이 만든 소수 과점 구도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국내 56/21/10/7 과점. 사업자 수 자체가 5개 내외로 제한. 해외는 라이프워드·Ekso·사이버다인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점유율, 설립연도, FDA 허가 이력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IR협, 반기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◐ ⚠️경쟁사 실명 미상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2.8 고정형과 착용형 — 상장 Peer와의 시장 구분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피앤에스로보틱스는 트레드밀 기반 고정형이고 해외 비중이 이미 높아 2025년 상반기 고성장. 착용형과 도입 예산·설치 요건이 달라 직접 비교가 성립하지 않음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피앤에스 2025 1H 매출 +78.8%, 영업이익 +213.2% / 제품 방식 차이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웹, [요청: 피앤에스 사업보고서]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◐ ⚠️절대 매출 규모 없음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2.9 소결 : 성장은 확실하되 수혜는 선별적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고령화·인력부족은 비가역적이나, 인증·수가 관문 통과 사업자에게 수혜가 집중되는 구조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상기 종합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종합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</w:tbl>
    <w:p/>
    <w:p>
      <w:r>
        <w:rPr>
          <w:b/>
          <w:color w:val="002060"/>
          <w:sz w:val="24"/>
        </w:rPr>
        <w:t>Ⅲ-3. 사업 분석  매출 → 성장성 → 이익 → 강점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소제목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쓸 내용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근거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출처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3.1 의료에서 출발해 일상·산업으로 확장하는 제품 구조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웨어러블 표준 플랫폼(WaSP)을 4개 브랜드에 공통 적용. 규제 강도가 가장 높은 의료를 먼저 통과한 뒤 하향 확장하는 경로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3대 핵심기술, WaSP, 브랜드 4종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반기(연구개발활동), 유진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3.2 제품별 매출 구성과 주력 제품의 축소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전사 4,211('24)→4,641('25)→1,295('26 1H). angel MEDI 내수 3,129→650 축소, SUIT 3.7배·유상유지보수 29배 성장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매출실적표 전 품목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반기(매출 실적)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3.3 추정치 미달의 원인과 해소 여부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2024년 -53.29%, 2025년 -77.73% 미달. 사유는 의정갈등·인증지연·B2G 예산감소이며 인증 요인은 해소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예측치 대비 실적표, 괴리사유 상세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반기(예측치 대비 실적 비교)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3.4 인허가 완결이 여는 해외 매출 경로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태국('25.6)·베트남('25.7)·말레이시아('25.12) 인증 후 2026.1 출시. 국가·권역 재활센터 단위 수주 구조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인증 3건, 출시, UiTM 협약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반기(연혁), 리딩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◐ ⚠️수주 파이프라인 없음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3.5 D2P·플랫폼 전환이 바꾸는 판매처 모수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2026년 홈재활용 D2P 슈트 개발 착수. 엔젤라 데이터 플랫폼. B2B에서 B2C로 판매처 모수 자체가 변화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2026년 3대 목표, 엔젤라 서비스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사업(주주에게 드리는 글), SK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3.6 60% 매출총이익률과 작동을 앞둔 영업레버리지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GPM 59.6%('24)→56.3%('25)→60.5%('26 1H). 판관비가 매출의 2~3배로 매출 임계 돌파 시 계단식 개선. 부품 80% 내재화 추진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GPM 추이, 판관비, 내재화 로드맵, 플랫폼화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반기, 사업, 유진, 리딩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◐ ⚠️BEP 매출 없음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3.7 복제 난이도가 높은 규제·임상·인력 자산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특허 출원 75건, 임상 논문 10편, 3등급, 수가, Stroke·JAMA, 사이배슬론 2연패의 결합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특허·논문 건수, 핵심특허 3건, 수상 이력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IR협, 반기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3.8 소결 : 구조는 갖추어졌고 볼륨이 과제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제품·채널·인력 구조는 완비. 남은 변수는 매출 볼륨이며 인허가 완결이 그 제약을 해소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상기 종합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종합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</w:tbl>
    <w:p/>
    <w:p>
      <w:r>
        <w:rPr>
          <w:b/>
          <w:color w:val="002060"/>
          <w:sz w:val="24"/>
        </w:rPr>
        <w:t>Ⅲ-4. 재무 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소제목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쓸 내용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근거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출처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4.1 손익 추이 및 수익성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매출·매출원가·판관비·영업손익 3개년 확정치. 2025년 판관비 3.47% 감소는 품질 개선에 따른 판매보증비·수선비 절감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손익계산서, 판관비 증감 사유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반기, 사업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4.2 무차입 순현금 구조와 상환 재원 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차입금·회사채·CP 전무. 즉시 가용 유동성 25,063백만원. 금융수익이 금융비용의 40배. 자산의 69.1%가 현금성자산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채무증권 발행실적(전무), 재무상태표, 금융손익 2,578 vs 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4.3 자기자본 소진 속도와 상장유지 요건 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자기자본 40,329→32,626→30,982. 2026년 상반기 현금성자산은 88백만원만 감소(순손실의 2.4%) — 장부 적자보다 현금 소진이 현저히 느림. 계속사업손실 요건은 2027 사업연도부터 적용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자본변동표, 현금+단기금융 잔액 변동, 관리종목 지정유예 현황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◐ ⚠️금융수익 성격(이자 vs 평가이익) 확인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4.4 CPS 발행의 정량적 효과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미발행 시 2028년 51.0%로 최초 저촉, 2029년 요건 성립. CPS [200]억 발행 시 2031년까지 50% 하회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자기자본 시뮬레이션, 판정비율 이력 -106.5/-24.8/-29.8%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자체 시뮬레이션(반기 기준)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4.5 종합 평가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수익성 미확보와 재무구조 우량의 대비. 투자 판단의 핵심은 런웨이 내 해외매출 실현 여부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상기 종합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종합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</w:tbl>
    <w:p/>
    <w:p>
      <w:r>
        <w:rPr>
          <w:b/>
          <w:color w:val="002060"/>
          <w:sz w:val="24"/>
        </w:rPr>
        <w:t>Ⅳ. Valuation 및 주가 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소제목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쓸 내용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근거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출처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4.1 주가 추이와 공모가 산정 전제의 변화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상장일 65,000원 → 2026.6 저점 18,230원. 공모가는 2026년 추정 순이익 114.5억원을 전제로 산정되었으며 그 전제의 붕괴가 조정의 직접 원인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월별 주가표, 공모가 산정 내역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반기(주가), 유진(밸류에이션)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4.2 잠재 희석요인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미행사 스톡옵션 913,900주(발행주식총수 5.94%). 82.4%는 행사가 27,069~28,432원으로 외가격. 본건 전환가액별 희석 시나리오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주식기준보상 주석, 발행주식총수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반기, 자체 계산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4.3 Peer 비교 및 밸류에이션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직접 비교군 부재. 상장 시 라온테크·삼익THK 평균 PER 37.37배 적용. PBR 10배 수준으로 자산가치 논리는 불성립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비교기업 PER, 자기자본 대비 시총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유진, IR협, 자체 계산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●</w:t>
            </w:r>
          </w:p>
        </w:tc>
      </w:tr>
    </w:tbl>
    <w:p/>
    <w:p>
      <w:r>
        <w:rPr>
          <w:b/>
          <w:color w:val="002060"/>
          <w:sz w:val="24"/>
        </w:rPr>
        <w:t>별첨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소제목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쓸 내용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출처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[별첨] 재무제표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재무상태표·손익계산서·현금흐름표·자본변동표 계정과목 단위 상세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반기, 사업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●</w:t>
            </w:r>
          </w:p>
        </w:tc>
      </w:tr>
    </w:tbl>
    <w:p/>
    <w:p>
      <w:r>
        <w:rPr>
          <w:b/>
          <w:color w:val="002060"/>
          <w:sz w:val="24"/>
        </w:rPr>
        <w:t>집필 전 해소가 필요한 항목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우선순위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영향받는 소제목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조달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딜 조건 확정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Ⅰ-1.1, Ⅲ-4.4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발행사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CPS 자본 분류 감사인 의견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Ⅲ-4.4 (구조 전체 전제)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발행사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아세안 수주 파이프라인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Ⅱ-2.2, Ⅲ-3.4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발행사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BEP 매출 규모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Ⅲ-3.6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발행사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금융수익 성격(이자 vs 평가이익)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Ⅲ-4.3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반기보고서 주석 재확인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피앤에스 절대 매출 규모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Ⅲ-2.8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피앤에스 사업보고서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시장규모 기준기관 확정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Ⅲ-2.2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판단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산업 평균 마진·MM304 수가 단가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Ⅲ-2.6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심평원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경쟁사 실명, 침투율 최신화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Ⅲ-2.3, 2.7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발행사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도표 (시장규모·점유율·침투율·판매처)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산업·사업 전반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⭐IR협 보고서 캡처</w:t>
            </w:r>
          </w:p>
        </w:tc>
      </w:tr>
    </w:tbl>
    <w:p/>
    <w:p>
      <w:r>
        <w:t>●만으로 집필 가능한 소제목 : 23개 / 전체 31개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