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4"/>
        </w:rPr>
        <w:t>Does contact with a nerve instruct macrophage identity?</w:t>
      </w:r>
    </w:p>
    <w:p>
      <w:pPr>
        <w:jc w:val="center"/>
      </w:pPr>
      <w:r>
        <w:rPr>
          <w:i/>
          <w:sz w:val="24"/>
        </w:rPr>
        <w:t>A postdoctoral project proposal</w:t>
      </w:r>
    </w:p>
    <w:p>
      <w:pPr>
        <w:spacing w:after="240"/>
        <w:jc w:val="center"/>
      </w:pPr>
      <w:r>
        <w:rPr>
          <w:color w:val="555555"/>
          <w:sz w:val="19"/>
        </w:rPr>
        <w:t>Vijay Sai Josyula, PhD  ·  Uppsala University  ·  vijay.josyula@igp.uu.se</w:t>
        <w:br/>
        <w:t>For Prof. Mats Nilsson, SciLifeLab / Stockholm University  ·  29 September 2026</w:t>
      </w:r>
    </w:p>
    <w:p>
      <w:pPr>
        <w:spacing w:before="40" w:after="80"/>
      </w:pPr>
      <w:r>
        <w:rPr>
          <w:b/>
          <w:color w:val="1F3A5F"/>
          <w:sz w:val="26"/>
        </w:rPr>
        <w:t>The question</w:t>
      </w:r>
    </w:p>
    <w:p>
      <w:r>
        <w:t>Macrophages sit on nerves in almost every tissue that has been looked at carefully. The association is reproducible, it is developmentally regulated, and in the pancreas it is mediated at least in part by CX3CR1, which is what my thesis work established (Muntjewerff, Josyula et al., Front Immunol 2025, https://doi.org/10.3389/fimmu.2025.1654382). What none of this work shows, mine included, is direction. Association is not instruction. We do not know whether touching a nerve tells a macrophage what to become, or whether macrophages that already carry a particular programme simply end up where nerves are.</w:t>
      </w:r>
    </w:p>
    <w:p>
      <w:r>
        <w:t>This matters now because the field has started to treat the nerve as an instructive element of the tumour microenvironment and to reason therapeutically from that premise, from adrenergic control of tumour progression (Magnon et al., Science 2013, https://doi.org/10.1126/science.1236361; Zahalka et al., Science 2017, https://doi.org/10.1126/science.aah5072; Renz et al., Cancer Cell 2018, https://doi.org/10.1016/j.ccell.2018.10.010) to nociceptor-driven immunosuppression (Balood et al., Nature 2022, https://doi.org/10.1038/s41586-022-05374-w; Restaino et al., Sci Signal 2025, https://doi.org/10.1126/scisignal.ads7889) and the clustering of exhausted CD8 T cells on sympathetic fibres (Globig et al., Nature 2023, https://doi.org/10.1038/s41586-023-06568-6). Neural signalling now sits inside the hallmark framework (Hanahan, Cell 2026, https://doi.org/10.1016/j.cell.2025.12.049). The premise is load-bearing and it is untested at the level of the individual cell.</w:t>
      </w:r>
    </w:p>
    <w:p>
      <w:r>
        <w:t>The reason it is untested is technical and specific: to ask whether contact instructs identity, you have to know which cells were in contact before you read what they are. No current method does this. Spatial transcriptomics infers contact from segmentation boundaries and centroid distance, which is precisely the least reliable output of the analysis. Contact is imputed, never measured.</w:t>
      </w:r>
    </w:p>
    <w:p>
      <w:pPr>
        <w:spacing w:before="260" w:after="80"/>
      </w:pPr>
      <w:r>
        <w:rPr>
          <w:b/>
          <w:color w:val="1F3A5F"/>
          <w:sz w:val="26"/>
        </w:rPr>
        <w:t>The design that makes it answerable</w:t>
      </w:r>
    </w:p>
    <w:p>
      <w:r>
        <w:t>The project rests on one comparison. Within a single small neighbourhood of tissue, some macrophages are in contact with a nerve fibre and some are not. Those cells share their microenvironment: the same oxygen tension, the same cytokine milieu, the same distance to vasculature, in a tumour the same clonal neighbourhood. So the contacted and non-contacted cells form a matched pair, and the confound that has defeated every previous attempt at this question is controlled by the design rather than by statistical adjustment afterwards.</w:t>
      </w:r>
    </w:p>
    <w:p>
      <w:pPr>
        <w:spacing w:after="80"/>
      </w:pPr>
      <w:r>
        <w:rPr>
          <w:b/>
        </w:rPr>
        <w:t xml:space="preserve">If contact is instructive,  </w:t>
      </w:r>
      <w:r>
        <w:t>contacted and non-contacted macrophages within the same neighbourhood diverge transcriptionally, and the divergence should scale with contact extent and collapse when the association is disrupted.</w:t>
      </w:r>
    </w:p>
    <w:p>
      <w:pPr>
        <w:spacing w:after="80"/>
      </w:pPr>
      <w:r>
        <w:rPr>
          <w:b/>
        </w:rPr>
        <w:t xml:space="preserve">If contact is positional,  </w:t>
      </w:r>
      <w:r>
        <w:t>they do not diverge, and any apparent nerve-associated signature resolves into a neighbourhood effect.</w:t>
      </w:r>
    </w:p>
    <w:p>
      <w:r>
        <w:t>Both outcomes are publishable and both are informative. A negative result would directly constrain a premise the cancer neuroscience field is currently building on, which is a rarer and more useful thing than another positive association.</w:t>
      </w:r>
    </w:p>
    <w:p>
      <w:pPr>
        <w:spacing w:before="260" w:after="80"/>
      </w:pPr>
      <w:r>
        <w:rPr>
          <w:b/>
          <w:color w:val="1F3A5F"/>
          <w:sz w:val="26"/>
        </w:rPr>
        <w:t>The tool</w:t>
      </w:r>
    </w:p>
    <w:p>
      <w:r>
        <w:t>The measurement the design needs does not exist yet, but it is a short reach from chemistry your lab already owns. A padlock probe is circularised by a splint and then amplified by rolling circle (Nilsson et al., Science 1994, https://doi.org/10.1126/science.7522346; Larsson et al., Nat Methods 2010, https://doi.org/10.1038/nmeth.1448), and proximity ligation already exploits the fact that two affinity reagents only cooperate when they are close together, though it yields one non-multiplexed signal (Söderberg et al., Nat Methods 2006, https://doi.org/10.1038/nmeth947). Split the padlock arms across two affinity reagents directed at two different cell surfaces and circularisation becomes conditional on the two cells being apposed, depositing a barcoded rolony at the interface itself. The section then goes through a standard in situ sequencing round (Ke et al., Nat Methods 2013, https://doi.org/10.1038/nmeth.2563; Gyllborg et al., Nucleic Acids Res 2020, https://doi.org/10.1093/nar/gkaa792) so that contact status and expression state are read from the same cells on the same slide.</w:t>
      </w:r>
    </w:p>
    <w:p>
      <w:r>
        <w:t>This is the instrument, not the question. It is worth exactly one figure in any resulting paper. What it buys is the ability to define the contacted and non-contacted groups without relying on segmentation to draw the boundary, which is the step the whole argument would otherwise rest on.</w:t>
      </w:r>
    </w:p>
    <w:p>
      <w:pPr>
        <w:spacing w:before="260" w:after="80"/>
      </w:pPr>
      <w:r>
        <w:rPr>
          <w:b/>
          <w:color w:val="1F3A5F"/>
          <w:sz w:val="26"/>
        </w:rPr>
        <w:t>Three aims</w:t>
      </w:r>
    </w:p>
    <w:p>
      <w:pPr>
        <w:spacing w:before="160" w:after="60"/>
      </w:pPr>
      <w:r>
        <w:rPr>
          <w:b/>
          <w:i/>
          <w:sz w:val="21"/>
        </w:rPr>
        <w:t>Aim 1. Calibrate the contact readout against known ground truth (year 1)</w:t>
      </w:r>
    </w:p>
    <w:p>
      <w:r>
        <w:t>Calibration requires certainty about which cells touched, not physiological realism. A co-culture supplies neither: contact status is inferred from the same imaging the assay is meant to replace. So Aim 1 uses three systems in which the answer is known independently of the assay, in ascending order of realism.</w:t>
      </w:r>
    </w:p>
    <w:p>
      <w:pPr>
        <w:pStyle w:val="ListBullet"/>
        <w:spacing w:after="60"/>
      </w:pPr>
      <w:r>
        <w:t>Planar bilayer phantom. Two cell populations carrying distinct surface epitopes are fixed as separate slabs and apposed, so every genuine interface lies in one known plane. Signal as a function of distance from that plane gives the distance-response function and the background rate directly, from geometry rather than from inference. This alone sets the effective threshold as a function of splint length.</w:t>
      </w:r>
    </w:p>
    <w:p>
      <w:pPr>
        <w:pStyle w:val="ListBullet"/>
        <w:spacing w:after="60"/>
      </w:pPr>
      <w:r>
        <w:t>Mixed pellets with an orthogonal genetic contact reporter. Two populations are mixed, embedded and sectioned, with contact history recorded independently by sortase-mediated transfer between apposed cells, the labelling principle behind LIPSTIC (Pasqual et al., Nature 2018, https://doi.org/10.1038/nature25442; applied at scale in Canesso et al., Science 2025, https://doi.org/10.1126/science.ado5088), or by a contact-dependent synNotch reporter (Roybal et al., Cell 2016, https://doi.org/10.1016/j.cell.2016.09.011; Toda et al., Science 2018, https://doi.org/10.1126/science.aat0271). Because the reporter and the padlock readout are mechanistically unrelated, agreement between them is real evidence rather than circular. This yields per-cell sensitivity and specificity as numbers, and mixing ratio tunes contact frequency across the range the tissue work will meet.</w:t>
      </w:r>
    </w:p>
    <w:p>
      <w:pPr>
        <w:pStyle w:val="ListBullet"/>
        <w:spacing w:after="60"/>
      </w:pPr>
      <w:r>
        <w:t>Anatomically obligate contact in native tissue. Peripheral nerve, where Schwann cell and axon apposition is guaranteed by anatomy, and the neuromuscular junction, where the contacting partners are unambiguous. These confirm the chemistry survives fixed, archival tissue rather than only cell pellets, which is the step at which many in situ assays quietly fail.</w:t>
      </w:r>
    </w:p>
    <w:p>
      <w:r>
        <w:t>One control runs through all three: populations fixed separately and only then combined. Those cells are physically apposed but never interacted in life, so any signal they generate is artefact by construction. It separates apposition from true contact, which is the failure mode most likely to produce a convincing but wrong result. Deliverables: detection efficiency, false-positive rate, the calibrated distance threshold, and confirmation that a contact round and a sequencing round run on one section without either degrading the other.</w:t>
      </w:r>
    </w:p>
    <w:p>
      <w:pPr>
        <w:spacing w:before="160" w:after="60"/>
      </w:pPr>
      <w:r>
        <w:rPr>
          <w:b/>
          <w:i/>
          <w:sz w:val="21"/>
        </w:rPr>
        <w:t>Aim 2. Test instruction where nerve contact is sparse, focal and perturbable (years 1 to 3)</w:t>
      </w:r>
    </w:p>
    <w:p>
      <w:r>
        <w:t>The primary in vivo setting is the pancreatic islet, deliberately. In brain parenchyma a microglial cell is almost always touching a neuronal process, so contact is not a rare event and the matched comparison collapses; in the islet, innervation is sparse and focal and the contacted fraction is a genuine minority. This is where the matched-neighbourhood test has real power. The instruction claim is then pushed beyond correlation two ways: by disrupting the association genetically, using the CX3CR1 dependence my thesis work established, and by asking whether the contact-associated programme disappears in the cells that would otherwise have been contacted; and by ordering the events in time, imaging contact formation live in a pancreatic tissue slice and then fixing and sequencing that same slice.</w:t>
      </w:r>
    </w:p>
    <w:p>
      <w:pPr>
        <w:spacing w:before="160" w:after="60"/>
      </w:pPr>
      <w:r>
        <w:rPr>
          <w:b/>
          <w:i/>
          <w:sz w:val="21"/>
        </w:rPr>
        <w:t>Aim 3. Ask whether disease and tumours co-opt the programme (years 2 to 4)</w:t>
      </w:r>
    </w:p>
    <w:p>
      <w:r>
        <w:t>Two settings, in this order. First the multiple sclerosis lesion material your lab has already mapped (Kukanja et al., Cell 2024, https://doi.org/10.1016/j.cell.2024.02.030), where the CNS contact problem is solved by defining the contact specifically, against a myelinated axon at the lesion border rather than against any neuronal membrane. Then glioma and brain metastasis, where the question becomes whether a physiological surveillance relationship is converted into an immunosuppressive one, and whether nerve-contacting myeloid cells are the ones associated with T cell exclusion. Existing in situ clonal genotyping (Lomakin et al., Nature 2022, https://doi.org/10.1038/s41586-022-05425-2) lets the tumour arm ask whether the effect is clone-specific, and the human cortical reference (Langseth et al., Commun Biol 2021, https://doi.org/10.1038/s42003-021-02517-z) anchors cell typing.</w:t>
      </w:r>
    </w:p>
    <w:p>
      <w:pPr>
        <w:spacing w:before="260" w:after="80"/>
      </w:pPr>
      <w:r>
        <w:rPr>
          <w:b/>
          <w:color w:val="1F3A5F"/>
          <w:sz w:val="26"/>
        </w:rPr>
        <w:t>Weaknesses, and what each one is answered with</w:t>
      </w:r>
    </w:p>
    <w:tbl>
      <w:tblPr>
        <w:tblStyle w:val="LightGrid-Accent1"/>
        <w:tblW w:type="auto" w:w="0"/>
        <w:tblLook w:firstColumn="1" w:firstRow="1" w:lastColumn="0" w:lastRow="0" w:noHBand="0" w:noVBand="1" w:val="04A0"/>
      </w:tblPr>
      <w:tblGrid>
        <w:gridCol w:w="2736"/>
        <w:gridCol w:w="6912"/>
      </w:tblGrid>
      <w:tr>
        <w:tc>
          <w:tcPr>
            <w:tcW w:type="dxa" w:w="4824"/>
          </w:tcPr>
          <w:p>
            <w:pPr>
              <w:spacing w:after="40"/>
            </w:pPr>
            <w:r>
              <w:rPr>
                <w:b/>
                <w:sz w:val="19"/>
              </w:rPr>
              <w:t>Weakness</w:t>
            </w:r>
          </w:p>
        </w:tc>
        <w:tc>
          <w:tcPr>
            <w:tcW w:type="dxa" w:w="4824"/>
          </w:tcPr>
          <w:p>
            <w:pPr>
              <w:spacing w:after="40"/>
            </w:pPr>
            <w:r>
              <w:rPr>
                <w:b/>
                <w:sz w:val="19"/>
              </w:rPr>
              <w:t>How it is handled</w:t>
            </w:r>
          </w:p>
        </w:tc>
      </w:tr>
      <w:tr>
        <w:tc>
          <w:tcPr>
            <w:tcW w:type="dxa" w:w="4824"/>
          </w:tcPr>
          <w:p>
            <w:pPr>
              <w:spacing w:after="40"/>
            </w:pPr>
            <w:r>
              <w:rPr>
                <w:sz w:val="19"/>
              </w:rPr>
              <w:t>Contact status is still correlative with state</w:t>
            </w:r>
          </w:p>
        </w:tc>
        <w:tc>
          <w:tcPr>
            <w:tcW w:type="dxa" w:w="4824"/>
          </w:tcPr>
          <w:p>
            <w:pPr>
              <w:spacing w:after="40"/>
            </w:pPr>
            <w:r>
              <w:rPr>
                <w:sz w:val="19"/>
              </w:rPr>
              <w:t>This is why Aim 2 carries a perturbation and a temporal arm rather than more descriptive data. Disrupting the association and imaging contact before sequencing are what convert the claim from association to ordering. Neither is optional and neither is deferred to a later grant.</w:t>
            </w:r>
          </w:p>
        </w:tc>
      </w:tr>
      <w:tr>
        <w:tc>
          <w:tcPr>
            <w:tcW w:type="dxa" w:w="4824"/>
          </w:tcPr>
          <w:p>
            <w:pPr>
              <w:spacing w:after="40"/>
            </w:pPr>
            <w:r>
              <w:rPr>
                <w:sz w:val="19"/>
              </w:rPr>
              <w:t>Detection failures contaminate the control group</w:t>
            </w:r>
          </w:p>
        </w:tc>
        <w:tc>
          <w:tcPr>
            <w:tcW w:type="dxa" w:w="4824"/>
          </w:tcPr>
          <w:p>
            <w:pPr>
              <w:spacing w:after="40"/>
            </w:pPr>
            <w:r>
              <w:rPr>
                <w:sz w:val="19"/>
              </w:rPr>
              <w:t>A missed contact puts a contacted cell into the non-contacted group, which biases the test toward the null, so the direction of the error is at least safe. It is bounded by measuring sensitivity against imaging ground truth in Aim 1, by inserting a buffer zone so that ambiguous cells are excluded from both groups rather than assigned, and by reporting the effect across a range of confidence thresholds.</w:t>
            </w:r>
          </w:p>
        </w:tc>
      </w:tr>
      <w:tr>
        <w:tc>
          <w:tcPr>
            <w:tcW w:type="dxa" w:w="4824"/>
          </w:tcPr>
          <w:p>
            <w:pPr>
              <w:spacing w:after="40"/>
            </w:pPr>
            <w:r>
              <w:rPr>
                <w:sz w:val="19"/>
              </w:rPr>
              <w:t>Background circularisation in crowded tissue</w:t>
            </w:r>
          </w:p>
        </w:tc>
        <w:tc>
          <w:tcPr>
            <w:tcW w:type="dxa" w:w="4824"/>
          </w:tcPr>
          <w:p>
            <w:pPr>
              <w:spacing w:after="40"/>
            </w:pPr>
            <w:r>
              <w:rPr>
                <w:sz w:val="19"/>
              </w:rPr>
              <w:t>Controls are built in from the first experiment: arm pairs directed at two cell types that do not contact each other, single-arm and scrambled-splint conditions, and a splint-length titration that calibrates the distance threshold instead of asserting it.</w:t>
            </w:r>
          </w:p>
        </w:tc>
      </w:tr>
      <w:tr>
        <w:tc>
          <w:tcPr>
            <w:tcW w:type="dxa" w:w="4824"/>
          </w:tcPr>
          <w:p>
            <w:pPr>
              <w:spacing w:after="40"/>
            </w:pPr>
            <w:r>
              <w:rPr>
                <w:sz w:val="19"/>
              </w:rPr>
              <w:t>Segmentation has not actually been eliminated</w:t>
            </w:r>
          </w:p>
        </w:tc>
        <w:tc>
          <w:tcPr>
            <w:tcW w:type="dxa" w:w="4824"/>
          </w:tcPr>
          <w:p>
            <w:pPr>
              <w:spacing w:after="40"/>
            </w:pPr>
            <w:r>
              <w:rPr>
                <w:sz w:val="19"/>
              </w:rPr>
              <w:t>Honest residual limitation. The interface rolony says a contact occurred and which two cell types formed it, but assigning the accompanying transcriptome still needs cell boundaries. The mitigation is that only one partner is myeloid by marker, so ownership is resolved by identity rather than geometry, with a sensitivity analysis across segmentation parameters.</w:t>
            </w:r>
          </w:p>
        </w:tc>
      </w:tr>
      <w:tr>
        <w:tc>
          <w:tcPr>
            <w:tcW w:type="dxa" w:w="4824"/>
          </w:tcPr>
          <w:p>
            <w:pPr>
              <w:spacing w:after="40"/>
            </w:pPr>
            <w:r>
              <w:rPr>
                <w:sz w:val="19"/>
              </w:rPr>
              <w:t>In the CNS, almost everything touches a neuron</w:t>
            </w:r>
          </w:p>
        </w:tc>
        <w:tc>
          <w:tcPr>
            <w:tcW w:type="dxa" w:w="4824"/>
          </w:tcPr>
          <w:p>
            <w:pPr>
              <w:spacing w:after="40"/>
            </w:pPr>
            <w:r>
              <w:rPr>
                <w:sz w:val="19"/>
              </w:rPr>
              <w:t>This is why the islet leads and the CNS follows, and why the CNS arm defines contact against a specific structure rather than any neuronal membrane. Getting this wrong would have quietly destroyed the central comparison.</w:t>
            </w:r>
          </w:p>
        </w:tc>
      </w:tr>
      <w:tr>
        <w:tc>
          <w:tcPr>
            <w:tcW w:type="dxa" w:w="4824"/>
          </w:tcPr>
          <w:p>
            <w:pPr>
              <w:spacing w:after="40"/>
            </w:pPr>
            <w:r>
              <w:rPr>
                <w:sz w:val="19"/>
              </w:rPr>
              <w:t>The existence of nerve-associated macrophages is not new</w:t>
            </w:r>
          </w:p>
        </w:tc>
        <w:tc>
          <w:tcPr>
            <w:tcW w:type="dxa" w:w="4824"/>
          </w:tcPr>
          <w:p>
            <w:pPr>
              <w:spacing w:after="40"/>
            </w:pPr>
            <w:r>
              <w:rPr>
                <w:sz w:val="19"/>
              </w:rPr>
              <w:t>Agreed, and the proposal does not claim it. Existence is prior work, some of it mine. The claims here are instruction and conservation across tissues, both of which are open.</w:t>
            </w:r>
          </w:p>
        </w:tc>
      </w:tr>
      <w:tr>
        <w:tc>
          <w:tcPr>
            <w:tcW w:type="dxa" w:w="4824"/>
          </w:tcPr>
          <w:p>
            <w:pPr>
              <w:spacing w:after="40"/>
            </w:pPr>
            <w:r>
              <w:rPr>
                <w:sz w:val="19"/>
              </w:rPr>
              <w:t>If the chemistry does not work</w:t>
            </w:r>
          </w:p>
        </w:tc>
        <w:tc>
          <w:tcPr>
            <w:tcW w:type="dxa" w:w="4824"/>
          </w:tcPr>
          <w:p>
            <w:pPr>
              <w:spacing w:after="40"/>
            </w:pPr>
            <w:r>
              <w:rPr>
                <w:sz w:val="19"/>
              </w:rPr>
              <w:t>The question survives at lower throughput. Contacts annotated by high-resolution imaging on smaller fields, followed by in situ sequencing on the same sections, answers the same matched-neighbourhood question with fewer cells. Aim 1 is scoped so this fallback is identified within the first year rather than the third.</w:t>
            </w:r>
          </w:p>
        </w:tc>
      </w:tr>
    </w:tbl>
    <w:p>
      <w:pPr>
        <w:spacing w:before="260" w:after="80"/>
      </w:pPr>
      <w:r>
        <w:rPr>
          <w:b/>
          <w:color w:val="1F3A5F"/>
          <w:sz w:val="26"/>
        </w:rPr>
        <w:t>What I bring to it</w:t>
      </w:r>
    </w:p>
    <w:p>
      <w:pPr>
        <w:pStyle w:val="ListBullet"/>
        <w:spacing w:after="60"/>
      </w:pPr>
      <w:r>
        <w:t>The biology. Five years on nerve-macrophage interaction in the pancreas, including the CX3CR1 dependence and the single-cell characterisation of candidate nerve-associated populations across NOD and RAG conditions.</w:t>
      </w:r>
    </w:p>
    <w:p>
      <w:pPr>
        <w:pStyle w:val="ListBullet"/>
        <w:spacing w:after="60"/>
      </w:pPr>
      <w:r>
        <w:t>The validation layer. Confocal, live-cell, intravital and live pancreatic tissue slice imaging with quantification in IMARIS and ImageJ. A spatial claim validated only against transcriptomic data is validated circularly; independent imaging breaks the circle.</w:t>
      </w:r>
    </w:p>
    <w:p>
      <w:pPr>
        <w:pStyle w:val="ListBullet"/>
        <w:spacing w:after="60"/>
      </w:pPr>
      <w:r>
        <w:t>Live pancreatic tissue slice imaging, which I established at Uppsala, and which is what makes the temporal arm of Aim 2 possible in tissue rather than in a dish.</w:t>
      </w:r>
    </w:p>
    <w:p>
      <w:pPr>
        <w:pStyle w:val="ListBullet"/>
        <w:spacing w:after="60"/>
      </w:pPr>
      <w:r>
        <w:t>Single-cell phenotyping across modalities for orthogonal confirmation: spectral and conventional flow panel design, mass cytometry from the Brodin lab, and scRNA-seq analysis in R with Seurat for reference-based annotation of in situ data.</w:t>
      </w:r>
    </w:p>
    <w:p>
      <w:pPr>
        <w:spacing w:before="200"/>
      </w:pPr>
      <w:r>
        <w:rPr>
          <w:i/>
        </w:rPr>
        <w:t>The part I want to learn is the probe design and ligation chemistry, and the reason I am writing to you rather than to anyone else is that this question cannot be asked without it.</w:t>
      </w:r>
    </w:p>
    <w:p>
      <w:r>
        <w:t>Literature retrieved via PubMed; DOI links are given inline for each reference.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