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34"/>
        </w:rPr>
        <w:t>Does contact with a nerve instruct macrophage identity?</w:t>
      </w:r>
    </w:p>
    <w:p>
      <w:pPr>
        <w:jc w:val="center"/>
      </w:pPr>
      <w:r>
        <w:rPr>
          <w:i/>
          <w:sz w:val="24"/>
        </w:rPr>
        <w:t>A postdoctoral project proposal</w:t>
      </w:r>
    </w:p>
    <w:p>
      <w:pPr>
        <w:spacing w:after="240"/>
        <w:jc w:val="center"/>
      </w:pPr>
      <w:r>
        <w:rPr>
          <w:color w:val="555555"/>
          <w:sz w:val="19"/>
        </w:rPr>
        <w:t>Vijay Sai Josyula, PhD  ·  Uppsala University  ·  vijay.josyula@igp.uu.se</w:t>
        <w:br/>
        <w:t>For Prof. Mats Nilsson, SciLifeLab / Stockholm University  ·  29 September 2026</w:t>
      </w:r>
    </w:p>
    <w:p>
      <w:pPr>
        <w:spacing w:before="40" w:after="80"/>
      </w:pPr>
      <w:r>
        <w:rPr>
          <w:b/>
          <w:color w:val="1F3A5F"/>
          <w:sz w:val="26"/>
        </w:rPr>
        <w:t>The question</w:t>
      </w:r>
    </w:p>
    <w:p>
      <w:r>
        <w:t>Macrophages sit on nerves in almost every tissue that has been looked at carefully. The association is reproducible, it is developmentally regulated, and in the pancreas it is mediated at least in part by CX3CR1, which is what my thesis work established (Muntjewerff, Josyula et al., Front Immunol 2025, https://doi.org/10.3389/fimmu.2025.1654382). What none of this work shows, mine included, is direction. Association is not instruction. We do not know whether touching a nerve tells a macrophage what to become, or whether macrophages that already carry a particular programme simply end up where nerves are.</w:t>
      </w:r>
    </w:p>
    <w:p>
      <w:r>
        <w:t>This matters now because the field has started to treat the nerve as an instructive element of the tumour microenvironment and to reason therapeutically from that premise, from adrenergic control of tumour progression (Magnon et al., Science 2013, https://doi.org/10.1126/science.1236361; Zahalka et al., Science 2017, https://doi.org/10.1126/science.aah5072; Renz et al., Cancer Cell 2018, https://doi.org/10.1016/j.ccell.2018.10.010) to nociceptor-driven immunosuppression (Balood et al., Nature 2022, https://doi.org/10.1038/s41586-022-05374-w; Restaino et al., Sci Signal 2025, https://doi.org/10.1126/scisignal.ads7889) and the clustering of exhausted CD8 T cells on sympathetic fibres (Globig et al., Nature 2023, https://doi.org/10.1038/s41586-023-06568-6). Neural signalling now sits inside the hallmark framework (Hanahan, Cell 2026, https://doi.org/10.1016/j.cell.2025.12.049). The premise is load-bearing and it is untested at the level of the individual cell.</w:t>
      </w:r>
    </w:p>
    <w:p>
      <w:r>
        <w:t>The reason it is untested is technical and specific: to ask whether contact instructs identity, you have to know which cells were in contact before you read what they are. No current method does this. Spatial transcriptomics infers contact from segmentation boundaries and centroid distance, which is precisely the least reliable output of the analysis. Contact is imputed, never measured.</w:t>
      </w:r>
    </w:p>
    <w:p>
      <w:pPr>
        <w:spacing w:before="260" w:after="80"/>
      </w:pPr>
      <w:r>
        <w:rPr>
          <w:b/>
          <w:color w:val="1F3A5F"/>
          <w:sz w:val="26"/>
        </w:rPr>
        <w:t>The design that makes it answerable</w:t>
      </w:r>
    </w:p>
    <w:p>
      <w:r>
        <w:t>The project rests on one comparison. Within a single small neighbourhood of tissue, some macrophages are in contact with a nerve fibre and some are not. Those cells share their microenvironment: the same oxygen tension, the same cytokine milieu, the same distance to vasculature, in a tumour the same clonal neighbourhood. So the contacted and non-contacted cells form a matched pair, and the confound that has defeated every previous attempt at this question is controlled by the design rather than by statistical adjustment afterwards.</w:t>
      </w:r>
    </w:p>
    <w:p>
      <w:pPr>
        <w:spacing w:after="80"/>
      </w:pPr>
      <w:r>
        <w:rPr>
          <w:b/>
        </w:rPr>
        <w:t xml:space="preserve">If contact is instructive,  </w:t>
      </w:r>
      <w:r>
        <w:t>contacted and non-contacted macrophages within the same neighbourhood diverge transcriptionally, and the divergence should scale with contact extent and collapse when the association is disrupted.</w:t>
      </w:r>
    </w:p>
    <w:p>
      <w:pPr>
        <w:spacing w:after="80"/>
      </w:pPr>
      <w:r>
        <w:rPr>
          <w:b/>
        </w:rPr>
        <w:t xml:space="preserve">If contact is positional,  </w:t>
      </w:r>
      <w:r>
        <w:t>they do not diverge, and any apparent nerve-associated signature resolves into a neighbourhood effect.</w:t>
      </w:r>
    </w:p>
    <w:p>
      <w:r>
        <w:t>Both outcomes are publishable and both are informative. A negative result would directly constrain a premise the cancer neuroscience field is currently building on, which is a rarer and more useful thing than another positive association.</w:t>
      </w:r>
    </w:p>
    <w:p>
      <w:pPr>
        <w:spacing w:before="260" w:after="80"/>
      </w:pPr>
      <w:r>
        <w:rPr>
          <w:b/>
          <w:color w:val="1F3A5F"/>
          <w:sz w:val="26"/>
        </w:rPr>
        <w:t>The tool</w:t>
      </w:r>
    </w:p>
    <w:p>
      <w:r>
        <w:t>The measurement the design needs does not exist yet, but it is a short reach from chemistry your lab already owns. A padlock probe is circularised by a splint and then amplified by rolling circle (Nilsson et al., Science 1994, https://doi.org/10.1126/science.7522346; Larsson et al., Nat Methods 2010, https://doi.org/10.1038/nmeth.1448), and proximity ligation already exploits the fact that two affinity reagents only cooperate when they are close together, though it yields one non-multiplexed signal (Söderberg et al., Nat Methods 2006, https://doi.org/10.1038/nmeth947). Split the padlock arms across two affinity reagents directed at two different cell surfaces and circularisation becomes conditional on the two cells being apposed, depositing a barcoded rolony at the interface itself. The section then goes through a standard in situ sequencing round (Ke et al., Nat Methods 2013, https://doi.org/10.1038/nmeth.2563; Gyllborg et al., Nucleic Acids Res 2020, https://doi.org/10.1093/nar/gkaa792) so that contact status and expression state are read from the same cells on the same slide.</w:t>
      </w:r>
    </w:p>
    <w:p>
      <w:r>
        <w:t>This is the instrument, not the question. It is worth exactly one figure in any resulting paper. What it buys is the ability to define the contacted and non-contacted groups without relying on segmentation to draw the boundary, which is the step the whole argument would otherwise rest on.</w:t>
      </w:r>
    </w:p>
    <w:p>
      <w:pPr>
        <w:spacing w:before="260" w:after="80"/>
      </w:pPr>
      <w:r>
        <w:rPr>
          <w:b/>
          <w:color w:val="1F3A5F"/>
          <w:sz w:val="26"/>
        </w:rPr>
        <w:t>Three aims</w:t>
      </w:r>
    </w:p>
    <w:p>
      <w:pPr>
        <w:spacing w:before="160" w:after="60"/>
      </w:pPr>
      <w:r>
        <w:rPr>
          <w:b/>
          <w:i/>
          <w:sz w:val="21"/>
        </w:rPr>
        <w:t>Aim 1. Establish and calibrate the contact readout where the answer is already known (year 1)</w:t>
      </w:r>
    </w:p>
    <w:p>
      <w:r>
        <w:t>The 3D macrophage-neuron-islet co-culture I built and published during my PhD (Muntjewerff, Josyula &amp; Christoffersson, Bio-Protocol 2023, https://doi.org/10.21769/BioProtoc.4852) is the right place to start, because contact can be imaged directly before the section is processed. That gives per-cell ground truth, so sensitivity and false-positive rate are measured rather than assumed. Deliverables: the detection efficiency of contact-gated circularisation, the effective distance threshold as a function of splint length, and confirmation that a contact round and a sequencing round can be run on one section without either compromising the other.</w:t>
      </w:r>
    </w:p>
    <w:p>
      <w:pPr>
        <w:spacing w:before="160" w:after="60"/>
      </w:pPr>
      <w:r>
        <w:rPr>
          <w:b/>
          <w:i/>
          <w:sz w:val="21"/>
        </w:rPr>
        <w:t>Aim 2. Test instruction where nerve contact is sparse, focal and perturbable (years 1 to 3)</w:t>
      </w:r>
    </w:p>
    <w:p>
      <w:r>
        <w:t>The primary in vivo setting is the pancreatic islet, deliberately. In brain parenchyma a microglial cell is almost always touching a neuronal process, so contact is not a rare event and the matched comparison collapses; in the islet, innervation is sparse and focal and the contacted fraction is a genuine minority. This is where the matched-neighbourhood test has real power. The instruction claim is then pushed beyond correlation two ways: by disrupting the association genetically, using the CX3CR1 dependence my thesis work established, and by asking whether the contact-associated programme disappears in the cells that would otherwise have been contacted; and by ordering the events in time, imaging contact formation live in a pancreatic tissue slice and then fixing and sequencing that same slice.</w:t>
      </w:r>
    </w:p>
    <w:p>
      <w:pPr>
        <w:spacing w:before="160" w:after="60"/>
      </w:pPr>
      <w:r>
        <w:rPr>
          <w:b/>
          <w:i/>
          <w:sz w:val="21"/>
        </w:rPr>
        <w:t>Aim 3. Ask whether disease and tumours co-opt the programme (years 2 to 4)</w:t>
      </w:r>
    </w:p>
    <w:p>
      <w:r>
        <w:t>Two settings, in this order. First the multiple sclerosis lesion material your lab has already mapped (Kukanja et al., Cell 2024, https://doi.org/10.1016/j.cell.2024.02.030), where the CNS contact problem is solved by defining the contact specifically, against a myelinated axon at the lesion border rather than against any neuronal membrane. Then glioma and brain metastasis, where the question becomes whether a physiological surveillance relationship is converted into an immunosuppressive one, and whether nerve-contacting myeloid cells are the ones associated with T cell exclusion. Existing in situ clonal genotyping (Lomakin et al., Nature 2022, https://doi.org/10.1038/s41586-022-05425-2) lets the tumour arm ask whether the effect is clone-specific, and the human cortical reference (Langseth et al., Commun Biol 2021, https://doi.org/10.1038/s42003-021-02517-z) anchors cell typing.</w:t>
      </w:r>
    </w:p>
    <w:p>
      <w:pPr>
        <w:spacing w:before="260" w:after="80"/>
      </w:pPr>
      <w:r>
        <w:rPr>
          <w:b/>
          <w:color w:val="1F3A5F"/>
          <w:sz w:val="26"/>
        </w:rPr>
        <w:t>Weaknesses, and what each one is answered with</w:t>
      </w:r>
    </w:p>
    <w:tbl>
      <w:tblPr>
        <w:tblStyle w:val="LightGrid-Accent1"/>
        <w:tblW w:type="auto" w:w="0"/>
        <w:tblLook w:firstColumn="1" w:firstRow="1" w:lastColumn="0" w:lastRow="0" w:noHBand="0" w:noVBand="1" w:val="04A0"/>
      </w:tblPr>
      <w:tblGrid>
        <w:gridCol w:w="2736"/>
        <w:gridCol w:w="6912"/>
      </w:tblGrid>
      <w:tr>
        <w:tc>
          <w:tcPr>
            <w:tcW w:type="dxa" w:w="4824"/>
          </w:tcPr>
          <w:p>
            <w:pPr>
              <w:spacing w:after="40"/>
            </w:pPr>
            <w:r>
              <w:rPr>
                <w:b/>
                <w:sz w:val="19"/>
              </w:rPr>
              <w:t>Weakness</w:t>
            </w:r>
          </w:p>
        </w:tc>
        <w:tc>
          <w:tcPr>
            <w:tcW w:type="dxa" w:w="4824"/>
          </w:tcPr>
          <w:p>
            <w:pPr>
              <w:spacing w:after="40"/>
            </w:pPr>
            <w:r>
              <w:rPr>
                <w:b/>
                <w:sz w:val="19"/>
              </w:rPr>
              <w:t>How it is handled</w:t>
            </w:r>
          </w:p>
        </w:tc>
      </w:tr>
      <w:tr>
        <w:tc>
          <w:tcPr>
            <w:tcW w:type="dxa" w:w="4824"/>
          </w:tcPr>
          <w:p>
            <w:pPr>
              <w:spacing w:after="40"/>
            </w:pPr>
            <w:r>
              <w:rPr>
                <w:sz w:val="19"/>
              </w:rPr>
              <w:t>Contact status is still correlative with state</w:t>
            </w:r>
          </w:p>
        </w:tc>
        <w:tc>
          <w:tcPr>
            <w:tcW w:type="dxa" w:w="4824"/>
          </w:tcPr>
          <w:p>
            <w:pPr>
              <w:spacing w:after="40"/>
            </w:pPr>
            <w:r>
              <w:rPr>
                <w:sz w:val="19"/>
              </w:rPr>
              <w:t>This is why Aim 2 carries a perturbation and a temporal arm rather than more descriptive data. Disrupting the association and imaging contact before sequencing are what convert the claim from association to ordering. Neither is optional and neither is deferred to a later grant.</w:t>
            </w:r>
          </w:p>
        </w:tc>
      </w:tr>
      <w:tr>
        <w:tc>
          <w:tcPr>
            <w:tcW w:type="dxa" w:w="4824"/>
          </w:tcPr>
          <w:p>
            <w:pPr>
              <w:spacing w:after="40"/>
            </w:pPr>
            <w:r>
              <w:rPr>
                <w:sz w:val="19"/>
              </w:rPr>
              <w:t>Detection failures contaminate the control group</w:t>
            </w:r>
          </w:p>
        </w:tc>
        <w:tc>
          <w:tcPr>
            <w:tcW w:type="dxa" w:w="4824"/>
          </w:tcPr>
          <w:p>
            <w:pPr>
              <w:spacing w:after="40"/>
            </w:pPr>
            <w:r>
              <w:rPr>
                <w:sz w:val="19"/>
              </w:rPr>
              <w:t>A missed contact puts a contacted cell into the non-contacted group, which biases the test toward the null, so the direction of the error is at least safe. It is bounded by measuring sensitivity against imaging ground truth in Aim 1, by inserting a buffer zone so that ambiguous cells are excluded from both groups rather than assigned, and by reporting the effect across a range of confidence thresholds.</w:t>
            </w:r>
          </w:p>
        </w:tc>
      </w:tr>
      <w:tr>
        <w:tc>
          <w:tcPr>
            <w:tcW w:type="dxa" w:w="4824"/>
          </w:tcPr>
          <w:p>
            <w:pPr>
              <w:spacing w:after="40"/>
            </w:pPr>
            <w:r>
              <w:rPr>
                <w:sz w:val="19"/>
              </w:rPr>
              <w:t>Background circularisation in crowded tissue</w:t>
            </w:r>
          </w:p>
        </w:tc>
        <w:tc>
          <w:tcPr>
            <w:tcW w:type="dxa" w:w="4824"/>
          </w:tcPr>
          <w:p>
            <w:pPr>
              <w:spacing w:after="40"/>
            </w:pPr>
            <w:r>
              <w:rPr>
                <w:sz w:val="19"/>
              </w:rPr>
              <w:t>Controls are built in from the first experiment: arm pairs directed at two cell types that do not contact each other, single-arm and scrambled-splint conditions, and a splint-length titration that calibrates the distance threshold instead of asserting it.</w:t>
            </w:r>
          </w:p>
        </w:tc>
      </w:tr>
      <w:tr>
        <w:tc>
          <w:tcPr>
            <w:tcW w:type="dxa" w:w="4824"/>
          </w:tcPr>
          <w:p>
            <w:pPr>
              <w:spacing w:after="40"/>
            </w:pPr>
            <w:r>
              <w:rPr>
                <w:sz w:val="19"/>
              </w:rPr>
              <w:t>Segmentation has not actually been eliminated</w:t>
            </w:r>
          </w:p>
        </w:tc>
        <w:tc>
          <w:tcPr>
            <w:tcW w:type="dxa" w:w="4824"/>
          </w:tcPr>
          <w:p>
            <w:pPr>
              <w:spacing w:after="40"/>
            </w:pPr>
            <w:r>
              <w:rPr>
                <w:sz w:val="19"/>
              </w:rPr>
              <w:t>Honest residual limitation. The interface rolony says a contact occurred and which two cell types formed it, but assigning the accompanying transcriptome still needs cell boundaries. The mitigation is that only one partner is myeloid by marker, so ownership is resolved by identity rather than geometry, with a sensitivity analysis across segmentation parameters.</w:t>
            </w:r>
          </w:p>
        </w:tc>
      </w:tr>
      <w:tr>
        <w:tc>
          <w:tcPr>
            <w:tcW w:type="dxa" w:w="4824"/>
          </w:tcPr>
          <w:p>
            <w:pPr>
              <w:spacing w:after="40"/>
            </w:pPr>
            <w:r>
              <w:rPr>
                <w:sz w:val="19"/>
              </w:rPr>
              <w:t>In the CNS, almost everything touches a neuron</w:t>
            </w:r>
          </w:p>
        </w:tc>
        <w:tc>
          <w:tcPr>
            <w:tcW w:type="dxa" w:w="4824"/>
          </w:tcPr>
          <w:p>
            <w:pPr>
              <w:spacing w:after="40"/>
            </w:pPr>
            <w:r>
              <w:rPr>
                <w:sz w:val="19"/>
              </w:rPr>
              <w:t>This is why the islet leads and the CNS follows, and why the CNS arm defines contact against a specific structure rather than any neuronal membrane. Getting this wrong would have quietly destroyed the central comparison.</w:t>
            </w:r>
          </w:p>
        </w:tc>
      </w:tr>
      <w:tr>
        <w:tc>
          <w:tcPr>
            <w:tcW w:type="dxa" w:w="4824"/>
          </w:tcPr>
          <w:p>
            <w:pPr>
              <w:spacing w:after="40"/>
            </w:pPr>
            <w:r>
              <w:rPr>
                <w:sz w:val="19"/>
              </w:rPr>
              <w:t>The existence of nerve-associated macrophages is not new</w:t>
            </w:r>
          </w:p>
        </w:tc>
        <w:tc>
          <w:tcPr>
            <w:tcW w:type="dxa" w:w="4824"/>
          </w:tcPr>
          <w:p>
            <w:pPr>
              <w:spacing w:after="40"/>
            </w:pPr>
            <w:r>
              <w:rPr>
                <w:sz w:val="19"/>
              </w:rPr>
              <w:t>Agreed, and the proposal does not claim it. Existence is prior work, some of it mine. The claims here are instruction and conservation across tissues, both of which are open.</w:t>
            </w:r>
          </w:p>
        </w:tc>
      </w:tr>
      <w:tr>
        <w:tc>
          <w:tcPr>
            <w:tcW w:type="dxa" w:w="4824"/>
          </w:tcPr>
          <w:p>
            <w:pPr>
              <w:spacing w:after="40"/>
            </w:pPr>
            <w:r>
              <w:rPr>
                <w:sz w:val="19"/>
              </w:rPr>
              <w:t>If the chemistry does not work</w:t>
            </w:r>
          </w:p>
        </w:tc>
        <w:tc>
          <w:tcPr>
            <w:tcW w:type="dxa" w:w="4824"/>
          </w:tcPr>
          <w:p>
            <w:pPr>
              <w:spacing w:after="40"/>
            </w:pPr>
            <w:r>
              <w:rPr>
                <w:sz w:val="19"/>
              </w:rPr>
              <w:t>The question survives at lower throughput. Contacts annotated by high-resolution imaging on smaller fields, followed by in situ sequencing on the same sections, answers the same matched-neighbourhood question with fewer cells. Aim 1 is scoped so this fallback is identified within the first year rather than the third.</w:t>
            </w:r>
          </w:p>
        </w:tc>
      </w:tr>
    </w:tbl>
    <w:p>
      <w:pPr>
        <w:spacing w:before="260" w:after="80"/>
      </w:pPr>
      <w:r>
        <w:rPr>
          <w:b/>
          <w:color w:val="1F3A5F"/>
          <w:sz w:val="26"/>
        </w:rPr>
        <w:t>What I bring to it</w:t>
      </w:r>
    </w:p>
    <w:p>
      <w:pPr>
        <w:pStyle w:val="ListBullet"/>
        <w:spacing w:after="60"/>
      </w:pPr>
      <w:r>
        <w:t>The biology. Five years on nerve-macrophage interaction in the pancreas, including the CX3CR1 dependence and the single-cell characterisation of candidate nerve-associated populations across NOD and RAG conditions.</w:t>
      </w:r>
    </w:p>
    <w:p>
      <w:pPr>
        <w:pStyle w:val="ListBullet"/>
        <w:spacing w:after="60"/>
      </w:pPr>
      <w:r>
        <w:t>The validation layer. Confocal, live-cell, intravital and live pancreatic tissue slice imaging with quantification in IMARIS and ImageJ. A spatial claim validated only against transcriptomic data is validated circularly; imaging breaks the circle, and Aim 1 depends on it entirely.</w:t>
      </w:r>
    </w:p>
    <w:p>
      <w:pPr>
        <w:pStyle w:val="ListBullet"/>
        <w:spacing w:after="60"/>
      </w:pPr>
      <w:r>
        <w:t>A published 3D neuron-macrophage-islet system, which is the controllable test bed the first year needs.</w:t>
      </w:r>
    </w:p>
    <w:p>
      <w:pPr>
        <w:pStyle w:val="ListBullet"/>
        <w:spacing w:after="60"/>
      </w:pPr>
      <w:r>
        <w:t>Single-cell phenotyping across modalities for orthogonal confirmation: spectral and conventional flow panel design, mass cytometry from the Brodin lab, and scRNA-seq analysis in R with Seurat for reference-based annotation of in situ data.</w:t>
      </w:r>
    </w:p>
    <w:p>
      <w:pPr>
        <w:spacing w:before="200"/>
      </w:pPr>
      <w:r>
        <w:rPr>
          <w:i/>
        </w:rPr>
        <w:t>The part I want to learn is the probe design and ligation chemistry, and the reason I am writing to you rather than to anyone else is that this question cannot be asked without it.</w:t>
      </w:r>
    </w:p>
    <w:p>
      <w:r>
        <w:t>Literature retrieved via PubMed; DOI links are given inline for each reference.</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