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4"/>
        </w:rPr>
        <w:t>Five open questions in cancer neuroimmunology</w:t>
      </w:r>
    </w:p>
    <w:p>
      <w:pPr>
        <w:jc w:val="center"/>
      </w:pPr>
      <w:r>
        <w:rPr>
          <w:i/>
          <w:sz w:val="23"/>
        </w:rPr>
        <w:t>Questions that cannot be answered with what exists, and what it would take</w:t>
      </w:r>
    </w:p>
    <w:p>
      <w:pPr>
        <w:spacing w:after="240"/>
        <w:jc w:val="center"/>
      </w:pPr>
      <w:r>
        <w:rPr>
          <w:color w:val="555555"/>
          <w:sz w:val="19"/>
        </w:rPr>
        <w:t>Vijay Sai Josyula, PhD  ·  Uppsala University  ·  vijay.josyula@igp.uu.se</w:t>
        <w:br/>
        <w:t>For Prof. Mats Nilsson, SciLifeLab / Stockholm University  ·  29 September 2026</w:t>
      </w:r>
    </w:p>
    <w:p>
      <w:pPr>
        <w:spacing w:before="0"/>
      </w:pPr>
      <w:r>
        <w:t>Each question below is selected on one criterion: it is open because of a measurement limit rather than a lack of interest, so the method follows from the question instead of preceding it. Tissue settings are restricted to material the lab has published on, principally colorectal liver metastases with their established zonation</w:t>
      </w:r>
      <w:r>
        <w:rPr>
          <w:vertAlign w:val="superscript"/>
        </w:rPr>
        <w:t>7,8</w:t>
      </w:r>
      <w:r>
        <w:t>, colorectal and breast primaries</w:t>
      </w:r>
      <w:r>
        <w:rPr>
          <w:vertAlign w:val="superscript"/>
        </w:rPr>
        <w:t>10</w:t>
      </w:r>
      <w:r>
        <w:t>, and multiple sclerosis lesions and human cortex on the CNS side</w:t>
      </w:r>
      <w:r>
        <w:rPr>
          <w:vertAlign w:val="superscript"/>
        </w:rPr>
        <w:t>12,13</w:t>
      </w:r>
      <w:r>
        <w:t>. Questions are ordered by what I would pitch first, not by ambition.</w:t>
      </w:r>
    </w:p>
    <w:p>
      <w:pPr>
        <w:spacing w:before="280" w:after="80"/>
      </w:pPr>
      <w:r>
        <w:rPr>
          <w:b/>
          <w:color w:val="1F3A5F"/>
          <w:sz w:val="26"/>
        </w:rPr>
        <w:t>Question 1.  Is the perineural space an immune sanctuary before the tumour arrives?</w:t>
      </w:r>
    </w:p>
    <w:p>
      <w:pPr>
        <w:spacing w:after="100"/>
        <w:ind w:left="0"/>
      </w:pPr>
      <w:r>
        <w:rPr>
          <w:b/>
        </w:rPr>
        <w:t xml:space="preserve">1.  Background.  </w:t>
      </w:r>
      <w:r>
        <w:t>Perineural invasion is an anatomically defined, independently adverse prognostic feature across gastrointestinal and genitourinary malignancies, and neural input is now recognised as a determinant of antitumour immunity rather than a bystander</w:t>
      </w:r>
      <w:r>
        <w:rPr>
          <w:vertAlign w:val="superscript"/>
        </w:rPr>
        <w:t>24,25</w:t>
      </w:r>
      <w:r>
        <w:t>. Sympathetic signalling drives CD8 T cell exhaustion through ADRB1, with exhausted cells clustering around sympathetic fibres</w:t>
      </w:r>
      <w:r>
        <w:rPr>
          <w:vertAlign w:val="superscript"/>
        </w:rPr>
        <w:t>22</w:t>
      </w:r>
      <w:r>
        <w:t>; nociceptor neurons suppress immunosurveillance</w:t>
      </w:r>
      <w:r>
        <w:rPr>
          <w:vertAlign w:val="superscript"/>
        </w:rPr>
        <w:t>20,21</w:t>
      </w:r>
      <w:r>
        <w:t>; and adrenergic and neurotrophin circuits accelerate progression in prostate and pancreatic models</w:t>
      </w:r>
      <w:r>
        <w:rPr>
          <w:vertAlign w:val="superscript"/>
        </w:rPr>
        <w:t>17,18,19</w:t>
      </w:r>
      <w:r>
        <w:t>.</w:t>
      </w:r>
    </w:p>
    <w:p>
      <w:pPr>
        <w:spacing w:after="100"/>
        <w:ind w:left="0"/>
      </w:pPr>
      <w:r>
        <w:rPr>
          <w:b/>
        </w:rPr>
        <w:t xml:space="preserve">2.  Gap and the issue.  </w:t>
      </w:r>
      <w:r>
        <w:t>Perineural invasion is scored morphologically, on whether tumour cells are present in the perineural compartment. Nothing in that assessment says whether the compartment was already immunologically permissive or was made so after invasion. No study has compared the immune composition and functional state of uninvaded and invaded nerves within the same specimen at cell resolution, so the causal direction is unestablished. The issue is therefore not descriptive but directional: is a nerve a route that tumour cells travel along, or a sanctuary in which they become invisible?</w:t>
      </w:r>
    </w:p>
    <w:p>
      <w:pPr>
        <w:spacing w:after="100"/>
        <w:ind w:left="0"/>
      </w:pPr>
      <w:r>
        <w:rPr>
          <w:b/>
        </w:rPr>
        <w:t xml:space="preserve">3.  Approach.  </w:t>
      </w:r>
      <w:r>
        <w:t>Targeted in situ sequencing</w:t>
      </w:r>
      <w:r>
        <w:rPr>
          <w:vertAlign w:val="superscript"/>
        </w:rPr>
        <w:t>3,5,6</w:t>
      </w:r>
      <w:r>
        <w:t xml:space="preserve"> on colorectal primaries and liver metastases in which perineural invasion is routinely scored, anchored to the desmoplastic rim zonation already established in this material</w:t>
      </w:r>
      <w:r>
        <w:rPr>
          <w:vertAlign w:val="superscript"/>
        </w:rPr>
        <w:t>7,8</w:t>
      </w:r>
      <w:r>
        <w:t>, with panel modules for neuronal and Schwann identity, myeloid state and T cell function. Spatially resolved clonotyping asks whether T cell clones near nerves are expanded or excluded</w:t>
      </w:r>
      <w:r>
        <w:rPr>
          <w:vertAlign w:val="superscript"/>
        </w:rPr>
        <w:t>9</w:t>
      </w:r>
      <w:r>
        <w:t>. Because apposition is currently inferred from segmentation, the limiting step is measuring it: splitting padlock arms across two cell surfaces so that circularisation is conditional on contact extends the proximity principle of in situ proximity ligation</w:t>
      </w:r>
      <w:r>
        <w:rPr>
          <w:vertAlign w:val="superscript"/>
        </w:rPr>
        <w:t>4</w:t>
      </w:r>
      <w:r>
        <w:t xml:space="preserve"> using established padlock and rolling-circle chemistry</w:t>
      </w:r>
      <w:r>
        <w:rPr>
          <w:vertAlign w:val="superscript"/>
        </w:rPr>
        <w:t>1,2</w:t>
      </w:r>
      <w:r>
        <w:t>. The uninvaded nerves in the same section are the internal control.</w:t>
      </w:r>
    </w:p>
    <w:p>
      <w:pPr>
        <w:spacing w:after="100"/>
        <w:ind w:left="0"/>
      </w:pPr>
      <w:r>
        <w:rPr>
          <w:b/>
        </w:rPr>
        <w:t xml:space="preserve">4.  What it covers and why it matters.  </w:t>
      </w:r>
      <w:r>
        <w:t>It supplies the missing causal layer beneath a staging criterion that is already used clinically but not understood mechanistically. A pre-permissive niche would reclassify perineural invasion as an immunological target rather than a surgical margin problem, and would give neural-axis interventions such as adrenergic blockade a selection biomarker, which is precisely what the field currently lacks</w:t>
      </w:r>
      <w:r>
        <w:rPr>
          <w:vertAlign w:val="superscript"/>
        </w:rPr>
        <w:t>24</w:t>
      </w:r>
      <w:r>
        <w:t>.</w:t>
      </w:r>
    </w:p>
    <w:p>
      <w:pPr>
        <w:spacing w:before="280" w:after="80"/>
      </w:pPr>
      <w:r>
        <w:rPr>
          <w:b/>
          <w:color w:val="1F3A5F"/>
          <w:sz w:val="26"/>
        </w:rPr>
        <w:t>Question 2.  Is the nerve-associated macrophage a lineage or a state?</w:t>
      </w:r>
    </w:p>
    <w:p>
      <w:pPr>
        <w:spacing w:after="100"/>
        <w:ind w:left="0"/>
      </w:pPr>
      <w:r>
        <w:rPr>
          <w:b/>
        </w:rPr>
        <w:t xml:space="preserve">1.  Background.  </w:t>
      </w:r>
      <w:r>
        <w:t>Macrophages associate with nerves in essentially every tissue examined, and in the pancreas the association is CX3CR1-dependent</w:t>
      </w:r>
      <w:r>
        <w:rPr>
          <w:vertAlign w:val="superscript"/>
        </w:rPr>
        <w:t>30</w:t>
      </w:r>
      <w:r>
        <w:t>. Macrophage identity is understood to arise from the combination of ontogeny and niche instruction, and which of the two dominates differs between tissues.</w:t>
      </w:r>
    </w:p>
    <w:p>
      <w:pPr>
        <w:spacing w:after="100"/>
        <w:ind w:left="0"/>
      </w:pPr>
      <w:r>
        <w:rPr>
          <w:b/>
        </w:rPr>
        <w:t xml:space="preserve">2.  Gap and the issue.  </w:t>
      </w:r>
      <w:r>
        <w:t>Whether nerve-associated macrophages constitute an ontogenetically distinct, self-renewing population occupying a niche, or a phenotype that any arriving monocyte-derived cell adopts, is unknown, and the reason is methodological rather than conceptual. Ontogeny is read by fate mapping, which requires dissociation and destroys position; state is read spatially, which carries no lineage history. No approach delivers both in the same cell, so the two hypotheses have never been placed in competition.</w:t>
      </w:r>
    </w:p>
    <w:p>
      <w:pPr>
        <w:spacing w:after="100"/>
        <w:ind w:left="0"/>
      </w:pPr>
      <w:r>
        <w:rPr>
          <w:b/>
        </w:rPr>
        <w:t xml:space="preserve">3.  Approach.  </w:t>
      </w:r>
      <w:r>
        <w:t>Read a heritable mark and a transcriptional state on the same section. Single-base discriminating padlock ligation already genotypes individual transcripts in situ</w:t>
      </w:r>
      <w:r>
        <w:rPr>
          <w:vertAlign w:val="superscript"/>
        </w:rPr>
        <w:t>2</w:t>
      </w:r>
      <w:r>
        <w:t>, and spatial genomics reads clonal structure in tumour tissue</w:t>
      </w:r>
      <w:r>
        <w:rPr>
          <w:vertAlign w:val="superscript"/>
        </w:rPr>
        <w:t>11</w:t>
      </w:r>
      <w:r>
        <w:t>; extending this to fate-mapping alleles and to mitochondrial haplotypes makes lineage and state co-readable. Mouse material establishes the readout where ontogeny is known by construction; human tumour material then tests whether the same population exists.</w:t>
      </w:r>
    </w:p>
    <w:p>
      <w:pPr>
        <w:spacing w:after="100"/>
        <w:ind w:left="0"/>
      </w:pPr>
      <w:r>
        <w:rPr>
          <w:b/>
        </w:rPr>
        <w:t xml:space="preserve">4.  What it covers and why it matters.  </w:t>
      </w:r>
      <w:r>
        <w:t>It decides between two incompatible therapeutic strategies, depletion of a cell class versus reprogramming of a state, which are currently pursued interchangeably because the distinction has not been made. More generally it returns lineage information to spatial atlases, which at present describe what cells are but not where they came from.</w:t>
      </w:r>
    </w:p>
    <w:p>
      <w:pPr>
        <w:spacing w:before="280" w:after="80"/>
      </w:pPr>
      <w:r>
        <w:rPr>
          <w:b/>
          <w:color w:val="1F3A5F"/>
          <w:sz w:val="26"/>
        </w:rPr>
        <w:t>Question 3.  Is intratumoural nerve density prognostic in itself, or a proxy for what accumulates around nerves?</w:t>
      </w:r>
    </w:p>
    <w:p>
      <w:pPr>
        <w:spacing w:after="100"/>
        <w:ind w:left="0"/>
      </w:pPr>
      <w:r>
        <w:rPr>
          <w:b/>
        </w:rPr>
        <w:t xml:space="preserve">1.  Background.  </w:t>
      </w:r>
      <w:r>
        <w:t>Nerve density and neural signalling associate with poor outcome in prostate and pancreatic cancer</w:t>
      </w:r>
      <w:r>
        <w:rPr>
          <w:vertAlign w:val="superscript"/>
        </w:rPr>
        <w:t>17,18,19</w:t>
      </w:r>
      <w:r>
        <w:t>, and neural regulation is variably associated with immune and stromal state across gastrointestinal tumour types</w:t>
      </w:r>
      <w:r>
        <w:rPr>
          <w:vertAlign w:val="superscript"/>
        </w:rPr>
        <w:t>24</w:t>
      </w:r>
      <w:r>
        <w:t>. Spatial profiling of diagnostic and prognostic markers in the same tumours shows that marker-level readouts conceal substantial regional heterogeneity</w:t>
      </w:r>
      <w:r>
        <w:rPr>
          <w:vertAlign w:val="superscript"/>
        </w:rPr>
        <w:t>10</w:t>
      </w:r>
      <w:r>
        <w:t>.</w:t>
      </w:r>
    </w:p>
    <w:p>
      <w:pPr>
        <w:spacing w:after="100"/>
        <w:ind w:left="0"/>
      </w:pPr>
      <w:r>
        <w:rPr>
          <w:b/>
        </w:rPr>
        <w:t xml:space="preserve">2.  Gap and the issue.  </w:t>
      </w:r>
      <w:r>
        <w:t>Nerve density is quantified histologically with no accompanying cellular context, so its association with outcome cannot be decomposed into a neural contribution and an immune one. The inconsistency of the association across tumour types has consequently never been explained, and a marker that is cheap and widely available remains uninterpretable.</w:t>
      </w:r>
    </w:p>
    <w:p>
      <w:pPr>
        <w:spacing w:after="100"/>
        <w:ind w:left="0"/>
      </w:pPr>
      <w:r>
        <w:rPr>
          <w:b/>
        </w:rPr>
        <w:t xml:space="preserve">3.  Approach.  </w:t>
      </w:r>
      <w:r>
        <w:t>Quantify nerve density and the cellular composition of the perineural annulus on the same sections by targeted in situ sequencing</w:t>
      </w:r>
      <w:r>
        <w:rPr>
          <w:vertAlign w:val="superscript"/>
        </w:rPr>
        <w:t>3,5</w:t>
      </w:r>
      <w:r>
        <w:t xml:space="preserve"> in an archival cohort with linked outcome, using the liver metastasis material where the spatial architecture is already characterised</w:t>
      </w:r>
      <w:r>
        <w:rPr>
          <w:vertAlign w:val="superscript"/>
        </w:rPr>
        <w:t>7,8</w:t>
      </w:r>
      <w:r>
        <w:t>, and test whether the association with outcome survives adjustment for perineural immune composition. Where gene-level measurement cannot separate functionally divergent receptor variants, junction-spanning padlocks resolve them</w:t>
      </w:r>
      <w:r>
        <w:rPr>
          <w:vertAlign w:val="superscript"/>
        </w:rPr>
        <w:t>2</w:t>
      </w:r>
      <w:r>
        <w:t>.</w:t>
      </w:r>
    </w:p>
    <w:p>
      <w:pPr>
        <w:spacing w:after="100"/>
        <w:ind w:left="0"/>
      </w:pPr>
      <w:r>
        <w:rPr>
          <w:b/>
        </w:rPr>
        <w:t xml:space="preserve">4.  What it covers and why it matters.  </w:t>
      </w:r>
      <w:r>
        <w:t>It converts an observational histological marker into a mechanistic one and provides a testable explanation for why the association holds in some cancers and not others. This is the most immediately translatable of the five, and also the least conceptually novel, so I would position it as a supporting rather than a leading question.</w:t>
      </w:r>
    </w:p>
    <w:p>
      <w:pPr>
        <w:spacing w:before="280" w:after="80"/>
      </w:pPr>
      <w:r>
        <w:rPr>
          <w:b/>
          <w:color w:val="1F3A5F"/>
          <w:sz w:val="26"/>
        </w:rPr>
        <w:t>Question 4.  Does the tumour perineural niche reconstruct the nerve injury repair programme?</w:t>
      </w:r>
    </w:p>
    <w:p>
      <w:pPr>
        <w:spacing w:after="100"/>
        <w:ind w:left="0"/>
      </w:pPr>
      <w:r>
        <w:rPr>
          <w:b/>
        </w:rPr>
        <w:t xml:space="preserve">1.  Background.  </w:t>
      </w:r>
      <w:r>
        <w:t>Schwann cells in pancreatic perineural invasion adopt an injury-like repair phenotype and secrete chemoattractants that support tumour invasion</w:t>
      </w:r>
      <w:r>
        <w:rPr>
          <w:vertAlign w:val="superscript"/>
        </w:rPr>
        <w:t>23</w:t>
      </w:r>
      <w:r>
        <w:t>, and cancer-associated nerve injury has been linked to interferon and interleukin-6 related inflammation with impaired antitumour immunity</w:t>
      </w:r>
      <w:r>
        <w:rPr>
          <w:vertAlign w:val="superscript"/>
        </w:rPr>
        <w:t>24</w:t>
      </w:r>
      <w:r>
        <w:t>. The lab has assembled organ-wide developmental atlases and mapped the cellular evolution of neuroinflammatory lesions</w:t>
      </w:r>
      <w:r>
        <w:rPr>
          <w:vertAlign w:val="superscript"/>
        </w:rPr>
        <w:t>12,16</w:t>
      </w:r>
      <w:r>
        <w:t>.</w:t>
      </w:r>
    </w:p>
    <w:p>
      <w:pPr>
        <w:spacing w:after="100"/>
        <w:ind w:left="0"/>
      </w:pPr>
      <w:r>
        <w:rPr>
          <w:b/>
        </w:rPr>
        <w:t xml:space="preserve">2.  Gap and the issue.  </w:t>
      </w:r>
      <w:r>
        <w:t>Schwann, neuronal and myeloid states in this niche have been described separately and largely in model systems. No study resolves all three simultaneously in human tumour tissue, so the widely repeated claim that tumours hijack a regenerative programme is an analogy rather than a tested proposition, and it is unclear whether the immune component of nerve repair is reproduced or replaced.</w:t>
      </w:r>
    </w:p>
    <w:p>
      <w:pPr>
        <w:spacing w:after="100"/>
        <w:ind w:left="0"/>
      </w:pPr>
      <w:r>
        <w:rPr>
          <w:b/>
        </w:rPr>
        <w:t xml:space="preserve">3.  Approach.  </w:t>
      </w:r>
      <w:r>
        <w:t>A single panel spanning Schwann repair, neuronal and myeloid modules read on one section</w:t>
      </w:r>
      <w:r>
        <w:rPr>
          <w:vertAlign w:val="superscript"/>
        </w:rPr>
        <w:t>5,13</w:t>
      </w:r>
      <w:r>
        <w:t>, comparing tumour perineural niches against genuine nerve injury and against multiple sclerosis lesion material as a non-malignant injury reference where the lesion evolution is already mapped</w:t>
      </w:r>
      <w:r>
        <w:rPr>
          <w:vertAlign w:val="superscript"/>
        </w:rPr>
        <w:t>12</w:t>
      </w:r>
      <w:r>
        <w:t>. Where the distinguishing information is carried by transcript variants rather than transcript levels, isoform-resolved and editing-resolved padlock readouts provide it</w:t>
      </w:r>
      <w:r>
        <w:rPr>
          <w:vertAlign w:val="superscript"/>
        </w:rPr>
        <w:t>2,15</w:t>
      </w:r>
      <w:r>
        <w:t>.</w:t>
      </w:r>
    </w:p>
    <w:p>
      <w:pPr>
        <w:spacing w:after="100"/>
        <w:ind w:left="0"/>
      </w:pPr>
      <w:r>
        <w:rPr>
          <w:b/>
        </w:rPr>
        <w:t xml:space="preserve">4.  What it covers and why it matters.  </w:t>
      </w:r>
      <w:r>
        <w:t>A positive answer makes decades of nerve regeneration biology directly available as a therapeutic framework for perineural disease. A negative answer is equally valuable, because it removes a fashionable analogy that is currently shaping how the field reasons about this niche.</w:t>
      </w:r>
    </w:p>
    <w:p>
      <w:pPr>
        <w:spacing w:before="280" w:after="80"/>
      </w:pPr>
      <w:r>
        <w:rPr>
          <w:b/>
          <w:color w:val="1F3A5F"/>
          <w:sz w:val="26"/>
        </w:rPr>
        <w:t>Question 5.  What does a nerve actually deliver to an immune cell?</w:t>
      </w:r>
    </w:p>
    <w:p>
      <w:pPr>
        <w:spacing w:after="100"/>
        <w:ind w:left="0"/>
      </w:pPr>
      <w:r>
        <w:rPr>
          <w:b/>
        </w:rPr>
        <w:t xml:space="preserve">1.  Background.  </w:t>
      </w:r>
      <w:r>
        <w:t>Neural regulation of immunity is modelled almost entirely as neurotransmitter acting on receptor</w:t>
      </w:r>
      <w:r>
        <w:rPr>
          <w:vertAlign w:val="superscript"/>
        </w:rPr>
        <w:t>17,18,19,22</w:t>
      </w:r>
      <w:r>
        <w:t>. Neurons also release vesicular cargo including small and circular RNAs; circular RNAs are enriched in neural tissue and are detectable in situ</w:t>
      </w:r>
      <w:r>
        <w:rPr>
          <w:vertAlign w:val="superscript"/>
        </w:rPr>
        <w:t>14</w:t>
      </w:r>
      <w:r>
        <w:t>, and transcript-level regulation such as RNA editing is spatially patterned in the nervous system</w:t>
      </w:r>
      <w:r>
        <w:rPr>
          <w:vertAlign w:val="superscript"/>
        </w:rPr>
        <w:t>15</w:t>
      </w:r>
      <w:r>
        <w:t>.</w:t>
      </w:r>
    </w:p>
    <w:p>
      <w:pPr>
        <w:spacing w:after="100"/>
        <w:ind w:left="0"/>
      </w:pPr>
      <w:r>
        <w:rPr>
          <w:b/>
        </w:rPr>
        <w:t xml:space="preserve">2.  Gap and the issue.  </w:t>
      </w:r>
      <w:r>
        <w:t>Whether nerve-to-immune communication in tumours is predominantly chemical or partly material has never been framed as a comparison, because no in-tissue method distinguishes a donor-derived molecule inside a recipient cell. Every existing observation of intercellular transfer rests on fluorescent reporters or dyes, which phagocytosed debris reproduces.</w:t>
      </w:r>
    </w:p>
    <w:p>
      <w:pPr>
        <w:spacing w:after="100"/>
        <w:ind w:left="0"/>
      </w:pPr>
      <w:r>
        <w:rPr>
          <w:b/>
        </w:rPr>
        <w:t xml:space="preserve">3.  Approach.  </w:t>
      </w:r>
      <w:r>
        <w:t>Species-resolved padlock readouts for the candidate cargo, mature microRNAs discriminated by ligation at single-base resolution and circular RNAs by backsplice junction</w:t>
      </w:r>
      <w:r>
        <w:rPr>
          <w:vertAlign w:val="superscript"/>
        </w:rPr>
        <w:t>2,14</w:t>
      </w:r>
      <w:r>
        <w:t>, combined with donor-versus-recipient genotype discrimination so that a donor-genotype signal scored within a recipient cell constitutes sequence level evidence of transfer</w:t>
      </w:r>
      <w:r>
        <w:rPr>
          <w:vertAlign w:val="superscript"/>
        </w:rPr>
        <w:t>2,11</w:t>
      </w:r>
      <w:r>
        <w:t>. Calibration against mechanistically unrelated contact and transfer reporters</w:t>
      </w:r>
      <w:r>
        <w:rPr>
          <w:vertAlign w:val="superscript"/>
        </w:rPr>
        <w:t>26,27,28,29</w:t>
      </w:r>
      <w:r>
        <w:t xml:space="preserve"> is what separates transfer from uptake of debris, and it dominates the first year.</w:t>
      </w:r>
    </w:p>
    <w:p>
      <w:pPr>
        <w:spacing w:after="100"/>
        <w:ind w:left="0"/>
      </w:pPr>
      <w:r>
        <w:rPr>
          <w:b/>
        </w:rPr>
        <w:t xml:space="preserve">4.  What it covers and why it matters.  </w:t>
      </w:r>
      <w:r>
        <w:t>It distinguishes two therapeutic axes, receptor blockade and transfer blockade, that require entirely different drug classes and are currently conflated by default. This is the highest-risk question of the five and I would not lead with it; the controls, not the measurement, decide whether it is answerable at all.</w:t>
      </w:r>
    </w:p>
    <w:p>
      <w:pPr>
        <w:spacing w:before="280" w:after="80"/>
      </w:pPr>
      <w:r>
        <w:rPr>
          <w:b/>
          <w:color w:val="1F3A5F"/>
          <w:sz w:val="24"/>
        </w:rPr>
        <w:t>References</w:t>
      </w:r>
    </w:p>
    <w:p>
      <w:pPr>
        <w:spacing w:after="40"/>
        <w:ind w:left="432" w:hanging="432"/>
      </w:pPr>
      <w:r>
        <w:rPr>
          <w:b/>
          <w:sz w:val="18"/>
        </w:rPr>
        <w:t xml:space="preserve">1.  </w:t>
      </w:r>
      <w:r>
        <w:rPr>
          <w:sz w:val="18"/>
        </w:rPr>
        <w:t>Nilsson, M. et al. Science 265, 2085–2088 (1994). doi:10.1126/science.7522346</w:t>
      </w:r>
    </w:p>
    <w:p>
      <w:pPr>
        <w:spacing w:after="40"/>
        <w:ind w:left="432" w:hanging="432"/>
      </w:pPr>
      <w:r>
        <w:rPr>
          <w:b/>
          <w:sz w:val="18"/>
        </w:rPr>
        <w:t xml:space="preserve">2.  </w:t>
      </w:r>
      <w:r>
        <w:rPr>
          <w:sz w:val="18"/>
        </w:rPr>
        <w:t>Larsson, C. et al. Nat. Methods 7, 395–397 (2010). doi:10.1038/nmeth.1448</w:t>
      </w:r>
    </w:p>
    <w:p>
      <w:pPr>
        <w:spacing w:after="40"/>
        <w:ind w:left="432" w:hanging="432"/>
      </w:pPr>
      <w:r>
        <w:rPr>
          <w:b/>
          <w:sz w:val="18"/>
        </w:rPr>
        <w:t xml:space="preserve">3.  </w:t>
      </w:r>
      <w:r>
        <w:rPr>
          <w:sz w:val="18"/>
        </w:rPr>
        <w:t>Ke, R. et al. Nat. Methods 10, 857–860 (2013). doi:10.1038/nmeth.2563</w:t>
      </w:r>
    </w:p>
    <w:p>
      <w:pPr>
        <w:spacing w:after="40"/>
        <w:ind w:left="432" w:hanging="432"/>
      </w:pPr>
      <w:r>
        <w:rPr>
          <w:b/>
          <w:sz w:val="18"/>
        </w:rPr>
        <w:t xml:space="preserve">4.  </w:t>
      </w:r>
      <w:r>
        <w:rPr>
          <w:sz w:val="18"/>
        </w:rPr>
        <w:t>Söderberg, O. et al. Nat. Methods 3, 995–1000 (2006). doi:10.1038/nmeth947</w:t>
      </w:r>
    </w:p>
    <w:p>
      <w:pPr>
        <w:spacing w:after="40"/>
        <w:ind w:left="432" w:hanging="432"/>
      </w:pPr>
      <w:r>
        <w:rPr>
          <w:b/>
          <w:sz w:val="18"/>
        </w:rPr>
        <w:t xml:space="preserve">5.  </w:t>
      </w:r>
      <w:r>
        <w:rPr>
          <w:sz w:val="18"/>
        </w:rPr>
        <w:t>Gyllborg, D. et al. Nucleic Acids Res. 48, e112 (2020). doi:10.1093/nar/gkaa792</w:t>
      </w:r>
    </w:p>
    <w:p>
      <w:pPr>
        <w:spacing w:after="40"/>
        <w:ind w:left="432" w:hanging="432"/>
      </w:pPr>
      <w:r>
        <w:rPr>
          <w:b/>
          <w:sz w:val="18"/>
        </w:rPr>
        <w:t xml:space="preserve">6.  </w:t>
      </w:r>
      <w:r>
        <w:rPr>
          <w:sz w:val="18"/>
        </w:rPr>
        <w:t>Magoulopoulou, A. et al. Annu. Rev. Genomics Hum. Genet. 24, 133–150 (2023). doi:10.1146/annurev-genom-102722-092013</w:t>
      </w:r>
    </w:p>
    <w:p>
      <w:pPr>
        <w:spacing w:after="40"/>
        <w:ind w:left="432" w:hanging="432"/>
      </w:pPr>
      <w:r>
        <w:rPr>
          <w:b/>
          <w:sz w:val="18"/>
        </w:rPr>
        <w:t xml:space="preserve">7.  </w:t>
      </w:r>
      <w:r>
        <w:rPr>
          <w:sz w:val="18"/>
        </w:rPr>
        <w:t>Andersson, A. et al. Clin. Cancer Res. 30, 4517–4529 (2024). doi:10.1158/1078-0432.CCR-23-3461</w:t>
      </w:r>
    </w:p>
    <w:p>
      <w:pPr>
        <w:spacing w:after="40"/>
        <w:ind w:left="432" w:hanging="432"/>
      </w:pPr>
      <w:r>
        <w:rPr>
          <w:b/>
          <w:sz w:val="18"/>
        </w:rPr>
        <w:t xml:space="preserve">8.  </w:t>
      </w:r>
      <w:r>
        <w:rPr>
          <w:sz w:val="18"/>
        </w:rPr>
        <w:t>Escriva Conde, M. et al. Br. J. Cancer (2026). doi:10.1038/s41416-026-03567-y</w:t>
      </w:r>
    </w:p>
    <w:p>
      <w:pPr>
        <w:spacing w:after="40"/>
        <w:ind w:left="432" w:hanging="432"/>
      </w:pPr>
      <w:r>
        <w:rPr>
          <w:b/>
          <w:sz w:val="18"/>
        </w:rPr>
        <w:t xml:space="preserve">9.  </w:t>
      </w:r>
      <w:r>
        <w:rPr>
          <w:sz w:val="18"/>
        </w:rPr>
        <w:t>Magoulopoulou, A. et al. EBioMedicine 127, 106264 (2026). doi:10.1016/j.ebiom.2026.106264</w:t>
      </w:r>
    </w:p>
    <w:p>
      <w:pPr>
        <w:spacing w:after="40"/>
        <w:ind w:left="432" w:hanging="432"/>
      </w:pPr>
      <w:r>
        <w:rPr>
          <w:b/>
          <w:sz w:val="18"/>
        </w:rPr>
        <w:t xml:space="preserve">10.  </w:t>
      </w:r>
      <w:r>
        <w:rPr>
          <w:sz w:val="18"/>
        </w:rPr>
        <w:t>Svedlund, J. et al. EBioMedicine 48, 212–223 (2019). doi:10.1016/j.ebiom.2019.09.009</w:t>
      </w:r>
    </w:p>
    <w:p>
      <w:pPr>
        <w:spacing w:after="40"/>
        <w:ind w:left="432" w:hanging="432"/>
      </w:pPr>
      <w:r>
        <w:rPr>
          <w:b/>
          <w:sz w:val="18"/>
        </w:rPr>
        <w:t xml:space="preserve">11.  </w:t>
      </w:r>
      <w:r>
        <w:rPr>
          <w:sz w:val="18"/>
        </w:rPr>
        <w:t>Lomakin, A. et al. Nature 611, 594–602 (2022). doi:10.1038/s41586-022-05425-2</w:t>
      </w:r>
    </w:p>
    <w:p>
      <w:pPr>
        <w:spacing w:after="40"/>
        <w:ind w:left="432" w:hanging="432"/>
      </w:pPr>
      <w:r>
        <w:rPr>
          <w:b/>
          <w:sz w:val="18"/>
        </w:rPr>
        <w:t xml:space="preserve">12.  </w:t>
      </w:r>
      <w:r>
        <w:rPr>
          <w:sz w:val="18"/>
        </w:rPr>
        <w:t>Kukanja, P. et al. Cell 187, 1990–2009 (2024). doi:10.1016/j.cell.2024.02.030</w:t>
      </w:r>
    </w:p>
    <w:p>
      <w:pPr>
        <w:spacing w:after="40"/>
        <w:ind w:left="432" w:hanging="432"/>
      </w:pPr>
      <w:r>
        <w:rPr>
          <w:b/>
          <w:sz w:val="18"/>
        </w:rPr>
        <w:t xml:space="preserve">13.  </w:t>
      </w:r>
      <w:r>
        <w:rPr>
          <w:sz w:val="18"/>
        </w:rPr>
        <w:t>Langseth, C. M. et al. Commun. Biol. 4, 998 (2021). doi:10.1038/s42003-021-02517-z</w:t>
      </w:r>
    </w:p>
    <w:p>
      <w:pPr>
        <w:spacing w:after="40"/>
        <w:ind w:left="432" w:hanging="432"/>
      </w:pPr>
      <w:r>
        <w:rPr>
          <w:b/>
          <w:sz w:val="18"/>
        </w:rPr>
        <w:t xml:space="preserve">14.  </w:t>
      </w:r>
      <w:r>
        <w:rPr>
          <w:sz w:val="18"/>
        </w:rPr>
        <w:t>Zaghlool, A. et al. Sci. Rep. 8, 16953 (2018). doi:10.1038/s41598-018-35001-6</w:t>
      </w:r>
    </w:p>
    <w:p>
      <w:pPr>
        <w:spacing w:after="40"/>
        <w:ind w:left="432" w:hanging="432"/>
      </w:pPr>
      <w:r>
        <w:rPr>
          <w:b/>
          <w:sz w:val="18"/>
        </w:rPr>
        <w:t xml:space="preserve">15.  </w:t>
      </w:r>
      <w:r>
        <w:rPr>
          <w:sz w:val="18"/>
        </w:rPr>
        <w:t>Lundin, E. et al. BMC Biol. 18, 6 (2020). doi:10.1186/s12915-019-0736-3</w:t>
      </w:r>
    </w:p>
    <w:p>
      <w:pPr>
        <w:spacing w:after="40"/>
        <w:ind w:left="432" w:hanging="432"/>
      </w:pPr>
      <w:r>
        <w:rPr>
          <w:b/>
          <w:sz w:val="18"/>
        </w:rPr>
        <w:t xml:space="preserve">16.  </w:t>
      </w:r>
      <w:r>
        <w:rPr>
          <w:sz w:val="18"/>
        </w:rPr>
        <w:t>Asp, M. et al. Cell 179, 1647–1660 (2019). doi:10.1016/j.cell.2019.11.025</w:t>
      </w:r>
    </w:p>
    <w:p>
      <w:pPr>
        <w:spacing w:after="40"/>
        <w:ind w:left="432" w:hanging="432"/>
      </w:pPr>
      <w:r>
        <w:rPr>
          <w:b/>
          <w:sz w:val="18"/>
        </w:rPr>
        <w:t xml:space="preserve">17.  </w:t>
      </w:r>
      <w:r>
        <w:rPr>
          <w:sz w:val="18"/>
        </w:rPr>
        <w:t>Magnon, C. et al. Science 341, 1236361 (2013). doi:10.1126/science.1236361</w:t>
      </w:r>
    </w:p>
    <w:p>
      <w:pPr>
        <w:spacing w:after="40"/>
        <w:ind w:left="432" w:hanging="432"/>
      </w:pPr>
      <w:r>
        <w:rPr>
          <w:b/>
          <w:sz w:val="18"/>
        </w:rPr>
        <w:t xml:space="preserve">18.  </w:t>
      </w:r>
      <w:r>
        <w:rPr>
          <w:sz w:val="18"/>
        </w:rPr>
        <w:t>Zahalka, A. H. et al. Science 358, 321–326 (2017). doi:10.1126/science.aah5072</w:t>
      </w:r>
    </w:p>
    <w:p>
      <w:pPr>
        <w:spacing w:after="40"/>
        <w:ind w:left="432" w:hanging="432"/>
      </w:pPr>
      <w:r>
        <w:rPr>
          <w:b/>
          <w:sz w:val="18"/>
        </w:rPr>
        <w:t xml:space="preserve">19.  </w:t>
      </w:r>
      <w:r>
        <w:rPr>
          <w:sz w:val="18"/>
        </w:rPr>
        <w:t>Renz, B. W. et al. Cancer Cell 34, 863–867 (2018). doi:10.1016/j.ccell.2018.10.010</w:t>
      </w:r>
    </w:p>
    <w:p>
      <w:pPr>
        <w:spacing w:after="40"/>
        <w:ind w:left="432" w:hanging="432"/>
      </w:pPr>
      <w:r>
        <w:rPr>
          <w:b/>
          <w:sz w:val="18"/>
        </w:rPr>
        <w:t xml:space="preserve">20.  </w:t>
      </w:r>
      <w:r>
        <w:rPr>
          <w:sz w:val="18"/>
        </w:rPr>
        <w:t>Balood, M. et al. Nature 611, 405–412 (2022). doi:10.1038/s41586-022-05374-w</w:t>
      </w:r>
    </w:p>
    <w:p>
      <w:pPr>
        <w:spacing w:after="40"/>
        <w:ind w:left="432" w:hanging="432"/>
      </w:pPr>
      <w:r>
        <w:rPr>
          <w:b/>
          <w:sz w:val="18"/>
        </w:rPr>
        <w:t xml:space="preserve">21.  </w:t>
      </w:r>
      <w:r>
        <w:rPr>
          <w:sz w:val="18"/>
        </w:rPr>
        <w:t>Restaino, A. C. et al. Sci. Signal. 18, eads7889 (2025). doi:10.1126/scisignal.ads7889</w:t>
      </w:r>
    </w:p>
    <w:p>
      <w:pPr>
        <w:spacing w:after="40"/>
        <w:ind w:left="432" w:hanging="432"/>
      </w:pPr>
      <w:r>
        <w:rPr>
          <w:b/>
          <w:sz w:val="18"/>
        </w:rPr>
        <w:t xml:space="preserve">22.  </w:t>
      </w:r>
      <w:r>
        <w:rPr>
          <w:sz w:val="18"/>
        </w:rPr>
        <w:t>Globig, A.-M. et al. Nature 622, 383–392 (2023). doi:10.1038/s41586-023-06568-6</w:t>
      </w:r>
    </w:p>
    <w:p>
      <w:pPr>
        <w:spacing w:after="40"/>
        <w:ind w:left="432" w:hanging="432"/>
      </w:pPr>
      <w:r>
        <w:rPr>
          <w:b/>
          <w:sz w:val="18"/>
        </w:rPr>
        <w:t xml:space="preserve">23.  </w:t>
      </w:r>
      <w:r>
        <w:rPr>
          <w:sz w:val="18"/>
        </w:rPr>
        <w:t>Schiedlauske, K. et al. Front. Cell Dev. Biol. 14, 1876023 (2026). doi:10.3389/fcell.2026.1876023</w:t>
      </w:r>
    </w:p>
    <w:p>
      <w:pPr>
        <w:spacing w:after="40"/>
        <w:ind w:left="432" w:hanging="432"/>
      </w:pPr>
      <w:r>
        <w:rPr>
          <w:b/>
          <w:sz w:val="18"/>
        </w:rPr>
        <w:t xml:space="preserve">24.  </w:t>
      </w:r>
      <w:r>
        <w:rPr>
          <w:sz w:val="18"/>
        </w:rPr>
        <w:t>Jiang, H. et al. Front. Immunol. 17, 1916481 (2026). doi:10.3389/fimmu.2026.1916481</w:t>
      </w:r>
    </w:p>
    <w:p>
      <w:pPr>
        <w:spacing w:after="40"/>
        <w:ind w:left="432" w:hanging="432"/>
      </w:pPr>
      <w:r>
        <w:rPr>
          <w:b/>
          <w:sz w:val="18"/>
        </w:rPr>
        <w:t xml:space="preserve">25.  </w:t>
      </w:r>
      <w:r>
        <w:rPr>
          <w:sz w:val="18"/>
        </w:rPr>
        <w:t>Hanahan, D. Cell 189, 2254–2277 (2026). doi:10.1016/j.cell.2025.12.049</w:t>
      </w:r>
    </w:p>
    <w:p>
      <w:pPr>
        <w:spacing w:after="40"/>
        <w:ind w:left="432" w:hanging="432"/>
      </w:pPr>
      <w:r>
        <w:rPr>
          <w:b/>
          <w:sz w:val="18"/>
        </w:rPr>
        <w:t xml:space="preserve">26.  </w:t>
      </w:r>
      <w:r>
        <w:rPr>
          <w:sz w:val="18"/>
        </w:rPr>
        <w:t>Pasqual, G. et al. Nature 553, 496–500 (2018). doi:10.1038/nature25442</w:t>
      </w:r>
    </w:p>
    <w:p>
      <w:pPr>
        <w:spacing w:after="40"/>
        <w:ind w:left="432" w:hanging="432"/>
      </w:pPr>
      <w:r>
        <w:rPr>
          <w:b/>
          <w:sz w:val="18"/>
        </w:rPr>
        <w:t xml:space="preserve">27.  </w:t>
      </w:r>
      <w:r>
        <w:rPr>
          <w:sz w:val="18"/>
        </w:rPr>
        <w:t>Canesso, M. C. C. et al. Science 387, eado5088 (2025). doi:10.1126/science.ado5088</w:t>
      </w:r>
    </w:p>
    <w:p>
      <w:pPr>
        <w:spacing w:after="40"/>
        <w:ind w:left="432" w:hanging="432"/>
      </w:pPr>
      <w:r>
        <w:rPr>
          <w:b/>
          <w:sz w:val="18"/>
        </w:rPr>
        <w:t xml:space="preserve">28.  </w:t>
      </w:r>
      <w:r>
        <w:rPr>
          <w:sz w:val="18"/>
        </w:rPr>
        <w:t>Roybal, K. T. et al. Cell 167, 419–432 (2016). doi:10.1016/j.cell.2016.09.011</w:t>
      </w:r>
    </w:p>
    <w:p>
      <w:pPr>
        <w:spacing w:after="40"/>
        <w:ind w:left="432" w:hanging="432"/>
      </w:pPr>
      <w:r>
        <w:rPr>
          <w:b/>
          <w:sz w:val="18"/>
        </w:rPr>
        <w:t xml:space="preserve">29.  </w:t>
      </w:r>
      <w:r>
        <w:rPr>
          <w:sz w:val="18"/>
        </w:rPr>
        <w:t>Toda, S. et al. Science 361, 156–162 (2018). doi:10.1126/science.aat0271</w:t>
      </w:r>
    </w:p>
    <w:p>
      <w:pPr>
        <w:spacing w:after="40"/>
        <w:ind w:left="432" w:hanging="432"/>
      </w:pPr>
      <w:r>
        <w:rPr>
          <w:b/>
          <w:sz w:val="18"/>
        </w:rPr>
        <w:t xml:space="preserve">30.  </w:t>
      </w:r>
      <w:r>
        <w:rPr>
          <w:sz w:val="18"/>
        </w:rPr>
        <w:t>Muntjewerff, E. M., Josyula, V. S., Lehmair, F. &amp; Christoffersson, G. Front. Immunol. 16, 1654382 (2025). doi:10.3389/fimmu.2025.1654382</w:t>
      </w:r>
    </w:p>
    <w:p>
      <w:pPr>
        <w:spacing w:before="160"/>
      </w:pPr>
      <w:r>
        <w:rPr>
          <w:i/>
          <w:sz w:val="18"/>
        </w:rPr>
        <w:t>References retrieved via PubMed.</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