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36"/>
        </w:rPr>
        <w:t>Five Postdoctoral Project Concepts</w:t>
      </w:r>
    </w:p>
    <w:p>
      <w:pPr>
        <w:jc w:val="center"/>
      </w:pPr>
      <w:r>
        <w:rPr>
          <w:i/>
          <w:sz w:val="25"/>
        </w:rPr>
        <w:t>New padlock-probe chemistries for cancer neuroimmunology</w:t>
      </w:r>
    </w:p>
    <w:p>
      <w:pPr>
        <w:spacing w:after="200"/>
        <w:jc w:val="center"/>
      </w:pPr>
      <w:r>
        <w:rPr>
          <w:color w:val="555555"/>
          <w:sz w:val="19"/>
        </w:rPr>
        <w:t>Vijay Sai Josyula, PhD  ·  Uppsala University  ·  vijay.josyula@igp.uu.se</w:t>
        <w:br/>
        <w:t>Prepared for Prof. Mats Nilsson, SciLifeLab / Stockholm University  ·  29 September 2026</w:t>
      </w:r>
    </w:p>
    <w:p>
      <w:pPr>
        <w:spacing w:before="80" w:after="80"/>
      </w:pPr>
      <w:r>
        <w:rPr>
          <w:b/>
          <w:color w:val="1F3A5F"/>
          <w:sz w:val="24"/>
        </w:rPr>
        <w:t>Framing and selection logic</w:t>
      </w:r>
    </w:p>
    <w:p>
      <w:r>
        <w:t>Each concept below is built on padlock-probe chemistry and is designed to deliver a method that does not currently exist, rather than an existing biological observation re-acquired at higher resolution. Every concept therefore carries a defined inventive step with patent potential, and every concept has a target class that only the new chemistry can reach. The biological arena is the intersection of cancer and the nervous system in the tissues the Nilsson lab has invested in most heavily, principally the CNS and CNS malignancy, with pancreatic and breast tumours as secondary settings that match my own training in nerve-macrophage biology.</w:t>
      </w:r>
    </w:p>
    <w:p>
      <w:r>
        <w:t>Ranking is by the product of novelty and feasibility, not by novelty alone. Concepts 1 and 2 are the ones I would argue for; concept 3 is the safe, fundable one; concepts 4 and 5 are high-ceiling and are presented with their failure modes stated rather than hidden. A candid critique of each sits at the end of the document.</w:t>
      </w:r>
    </w:p>
    <w:p>
      <w:r>
        <w:t>Literature retrieved via PubMed. DOI links are given inline for every reference cited.</w:t>
      </w:r>
    </w:p>
    <w:p>
      <w:pPr>
        <w:spacing w:before="240" w:after="80"/>
      </w:pPr>
      <w:r>
        <w:rPr>
          <w:b/>
          <w:color w:val="1F3A5F"/>
          <w:sz w:val="26"/>
        </w:rPr>
        <w:t>1.  Interaction-gated padlock circularisation: sequencing the neuron-macrophage contact itself</w:t>
      </w:r>
    </w:p>
    <w:p>
      <w:pPr>
        <w:spacing w:after="60"/>
      </w:pPr>
      <w:r>
        <w:rPr>
          <w:b/>
          <w:i w:val="0"/>
        </w:rPr>
        <w:t xml:space="preserve">Novelty / feasibility:  </w:t>
      </w:r>
      <w:r>
        <w:t>High / High.  Inventive step: a padlock that closes only across a cell-cell interface.</w:t>
      </w:r>
    </w:p>
    <w:p>
      <w:pPr>
        <w:spacing w:after="60"/>
      </w:pPr>
      <w:r>
        <w:rPr>
          <w:b/>
          <w:i w:val="0"/>
        </w:rPr>
        <w:t xml:space="preserve">Background.  </w:t>
      </w:r>
      <w:r>
        <w:t>Padlock probes report on a molecule inside one cell. Proximity ligation reports on two epitopes within roughly 40 nm but yields a single non-multiplexed signal (Söderberg et al., Nat Methods 2006, https://doi.org/10.1038/nmeth947), and in situ sequencing reads the transcriptome of cells that happen to lie near one another (Ke et al., Nat Methods 2013, https://doi.org/10.1038/nmeth.2563; Gyllborg et al., Nucleic Acids Res 2020, https://doi.org/10.1093/nar/gkaa792). In cancer neuroscience, the unit of biology is increasingly the physical contact: exhausted CD8 T cells cluster on sympathetic fibres via ADRB1 (Globig et al., Nature 2023, https://doi.org/10.1038/s41586-023-06568-6), and nerve-macrophage apposition is a defined structural feature of tissue immunity (Muntjewerff, Josyula et al., Front Immunol 2025, https://doi.org/10.3389/fimmu.2025.1654382).</w:t>
      </w:r>
    </w:p>
    <w:p>
      <w:pPr>
        <w:spacing w:after="60"/>
      </w:pPr>
      <w:r>
        <w:rPr>
          <w:b/>
          <w:i w:val="0"/>
        </w:rPr>
        <w:t xml:space="preserve">Gap.  </w:t>
      </w:r>
      <w:r>
        <w:t>No method assigns a transcriptomic identity to the two partners of a specific cell-cell contact. Spatial transcriptomics infers interaction from coordinates and segmentation, which is exactly where the current generation of platforms is weakest; contact is imputed, never measured.</w:t>
      </w:r>
    </w:p>
    <w:p>
      <w:pPr>
        <w:spacing w:after="60"/>
      </w:pPr>
      <w:r>
        <w:rPr>
          <w:b/>
          <w:i w:val="0"/>
        </w:rPr>
        <w:t xml:space="preserve">Approach.  </w:t>
      </w:r>
      <w:r>
        <w:t>Split a padlock into two nanobody- or antibody-conjugated half-arms directed at two lineage-restricted surface epitopes, one neuronal or glial, one myeloid. Circularisation requires both arms plus a bridging splint and is therefore gated on interface proximity; rolling-circle amplification then deposits a barcoded rolony physically at the junction. The same section is then taken through a standard ISS round so that each contact-derived rolony can be assigned to the expression states of both participating cells. Readout in glioma and brain-metastasis sections, with a mouse pancreatic-islet arm where the nerve-macrophage interaction is genetically tractable. Validation against confocal and IMARIS-based contact quantification, which is the assay I ran through my thesis.</w:t>
      </w:r>
    </w:p>
    <w:p>
      <w:pPr>
        <w:spacing w:after="60"/>
      </w:pPr>
      <w:r>
        <w:rPr>
          <w:b/>
          <w:i w:val="0"/>
        </w:rPr>
        <w:t xml:space="preserve">Why it is patentable.  </w:t>
      </w:r>
      <w:r>
        <w:t>Interaction-gated circularisation with a multiplexed sequencing readout is a distinct claim from both isPLA (single analyte, non-barcoded) and ISS (intracellular target). The barcode space allows many contact types in one run.</w:t>
      </w:r>
    </w:p>
    <w:p>
      <w:pPr>
        <w:spacing w:before="240" w:after="80"/>
      </w:pPr>
      <w:r>
        <w:rPr>
          <w:b/>
          <w:color w:val="1F3A5F"/>
          <w:sz w:val="26"/>
        </w:rPr>
        <w:t>2.  Edit-ISS: base-resolution RNA-editing maps of tumour-associated myeloid cells</w:t>
      </w:r>
    </w:p>
    <w:p>
      <w:pPr>
        <w:spacing w:after="60"/>
      </w:pPr>
      <w:r>
        <w:rPr>
          <w:b/>
          <w:i w:val="0"/>
        </w:rPr>
        <w:t xml:space="preserve">Novelty / feasibility:  </w:t>
      </w:r>
      <w:r>
        <w:t>High / High.  Inventive step: ratiometric edited-versus-unedited padlock pairs.</w:t>
      </w:r>
    </w:p>
    <w:p>
      <w:pPr>
        <w:spacing w:after="60"/>
      </w:pPr>
      <w:r>
        <w:rPr>
          <w:b/>
          <w:i w:val="0"/>
        </w:rPr>
        <w:t xml:space="preserve">Background.  </w:t>
      </w:r>
      <w:r>
        <w:t>Padlock ligation discriminates single bases, which is how individual mRNA molecules were first genotyped in situ (Larsson et al., Nat Methods 2010, https://doi.org/10.1038/nmeth.1448) and how A-to-I editing was mapped across the developing mouse brain (Lundin et al., BMC Biol 2020, https://doi.org/10.1186/s12915-019-0736-3). ADAR1 is simultaneously a brake on innate immune sensing and the enzyme that recodes canonical neuronal transcripts such as GRIA2 and HTR2C.</w:t>
      </w:r>
    </w:p>
    <w:p>
      <w:pPr>
        <w:spacing w:after="60"/>
      </w:pPr>
      <w:r>
        <w:rPr>
          <w:b/>
          <w:i w:val="0"/>
        </w:rPr>
        <w:t xml:space="preserve">Gap.  </w:t>
      </w:r>
      <w:r>
        <w:t>ADAR1 is an active immuno-oncology drug target, yet editing is measured almost exclusively in bulk or dissociated single cells, where the myeloid signal is diluted and spatial context is destroyed. Whether tumour-associated microglia and macrophages carry edited neurotransmitter-receptor transcripts, and whether editing tone tracks with proximity to neurons, is unknown and is not answerable by any current commercial platform.</w:t>
      </w:r>
    </w:p>
    <w:p>
      <w:pPr>
        <w:spacing w:after="60"/>
      </w:pPr>
      <w:r>
        <w:rPr>
          <w:b/>
          <w:i w:val="0"/>
        </w:rPr>
        <w:t xml:space="preserve">Approach.  </w:t>
      </w:r>
      <w:r>
        <w:t>Design matched padlock pairs, edited and unedited, for a panel of sites spanning interferon-response regulation and neurotransmitter-receptor recoding, each pair carrying distinct barcodes so that the per-cell editing ratio is read directly from rolony counts. Apply to glioma and brain metastasis, with multiple sclerosis lesions as a non-malignant neuroinflammatory comparator given the lab's existing material (Kukanja et al., Cell 2024, https://doi.org/10.1016/j.cell.2024.02.030). Orthogonal validation by targeted amplicon sequencing on sorted myeloid fractions, using the flow cytometry and panel design I do routinely.</w:t>
      </w:r>
    </w:p>
    <w:p>
      <w:pPr>
        <w:spacing w:after="60"/>
      </w:pPr>
      <w:r>
        <w:rPr>
          <w:b/>
          <w:i w:val="0"/>
        </w:rPr>
        <w:t xml:space="preserve">Why it is patentable.  </w:t>
      </w:r>
      <w:r>
        <w:t>A ratiometric editing-quantification assay in situ, with per-site calibration, is a method claim with immediate companion-diagnostic value for ADAR-directed agents.</w:t>
      </w:r>
    </w:p>
    <w:p>
      <w:pPr>
        <w:spacing w:before="240" w:after="80"/>
      </w:pPr>
      <w:r>
        <w:rPr>
          <w:b/>
          <w:color w:val="1F3A5F"/>
          <w:sz w:val="26"/>
        </w:rPr>
        <w:t>3.  Spatial clonotype plus adrenergic-state readout: where the exhausted clone meets the nerve</w:t>
      </w:r>
    </w:p>
    <w:p>
      <w:pPr>
        <w:spacing w:after="60"/>
      </w:pPr>
      <w:r>
        <w:rPr>
          <w:b/>
          <w:i w:val="0"/>
        </w:rPr>
        <w:t xml:space="preserve">Novelty / feasibility:  </w:t>
      </w:r>
      <w:r>
        <w:t>Moderate / Very high.  The pragmatic, rapidly fundable concept.</w:t>
      </w:r>
    </w:p>
    <w:p>
      <w:pPr>
        <w:spacing w:after="60"/>
      </w:pPr>
      <w:r>
        <w:rPr>
          <w:b/>
          <w:i w:val="0"/>
        </w:rPr>
        <w:t xml:space="preserve">Background.  </w:t>
      </w:r>
      <w:r>
        <w:t>The lab has already brought T cell receptor clonotyping into the in situ domain (Magoulopoulou et al., EBioMedicine 2026, https://doi.org/10.1016/j.ebiom.2026.106264; Yu et al., J Immunother Cancer 2025, https://doi.org/10.1136/jitc-2025-012089). Separately, β-adrenergic signalling has been shown to drive CD8 T cell exhaustion, with exhausted cells physically clustering around sympathetic fibres (Globig et al., Nature 2023, https://doi.org/10.1038/s41586-023-06568-6).</w:t>
      </w:r>
    </w:p>
    <w:p>
      <w:pPr>
        <w:spacing w:after="60"/>
      </w:pPr>
      <w:r>
        <w:rPr>
          <w:b/>
          <w:i w:val="0"/>
        </w:rPr>
        <w:t xml:space="preserve">Gap.  </w:t>
      </w:r>
      <w:r>
        <w:t>Clonality and neural-axis exhaustion have never been read on the same section. The clinically decisive question, whether β-blockade would rescue the clones that actually matter or only the bystanders, is currently unanswerable.</w:t>
      </w:r>
    </w:p>
    <w:p>
      <w:pPr>
        <w:spacing w:after="60"/>
      </w:pPr>
      <w:r>
        <w:rPr>
          <w:b/>
          <w:i w:val="0"/>
        </w:rPr>
        <w:t xml:space="preserve">Approach.  </w:t>
      </w:r>
      <w:r>
        <w:t>Extend the existing in situ TCR chemistry with a co-detected module for adrenergic receptor expression, exhaustion programme transcripts, and sympathetic fibre identity, so that clonal expansion, receptor state and nerve distance are measured per cell. Applied to treatment-naive versus checkpoint-treated tumours, and to patients incidentally on β-blockers, an observational design with existing precedent in prostate cancer (Zahalka et al., Urol Oncol 2020, https://doi.org/10.1016/j.urolonc.2020.03.024).</w:t>
      </w:r>
    </w:p>
    <w:p>
      <w:pPr>
        <w:spacing w:after="60"/>
      </w:pPr>
      <w:r>
        <w:rPr>
          <w:b/>
          <w:i w:val="0"/>
        </w:rPr>
        <w:t xml:space="preserve">Candid assessment.  </w:t>
      </w:r>
      <w:r>
        <w:t>This is an extension of an existing lab tool rather than new chemistry, so the patent position is thin and the novelty is in the biology. It is included because it de-risks the portfolio and would generate data fastest.</w:t>
      </w:r>
    </w:p>
    <w:p>
      <w:pPr>
        <w:spacing w:before="240" w:after="80"/>
      </w:pPr>
      <w:r>
        <w:rPr>
          <w:b/>
          <w:color w:val="1F3A5F"/>
          <w:sz w:val="26"/>
        </w:rPr>
        <w:t>4.  Ligand-trap rolling circle amplification: a spatial map of released neuropeptides</w:t>
      </w:r>
    </w:p>
    <w:p>
      <w:pPr>
        <w:spacing w:after="60"/>
      </w:pPr>
      <w:r>
        <w:rPr>
          <w:b/>
          <w:i w:val="0"/>
        </w:rPr>
        <w:t xml:space="preserve">Novelty / feasibility:  </w:t>
      </w:r>
      <w:r>
        <w:t>Very high / Moderate.  Inventive step: RCA reporting on a secreted ligand, not a transcript.</w:t>
      </w:r>
    </w:p>
    <w:p>
      <w:pPr>
        <w:spacing w:after="60"/>
      </w:pPr>
      <w:r>
        <w:rPr>
          <w:b/>
          <w:i w:val="0"/>
        </w:rPr>
        <w:t xml:space="preserve">Background.  </w:t>
      </w:r>
      <w:r>
        <w:t>Every spatially resolved transcriptomic method, padlock-based or otherwise, reports the potential to signal, never the signal itself (reviewed in Magoulopoulou et al., Annu Rev Genomics Hum Genet 2023, https://doi.org/10.1146/annurev-genom-102722-092013). Yet neuropeptide signalling is the effector layer in perineural invasion: the substance P / NK-1R axis drives bidirectional tumour, sensory neuron and Schwann cell crosstalk in pancreatic cancer (Schiedlauske et al., Front Cell Dev Biol 2026, https://doi.org/10.3389/fcell.2026.1876023), and tumour-infiltrating nociceptors are immunosuppressive (Balood et al., Nature 2022, https://doi.org/10.1038/s41586-022-05374-w; Restaino et al., Sci Signal 2025, https://doi.org/10.1126/scisignal.ads7889).</w:t>
      </w:r>
    </w:p>
    <w:p>
      <w:pPr>
        <w:spacing w:after="60"/>
      </w:pPr>
      <w:r>
        <w:rPr>
          <w:b/>
          <w:i w:val="0"/>
        </w:rPr>
        <w:t xml:space="preserve">Gap.  </w:t>
      </w:r>
      <w:r>
        <w:t>There is no method that localises where a neuropeptide was actually released in a tissue section. Immunostaining for the peptide reports storage, not release, and cannot be multiplexed across peptides quantitatively.</w:t>
      </w:r>
    </w:p>
    <w:p>
      <w:pPr>
        <w:spacing w:after="60"/>
      </w:pPr>
      <w:r>
        <w:rPr>
          <w:b/>
          <w:i w:val="0"/>
        </w:rPr>
        <w:t xml:space="preserve">Approach.  </w:t>
      </w:r>
      <w:r>
        <w:t>Tether oligo-conjugated capture reagents, receptor ectodomains or nanobody pairs, within the section; a captured peptide brings two arms into proximity and licenses circularisation and RCA, giving a barcoded, countable deposit at the site of capture. Deploy first in live pancreatic tissue slices and in the 3D macrophage-neuron-islet co-culture I built during my PhD (Muntjewerff, Josyula &amp; Christoffersson, Bio-Protocol 2023, https://doi.org/10.21769/BioProtoc.4852), where release can be pharmacologically clamped and the assay therefore properly controlled, then move to human PDAC and glioma sections.</w:t>
      </w:r>
    </w:p>
    <w:p>
      <w:pPr>
        <w:spacing w:after="60"/>
      </w:pPr>
      <w:r>
        <w:rPr>
          <w:b/>
          <w:i w:val="0"/>
        </w:rPr>
        <w:t xml:space="preserve">Main risk, stated plainly.  </w:t>
      </w:r>
      <w:r>
        <w:t>Diffusion sets the spatial resolution ceiling, and small-molecule transmitters such as noradrenaline are likely out of reach for a two-arm sandwich. The concept should be scoped to peptides, where affinity reagent pairs already exist, and the achievable resolution must be measured before any biological claim is made.</w:t>
      </w:r>
    </w:p>
    <w:p>
      <w:pPr>
        <w:spacing w:before="240" w:after="80"/>
      </w:pPr>
      <w:r>
        <w:rPr>
          <w:b/>
          <w:color w:val="1F3A5F"/>
          <w:sz w:val="26"/>
        </w:rPr>
        <w:t>5.  Donor-genotype rolonies: detecting neuron-to-myeloid RNA and organelle transfer in situ</w:t>
      </w:r>
    </w:p>
    <w:p>
      <w:pPr>
        <w:spacing w:after="60"/>
      </w:pPr>
      <w:r>
        <w:rPr>
          <w:b/>
          <w:i w:val="0"/>
        </w:rPr>
        <w:t xml:space="preserve">Novelty / feasibility:  </w:t>
      </w:r>
      <w:r>
        <w:t>Very high / Low to moderate.  Highest-ceiling, highest-risk concept.</w:t>
      </w:r>
    </w:p>
    <w:p>
      <w:pPr>
        <w:spacing w:after="60"/>
      </w:pPr>
      <w:r>
        <w:rPr>
          <w:b/>
          <w:i w:val="0"/>
        </w:rPr>
        <w:t xml:space="preserve">Background.  </w:t>
      </w:r>
      <w:r>
        <w:t>Padlock chemistry can distinguish single-nucleotide variants in situ, which is the basis of in situ clonal genotyping of tumours (Lomakin et al., Nature 2022, https://doi.org/10.1038/s41586-022-05425-2; Larsson et al., Nat Methods 2010, https://doi.org/10.1038/nmeth.1448). Intercellular transfer of mitochondria and RNA between neural and immune cells is increasingly reported but rests almost entirely on dye and reporter assays that are prone to artefact.</w:t>
      </w:r>
    </w:p>
    <w:p>
      <w:pPr>
        <w:spacing w:after="60"/>
      </w:pPr>
      <w:r>
        <w:rPr>
          <w:b/>
          <w:i w:val="0"/>
        </w:rPr>
        <w:t xml:space="preserve">Gap.  </w:t>
      </w:r>
      <w:r>
        <w:t>Transfer is currently inferred from fluorescence, which cannot exclude phagocytic debris, bleed-through or reporter leak. There is no sequence-level, in-tissue proof that donor-derived transcripts reside in a recipient cell.</w:t>
      </w:r>
    </w:p>
    <w:p>
      <w:pPr>
        <w:spacing w:after="60"/>
      </w:pPr>
      <w:r>
        <w:rPr>
          <w:b/>
          <w:i w:val="0"/>
        </w:rPr>
        <w:t xml:space="preserve">Approach.  </w:t>
      </w:r>
      <w:r>
        <w:t>Exploit a genetic mismatch between donor and recipient, a polymorphic mitochondrial or nuclear variant in a xenograft or a conplastic mouse line, and use variant-discriminating padlocks so that a donor-genotype rolony scored inside a recipient-genotype cell body is direct sequence evidence of transfer. Applied to neuron-to-microglia transfer in glioma, where neuronal support of tumour cells is established biology and the myeloid arm is not.</w:t>
      </w:r>
    </w:p>
    <w:p>
      <w:pPr>
        <w:spacing w:after="60"/>
      </w:pPr>
      <w:r>
        <w:rPr>
          <w:b/>
          <w:i w:val="0"/>
        </w:rPr>
        <w:t xml:space="preserve">Main risk, stated plainly.  </w:t>
      </w:r>
      <w:r>
        <w:t>Segmentation error and phagocytosed material will generate false positives, and the effect size may be small. This concept only becomes credible with a stringent negative-control genotype panel and would need roughly a year of method development before any biology emerges. I would run it as a side project against concept 1 or 2, not as a primary aim.</w:t>
      </w:r>
    </w:p>
    <w:p>
      <w:pPr>
        <w:spacing w:before="240" w:after="80"/>
      </w:pPr>
      <w:r>
        <w:rPr>
          <w:b/>
          <w:color w:val="1F3A5F"/>
          <w:sz w:val="24"/>
        </w:rPr>
        <w:t>Critical appraisal and what would falsify each concept</w:t>
      </w:r>
    </w:p>
    <w:tbl>
      <w:tblPr>
        <w:tblStyle w:val="LightGrid-Accent1"/>
        <w:tblW w:type="auto" w:w="0"/>
        <w:tblLook w:firstColumn="1" w:firstRow="1" w:lastColumn="0" w:lastRow="0" w:noHBand="0" w:noVBand="1" w:val="04A0"/>
      </w:tblPr>
      <w:tblGrid>
        <w:gridCol w:w="2592"/>
        <w:gridCol w:w="7056"/>
      </w:tblGrid>
      <w:tr>
        <w:tc>
          <w:tcPr>
            <w:tcW w:type="dxa" w:w="4824"/>
          </w:tcPr>
          <w:p>
            <w:r>
              <w:rPr>
                <w:b/>
                <w:sz w:val="19"/>
              </w:rPr>
              <w:t>Concept</w:t>
            </w:r>
          </w:p>
        </w:tc>
        <w:tc>
          <w:tcPr>
            <w:tcW w:type="dxa" w:w="4824"/>
          </w:tcPr>
          <w:p>
            <w:r>
              <w:rPr>
                <w:b/>
                <w:sz w:val="19"/>
              </w:rPr>
              <w:t>Principal risk and falsification test</w:t>
            </w:r>
          </w:p>
        </w:tc>
      </w:tr>
      <w:tr>
        <w:tc>
          <w:tcPr>
            <w:tcW w:type="dxa" w:w="4824"/>
          </w:tcPr>
          <w:p>
            <w:r>
              <w:rPr>
                <w:sz w:val="19"/>
              </w:rPr>
              <w:t>1. Interaction-gated padlock</w:t>
            </w:r>
          </w:p>
        </w:tc>
        <w:tc>
          <w:tcPr>
            <w:tcW w:type="dxa" w:w="4824"/>
          </w:tcPr>
          <w:p>
            <w:r>
              <w:rPr>
                <w:sz w:val="19"/>
              </w:rPr>
              <w:t>Falsified if contact-gated circularisation cannot be separated from background circularisation in crowded tissue. Mitigation: non-interacting cell-type arm pairs as negative controls, and a titration of splint length to calibrate the distance threshold.</w:t>
            </w:r>
          </w:p>
        </w:tc>
      </w:tr>
      <w:tr>
        <w:tc>
          <w:tcPr>
            <w:tcW w:type="dxa" w:w="4824"/>
          </w:tcPr>
          <w:p>
            <w:r>
              <w:rPr>
                <w:sz w:val="19"/>
              </w:rPr>
              <w:t>2. Edit-ISS</w:t>
            </w:r>
          </w:p>
        </w:tc>
        <w:tc>
          <w:tcPr>
            <w:tcW w:type="dxa" w:w="4824"/>
          </w:tcPr>
          <w:p>
            <w:r>
              <w:rPr>
                <w:sz w:val="19"/>
              </w:rPr>
              <w:t>Falsified if editing ratios in myeloid cells fall below the detection efficiency of padlock ligation. The efficiency ceiling of ISS is the real constraint here and must be quantified per site first, not assumed.</w:t>
            </w:r>
          </w:p>
        </w:tc>
      </w:tr>
      <w:tr>
        <w:tc>
          <w:tcPr>
            <w:tcW w:type="dxa" w:w="4824"/>
          </w:tcPr>
          <w:p>
            <w:r>
              <w:rPr>
                <w:sz w:val="19"/>
              </w:rPr>
              <w:t>3. Clonotype plus adrenergic state</w:t>
            </w:r>
          </w:p>
        </w:tc>
        <w:tc>
          <w:tcPr>
            <w:tcW w:type="dxa" w:w="4824"/>
          </w:tcPr>
          <w:p>
            <w:r>
              <w:rPr>
                <w:sz w:val="19"/>
              </w:rPr>
              <w:t>Lowest scientific risk, lowest inventive content. The risk is that it produces a correlative map that a reviewer reads as confirmatory of Globig et al. rather than as a new finding. Needs an interventional arm to matter.</w:t>
            </w:r>
          </w:p>
        </w:tc>
      </w:tr>
      <w:tr>
        <w:tc>
          <w:tcPr>
            <w:tcW w:type="dxa" w:w="4824"/>
          </w:tcPr>
          <w:p>
            <w:r>
              <w:rPr>
                <w:sz w:val="19"/>
              </w:rPr>
              <w:t>4. Ligand-trap RCA</w:t>
            </w:r>
          </w:p>
        </w:tc>
        <w:tc>
          <w:tcPr>
            <w:tcW w:type="dxa" w:w="4824"/>
          </w:tcPr>
          <w:p>
            <w:r>
              <w:rPr>
                <w:sz w:val="19"/>
              </w:rPr>
              <w:t>Falsified if the diffusion-limited resolution exceeds the length scale of the biology, which is plausible. The resolution measurement is the go/no-go experiment and should be aim 1, not aim 3.</w:t>
            </w:r>
          </w:p>
        </w:tc>
      </w:tr>
      <w:tr>
        <w:tc>
          <w:tcPr>
            <w:tcW w:type="dxa" w:w="4824"/>
          </w:tcPr>
          <w:p>
            <w:r>
              <w:rPr>
                <w:sz w:val="19"/>
              </w:rPr>
              <w:t>5. Donor-genotype rolonies</w:t>
            </w:r>
          </w:p>
        </w:tc>
        <w:tc>
          <w:tcPr>
            <w:tcW w:type="dxa" w:w="4824"/>
          </w:tcPr>
          <w:p>
            <w:r>
              <w:rPr>
                <w:sz w:val="19"/>
              </w:rPr>
              <w:t>Falsified if false-positive rates from phagocytosis and segmentation cannot be driven below the transfer frequency. This is the most likely of the five to fail outright.</w:t>
            </w:r>
          </w:p>
        </w:tc>
      </w:tr>
    </w:tbl>
    <w:p>
      <w:pPr>
        <w:spacing w:before="240" w:after="80"/>
      </w:pPr>
      <w:r>
        <w:rPr>
          <w:b/>
          <w:color w:val="1F3A5F"/>
          <w:sz w:val="24"/>
        </w:rPr>
        <w:t>One caveat on the underlying literature</w:t>
      </w:r>
    </w:p>
    <w:p>
      <w:r>
        <w:t>A widely cited study on genetic manipulation of autonomic innervation in breast cancer (Kamiya et al., Nat Neurosci 2019, https://doi.org/10.1038/s41593-019-0430-3) was retracted in 2024 (https://doi.org/10.1038/s41593-024-01628-0). None of the concepts above depend on it. I flag it because several recent cancer-neuroscience reviews still cite it uncritically, and the breast-cancer sympathetic innervation literature should be treated as less settled than its citation count suggests. The claims that do hold up well are the prostate adrenergic and cholinergic work (Magnon et al., Science 2013, https://doi.org/10.1126/science.1236361; Zahalka et al., Science 2017, https://doi.org/10.1126/science.aah5072), the pancreatic β2-neurotrophin loop (Renz et al., Cancer Cell 2018, https://doi.org/10.1016/j.ccell.2018.10.010) and the nociceptor immunosuppression work cited above. Neural signalling is now treated as a dimension of the hallmark framework (Hanahan, Cell 2026, https://doi.org/10.1016/j.cell.2025.12.049).</w:t>
      </w:r>
    </w:p>
    <w:p>
      <w:pPr>
        <w:spacing w:before="240" w:after="80"/>
      </w:pPr>
      <w:r>
        <w:rPr>
          <w:b/>
          <w:color w:val="1F3A5F"/>
          <w:sz w:val="24"/>
        </w:rPr>
        <w:t>What I bring</w:t>
      </w:r>
    </w:p>
    <w:p>
      <w:pPr>
        <w:pStyle w:val="ListBullet"/>
        <w:spacing w:after="60"/>
      </w:pPr>
      <w:r>
        <w:t>Nerve-macrophage interaction biology at the level of single contacts: five years of confocal, live-cell, intravital and live tissue-slice imaging with quantification in IMARIS and ImageJ. The validation layer that concepts 1, 4 and 5 all require.</w:t>
      </w:r>
    </w:p>
    <w:p>
      <w:pPr>
        <w:pStyle w:val="ListBullet"/>
        <w:spacing w:after="60"/>
      </w:pPr>
      <w:r>
        <w:t>A published 3D neuron-macrophage-islet co-culture platform, which is a controllable test bed for any new in situ chemistry before it meets human tissue.</w:t>
      </w:r>
    </w:p>
    <w:p>
      <w:pPr>
        <w:pStyle w:val="ListBullet"/>
        <w:spacing w:after="60"/>
      </w:pPr>
      <w:r>
        <w:t>Single-cell phenotyping across modalities: spectral and conventional flow panel design, mass cytometry from the Brodin lab, and scRNA-seq analysis in R with Seurat for reference-based annotation of in situ data.</w:t>
      </w:r>
    </w:p>
    <w:p>
      <w:pPr>
        <w:pStyle w:val="ListBullet"/>
        <w:spacing w:after="60"/>
      </w:pPr>
      <w:r>
        <w:t>Independent project leadership through to manuscript, student supervision, and, from the Proteintech role, direct experience translating a method into something other researchers will actually adopt.</w:t>
      </w:r>
    </w:p>
    <w:p>
      <w:pPr>
        <w:spacing w:before="200"/>
      </w:pPr>
      <w:r>
        <w:rPr>
          <w:i/>
        </w:rPr>
        <w:t>I would welcome the chance to discuss concepts 1 and 2 in more detail, including which of the lab's existing tissue cohorts would be the fastest route to a first proof of principle.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