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E7DA" w14:textId="77777777" w:rsidR="0044398C" w:rsidRPr="0044398C" w:rsidRDefault="0044398C" w:rsidP="0044398C">
      <w:pPr>
        <w:spacing w:after="100" w:afterAutospacing="1" w:line="240" w:lineRule="auto"/>
        <w:jc w:val="left"/>
        <w:outlineLvl w:val="1"/>
        <w:rPr>
          <w:rFonts w:ascii="Arial" w:eastAsia="Times New Roman" w:hAnsi="Arial" w:cs="Arial"/>
          <w:b/>
          <w:bCs/>
          <w:color w:val="000000"/>
          <w:kern w:val="0"/>
          <w:sz w:val="36"/>
          <w:szCs w:val="36"/>
          <w:lang w:val="es-CL" w:eastAsia="es-MX"/>
          <w14:ligatures w14:val="none"/>
        </w:rPr>
      </w:pPr>
      <w:r w:rsidRPr="0044398C">
        <w:rPr>
          <w:rFonts w:ascii="Arial" w:eastAsia="Times New Roman" w:hAnsi="Arial" w:cs="Arial"/>
          <w:b/>
          <w:bCs/>
          <w:color w:val="000000"/>
          <w:kern w:val="0"/>
          <w:sz w:val="36"/>
          <w:szCs w:val="36"/>
          <w:lang w:val="es-CL" w:eastAsia="es-MX"/>
          <w14:ligatures w14:val="none"/>
        </w:rPr>
        <w:t>Conclusiones Generales: El Cambio de Paradigma en la Respuesta Eclesial frente a los Abusos</w:t>
      </w:r>
    </w:p>
    <w:p w14:paraId="0DF1439B"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El análisis conjunto de la normativa universal de la Iglesia Católica y de las orientaciones eclesiales implementadas en Chile permite concluir que la institución ha transitado por un profundo </w:t>
      </w:r>
      <w:r w:rsidRPr="0044398C">
        <w:rPr>
          <w:rFonts w:ascii="Arial" w:eastAsia="Times New Roman" w:hAnsi="Arial" w:cs="Arial"/>
          <w:b/>
          <w:bCs/>
          <w:color w:val="000000"/>
          <w:kern w:val="0"/>
          <w:szCs w:val="24"/>
          <w:lang w:val="es-CL" w:eastAsia="es-MX"/>
          <w14:ligatures w14:val="none"/>
        </w:rPr>
        <w:t>cambio de paradigma</w:t>
      </w:r>
      <w:r w:rsidRPr="0044398C">
        <w:rPr>
          <w:rFonts w:ascii="Arial" w:eastAsia="Times New Roman" w:hAnsi="Arial" w:cs="Arial"/>
          <w:color w:val="000000"/>
          <w:kern w:val="0"/>
          <w:szCs w:val="24"/>
          <w:lang w:val="es-CL" w:eastAsia="es-MX"/>
          <w14:ligatures w14:val="none"/>
        </w:rPr>
        <w:t> en las últimas décadas. Este proceso, que abarca desde el año 2001 hasta las reformas y directrices más recientes, refleja una evolución que va desde la mera reacción punitiva individual hasta el diseño de una cultura institucional y comunitaria basada de manera irrestricta en la prevención, el cuidado y la dignidad de la persona humana.</w:t>
      </w:r>
    </w:p>
    <w:p w14:paraId="7BBB47A1"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De este recorrido transversal, se desprenden cuatro grandes conclusiones:</w:t>
      </w:r>
    </w:p>
    <w:p w14:paraId="5AB7F6C7" w14:textId="77777777" w:rsidR="0044398C" w:rsidRPr="0044398C" w:rsidRDefault="0044398C" w:rsidP="0044398C">
      <w:pPr>
        <w:spacing w:after="100" w:afterAutospacing="1" w:line="240" w:lineRule="auto"/>
        <w:jc w:val="left"/>
        <w:outlineLvl w:val="2"/>
        <w:rPr>
          <w:rFonts w:ascii="Arial" w:eastAsia="Times New Roman" w:hAnsi="Arial" w:cs="Arial"/>
          <w:b/>
          <w:bCs/>
          <w:color w:val="000000"/>
          <w:kern w:val="0"/>
          <w:sz w:val="27"/>
          <w:szCs w:val="27"/>
          <w:lang w:val="es-CL" w:eastAsia="es-MX"/>
          <w14:ligatures w14:val="none"/>
        </w:rPr>
      </w:pPr>
      <w:r w:rsidRPr="0044398C">
        <w:rPr>
          <w:rFonts w:ascii="Arial" w:eastAsia="Times New Roman" w:hAnsi="Arial" w:cs="Arial"/>
          <w:b/>
          <w:bCs/>
          <w:color w:val="000000"/>
          <w:kern w:val="0"/>
          <w:sz w:val="27"/>
          <w:szCs w:val="27"/>
          <w:lang w:val="es-CL" w:eastAsia="es-MX"/>
          <w14:ligatures w14:val="none"/>
        </w:rPr>
        <w:t>1. El tránsito de la fragmentación local a la corresponsabilidad y rendición de cuentas universal</w:t>
      </w:r>
    </w:p>
    <w:p w14:paraId="5E8323E8"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Históricamente, la gestión de los delitos graves se diluía en respuestas desiguales dentro del ámbito estrictamente diocesano. La centralización jurídica inaugurada por </w:t>
      </w:r>
      <w:proofErr w:type="spellStart"/>
      <w:r w:rsidRPr="0044398C">
        <w:rPr>
          <w:rFonts w:ascii="Arial" w:eastAsia="Times New Roman" w:hAnsi="Arial" w:cs="Arial"/>
          <w:i/>
          <w:iCs/>
          <w:color w:val="000000"/>
          <w:kern w:val="0"/>
          <w:szCs w:val="24"/>
          <w:lang w:val="es-CL" w:eastAsia="es-MX"/>
          <w14:ligatures w14:val="none"/>
        </w:rPr>
        <w:t>Sacramentorum</w:t>
      </w:r>
      <w:proofErr w:type="spellEnd"/>
      <w:r w:rsidRPr="0044398C">
        <w:rPr>
          <w:rFonts w:ascii="Arial" w:eastAsia="Times New Roman" w:hAnsi="Arial" w:cs="Arial"/>
          <w:i/>
          <w:iCs/>
          <w:color w:val="000000"/>
          <w:kern w:val="0"/>
          <w:szCs w:val="24"/>
          <w:lang w:val="es-CL" w:eastAsia="es-MX"/>
          <w14:ligatures w14:val="none"/>
        </w:rPr>
        <w:t xml:space="preserve"> </w:t>
      </w:r>
      <w:proofErr w:type="spellStart"/>
      <w:r w:rsidRPr="0044398C">
        <w:rPr>
          <w:rFonts w:ascii="Arial" w:eastAsia="Times New Roman" w:hAnsi="Arial" w:cs="Arial"/>
          <w:i/>
          <w:iCs/>
          <w:color w:val="000000"/>
          <w:kern w:val="0"/>
          <w:szCs w:val="24"/>
          <w:lang w:val="es-CL" w:eastAsia="es-MX"/>
          <w14:ligatures w14:val="none"/>
        </w:rPr>
        <w:t>Sanctitatis</w:t>
      </w:r>
      <w:proofErr w:type="spellEnd"/>
      <w:r w:rsidRPr="0044398C">
        <w:rPr>
          <w:rFonts w:ascii="Arial" w:eastAsia="Times New Roman" w:hAnsi="Arial" w:cs="Arial"/>
          <w:i/>
          <w:iCs/>
          <w:color w:val="000000"/>
          <w:kern w:val="0"/>
          <w:szCs w:val="24"/>
          <w:lang w:val="es-CL" w:eastAsia="es-MX"/>
          <w14:ligatures w14:val="none"/>
        </w:rPr>
        <w:t xml:space="preserve"> Tutela</w:t>
      </w:r>
      <w:r w:rsidRPr="0044398C">
        <w:rPr>
          <w:rFonts w:ascii="Arial" w:eastAsia="Times New Roman" w:hAnsi="Arial" w:cs="Arial"/>
          <w:color w:val="000000"/>
          <w:kern w:val="0"/>
          <w:szCs w:val="24"/>
          <w:lang w:val="es-CL" w:eastAsia="es-MX"/>
          <w14:ligatures w14:val="none"/>
        </w:rPr>
        <w:t> (2001) no solo homogeneizó los procesos penales en la Santa Sede, sino que sentó las bases para reconocer que estos crímenes quiebran la misión global de la Iglesia.</w:t>
      </w:r>
    </w:p>
    <w:p w14:paraId="68055F88"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Posteriormente, con </w:t>
      </w:r>
      <w:r w:rsidRPr="0044398C">
        <w:rPr>
          <w:rFonts w:ascii="Arial" w:eastAsia="Times New Roman" w:hAnsi="Arial" w:cs="Arial"/>
          <w:i/>
          <w:iCs/>
          <w:color w:val="000000"/>
          <w:kern w:val="0"/>
          <w:szCs w:val="24"/>
          <w:lang w:val="es-CL" w:eastAsia="es-MX"/>
          <w14:ligatures w14:val="none"/>
        </w:rPr>
        <w:t>Como una madre amorosa</w:t>
      </w:r>
      <w:r w:rsidRPr="0044398C">
        <w:rPr>
          <w:rFonts w:ascii="Arial" w:eastAsia="Times New Roman" w:hAnsi="Arial" w:cs="Arial"/>
          <w:color w:val="000000"/>
          <w:kern w:val="0"/>
          <w:szCs w:val="24"/>
          <w:lang w:val="es-CL" w:eastAsia="es-MX"/>
          <w14:ligatures w14:val="none"/>
        </w:rPr>
        <w:t> (2016) y </w:t>
      </w:r>
      <w:r w:rsidRPr="0044398C">
        <w:rPr>
          <w:rFonts w:ascii="Arial" w:eastAsia="Times New Roman" w:hAnsi="Arial" w:cs="Arial"/>
          <w:i/>
          <w:iCs/>
          <w:color w:val="000000"/>
          <w:kern w:val="0"/>
          <w:szCs w:val="24"/>
          <w:lang w:val="es-CL" w:eastAsia="es-MX"/>
          <w14:ligatures w14:val="none"/>
        </w:rPr>
        <w:t xml:space="preserve">Vos </w:t>
      </w:r>
      <w:proofErr w:type="spellStart"/>
      <w:r w:rsidRPr="0044398C">
        <w:rPr>
          <w:rFonts w:ascii="Arial" w:eastAsia="Times New Roman" w:hAnsi="Arial" w:cs="Arial"/>
          <w:i/>
          <w:iCs/>
          <w:color w:val="000000"/>
          <w:kern w:val="0"/>
          <w:szCs w:val="24"/>
          <w:lang w:val="es-CL" w:eastAsia="es-MX"/>
          <w14:ligatures w14:val="none"/>
        </w:rPr>
        <w:t>estis</w:t>
      </w:r>
      <w:proofErr w:type="spellEnd"/>
      <w:r w:rsidRPr="0044398C">
        <w:rPr>
          <w:rFonts w:ascii="Arial" w:eastAsia="Times New Roman" w:hAnsi="Arial" w:cs="Arial"/>
          <w:i/>
          <w:iCs/>
          <w:color w:val="000000"/>
          <w:kern w:val="0"/>
          <w:szCs w:val="24"/>
          <w:lang w:val="es-CL" w:eastAsia="es-MX"/>
          <w14:ligatures w14:val="none"/>
        </w:rPr>
        <w:t xml:space="preserve"> lux </w:t>
      </w:r>
      <w:proofErr w:type="spellStart"/>
      <w:r w:rsidRPr="0044398C">
        <w:rPr>
          <w:rFonts w:ascii="Arial" w:eastAsia="Times New Roman" w:hAnsi="Arial" w:cs="Arial"/>
          <w:i/>
          <w:iCs/>
          <w:color w:val="000000"/>
          <w:kern w:val="0"/>
          <w:szCs w:val="24"/>
          <w:lang w:val="es-CL" w:eastAsia="es-MX"/>
          <w14:ligatures w14:val="none"/>
        </w:rPr>
        <w:t>mundi</w:t>
      </w:r>
      <w:proofErr w:type="spellEnd"/>
      <w:r w:rsidRPr="0044398C">
        <w:rPr>
          <w:rFonts w:ascii="Arial" w:eastAsia="Times New Roman" w:hAnsi="Arial" w:cs="Arial"/>
          <w:color w:val="000000"/>
          <w:kern w:val="0"/>
          <w:szCs w:val="24"/>
          <w:lang w:val="es-CL" w:eastAsia="es-MX"/>
          <w14:ligatures w14:val="none"/>
        </w:rPr>
        <w:t> (2019/2023), se superó la visión vertical e inmune de la jerarquía. La Iglesia codificó legal y moralmente la </w:t>
      </w:r>
      <w:r w:rsidRPr="0044398C">
        <w:rPr>
          <w:rFonts w:ascii="Arial" w:eastAsia="Times New Roman" w:hAnsi="Arial" w:cs="Arial"/>
          <w:b/>
          <w:bCs/>
          <w:color w:val="000000"/>
          <w:kern w:val="0"/>
          <w:szCs w:val="24"/>
          <w:lang w:val="es-CL" w:eastAsia="es-MX"/>
          <w14:ligatures w14:val="none"/>
        </w:rPr>
        <w:t>responsabilidad por omisión y negligencia</w:t>
      </w:r>
      <w:r w:rsidRPr="0044398C">
        <w:rPr>
          <w:rFonts w:ascii="Arial" w:eastAsia="Times New Roman" w:hAnsi="Arial" w:cs="Arial"/>
          <w:color w:val="000000"/>
          <w:kern w:val="0"/>
          <w:szCs w:val="24"/>
          <w:lang w:val="es-CL" w:eastAsia="es-MX"/>
          <w14:ligatures w14:val="none"/>
        </w:rPr>
        <w:t>, decretando que la autoridad no constituye un privilegio de poder sino un deber de cuidado sujeto a la rendición de cuentas, donde el silencio o el encubrimiento por parte de un superior es sancionable con la remoción de su cargo.</w:t>
      </w:r>
    </w:p>
    <w:p w14:paraId="312EE5F5" w14:textId="77777777" w:rsidR="0044398C" w:rsidRPr="0044398C" w:rsidRDefault="0044398C" w:rsidP="0044398C">
      <w:pPr>
        <w:spacing w:after="100" w:afterAutospacing="1" w:line="240" w:lineRule="auto"/>
        <w:jc w:val="left"/>
        <w:outlineLvl w:val="2"/>
        <w:rPr>
          <w:rFonts w:ascii="Arial" w:eastAsia="Times New Roman" w:hAnsi="Arial" w:cs="Arial"/>
          <w:b/>
          <w:bCs/>
          <w:color w:val="000000"/>
          <w:kern w:val="0"/>
          <w:sz w:val="27"/>
          <w:szCs w:val="27"/>
          <w:lang w:val="es-CL" w:eastAsia="es-MX"/>
          <w14:ligatures w14:val="none"/>
        </w:rPr>
      </w:pPr>
      <w:r w:rsidRPr="0044398C">
        <w:rPr>
          <w:rFonts w:ascii="Arial" w:eastAsia="Times New Roman" w:hAnsi="Arial" w:cs="Arial"/>
          <w:b/>
          <w:bCs/>
          <w:color w:val="000000"/>
          <w:kern w:val="0"/>
          <w:sz w:val="27"/>
          <w:szCs w:val="27"/>
          <w:lang w:val="es-CL" w:eastAsia="es-MX"/>
          <w14:ligatures w14:val="none"/>
        </w:rPr>
        <w:t>2. El desmontaje cultural del clericalismo y la superación del "Doble Ciego"</w:t>
      </w:r>
    </w:p>
    <w:p w14:paraId="6F38C403"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Tanto las intervenciones del Papa Francisco en la crisis eclesial chilena en 2018 como las investigaciones académicas locales demostraron que las reformas legales eran insuficientes si no se intervenía el ecosistema cultural subyacente. Se concluye que el </w:t>
      </w:r>
      <w:r w:rsidRPr="0044398C">
        <w:rPr>
          <w:rFonts w:ascii="Arial" w:eastAsia="Times New Roman" w:hAnsi="Arial" w:cs="Arial"/>
          <w:b/>
          <w:bCs/>
          <w:color w:val="000000"/>
          <w:kern w:val="0"/>
          <w:szCs w:val="24"/>
          <w:lang w:val="es-CL" w:eastAsia="es-MX"/>
          <w14:ligatures w14:val="none"/>
        </w:rPr>
        <w:t>clericalismo</w:t>
      </w:r>
      <w:r w:rsidRPr="0044398C">
        <w:rPr>
          <w:rFonts w:ascii="Arial" w:eastAsia="Times New Roman" w:hAnsi="Arial" w:cs="Arial"/>
          <w:color w:val="000000"/>
          <w:kern w:val="0"/>
          <w:szCs w:val="24"/>
          <w:lang w:val="es-CL" w:eastAsia="es-MX"/>
          <w14:ligatures w14:val="none"/>
        </w:rPr>
        <w:t> opera como la raíz moral que desfigura la asimetría natural del servicio pastoral, transformándola en una dinámica de abuso de poder, conciencia y cuerpo.</w:t>
      </w:r>
    </w:p>
    <w:p w14:paraId="6FC4A963"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Este abuso se vio históricamente favorecido por el fenómeno del </w:t>
      </w:r>
      <w:r w:rsidRPr="0044398C">
        <w:rPr>
          <w:rFonts w:ascii="Arial" w:eastAsia="Times New Roman" w:hAnsi="Arial" w:cs="Arial"/>
          <w:b/>
          <w:bCs/>
          <w:color w:val="000000"/>
          <w:kern w:val="0"/>
          <w:szCs w:val="24"/>
          <w:lang w:val="es-CL" w:eastAsia="es-MX"/>
          <w14:ligatures w14:val="none"/>
        </w:rPr>
        <w:t>"doble ciego"</w:t>
      </w:r>
      <w:r w:rsidRPr="0044398C">
        <w:rPr>
          <w:rFonts w:ascii="Arial" w:eastAsia="Times New Roman" w:hAnsi="Arial" w:cs="Arial"/>
          <w:color w:val="000000"/>
          <w:kern w:val="0"/>
          <w:szCs w:val="24"/>
          <w:lang w:val="es-CL" w:eastAsia="es-MX"/>
          <w14:ligatures w14:val="none"/>
        </w:rPr>
        <w:t xml:space="preserve">, es decir, la incapacidad de las comunidades para detectar o aceptar las señales de alerta debido a una idealización e inmunidad social otorgada al clérigo. La respuesta institucional chilena (reflejada en la Declaración de Punta de </w:t>
      </w:r>
      <w:proofErr w:type="spellStart"/>
      <w:r w:rsidRPr="0044398C">
        <w:rPr>
          <w:rFonts w:ascii="Arial" w:eastAsia="Times New Roman" w:hAnsi="Arial" w:cs="Arial"/>
          <w:color w:val="000000"/>
          <w:kern w:val="0"/>
          <w:szCs w:val="24"/>
          <w:lang w:val="es-CL" w:eastAsia="es-MX"/>
          <w14:ligatures w14:val="none"/>
        </w:rPr>
        <w:t>Tralca</w:t>
      </w:r>
      <w:proofErr w:type="spellEnd"/>
      <w:r w:rsidRPr="0044398C">
        <w:rPr>
          <w:rFonts w:ascii="Arial" w:eastAsia="Times New Roman" w:hAnsi="Arial" w:cs="Arial"/>
          <w:color w:val="000000"/>
          <w:kern w:val="0"/>
          <w:szCs w:val="24"/>
          <w:lang w:val="es-CL" w:eastAsia="es-MX"/>
          <w14:ligatures w14:val="none"/>
        </w:rPr>
        <w:t xml:space="preserve"> y el documento ISE) asume este diagnóstico mediante un acto inédito de autocrítica y reconocimiento de fallas estructurales , evidenciando que la sanación exige </w:t>
      </w:r>
      <w:r w:rsidRPr="0044398C">
        <w:rPr>
          <w:rFonts w:ascii="Arial" w:eastAsia="Times New Roman" w:hAnsi="Arial" w:cs="Arial"/>
          <w:color w:val="000000"/>
          <w:kern w:val="0"/>
          <w:szCs w:val="24"/>
          <w:lang w:val="es-CL" w:eastAsia="es-MX"/>
          <w14:ligatures w14:val="none"/>
        </w:rPr>
        <w:lastRenderedPageBreak/>
        <w:t>erradicar el ocultamiento en favor de una total transparencia y colaboración con la justicia civil.</w:t>
      </w:r>
    </w:p>
    <w:p w14:paraId="66A3365F" w14:textId="77777777" w:rsidR="0044398C" w:rsidRPr="0044398C" w:rsidRDefault="0044398C" w:rsidP="0044398C">
      <w:pPr>
        <w:spacing w:after="100" w:afterAutospacing="1" w:line="240" w:lineRule="auto"/>
        <w:jc w:val="left"/>
        <w:outlineLvl w:val="2"/>
        <w:rPr>
          <w:rFonts w:ascii="Arial" w:eastAsia="Times New Roman" w:hAnsi="Arial" w:cs="Arial"/>
          <w:b/>
          <w:bCs/>
          <w:color w:val="000000"/>
          <w:kern w:val="0"/>
          <w:sz w:val="27"/>
          <w:szCs w:val="27"/>
          <w:lang w:val="es-CL" w:eastAsia="es-MX"/>
          <w14:ligatures w14:val="none"/>
        </w:rPr>
      </w:pPr>
      <w:r w:rsidRPr="0044398C">
        <w:rPr>
          <w:rFonts w:ascii="Arial" w:eastAsia="Times New Roman" w:hAnsi="Arial" w:cs="Arial"/>
          <w:b/>
          <w:bCs/>
          <w:color w:val="000000"/>
          <w:kern w:val="0"/>
          <w:sz w:val="27"/>
          <w:szCs w:val="27"/>
          <w:lang w:val="es-CL" w:eastAsia="es-MX"/>
          <w14:ligatures w14:val="none"/>
        </w:rPr>
        <w:t>3. La primacía de la dignidad de la víctima por sobre la protección institucional</w:t>
      </w:r>
    </w:p>
    <w:p w14:paraId="1E69BAA6"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Desde la perspectiva de la Moral de la Persona, el mayor avance ético del Magisterio reciente consiste en colocar la </w:t>
      </w:r>
      <w:r w:rsidRPr="0044398C">
        <w:rPr>
          <w:rFonts w:ascii="Arial" w:eastAsia="Times New Roman" w:hAnsi="Arial" w:cs="Arial"/>
          <w:b/>
          <w:bCs/>
          <w:color w:val="000000"/>
          <w:kern w:val="0"/>
          <w:szCs w:val="24"/>
          <w:lang w:val="es-CL" w:eastAsia="es-MX"/>
          <w14:ligatures w14:val="none"/>
        </w:rPr>
        <w:t>integridad de la víctima en el centro absoluto de la respuesta eclesial</w:t>
      </w:r>
      <w:r w:rsidRPr="0044398C">
        <w:rPr>
          <w:rFonts w:ascii="Arial" w:eastAsia="Times New Roman" w:hAnsi="Arial" w:cs="Arial"/>
          <w:color w:val="000000"/>
          <w:kern w:val="0"/>
          <w:szCs w:val="24"/>
          <w:lang w:val="es-CL" w:eastAsia="es-MX"/>
          <w14:ligatures w14:val="none"/>
        </w:rPr>
        <w:t>. Se rompe con la lógica de subordinar el dolor de los afectados a la salvaguarda del prestigio de la institución.</w:t>
      </w:r>
    </w:p>
    <w:p w14:paraId="592A2781"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A través de la articulación entre el derecho penal renovado (</w:t>
      </w:r>
      <w:proofErr w:type="spellStart"/>
      <w:r w:rsidRPr="0044398C">
        <w:rPr>
          <w:rFonts w:ascii="Arial" w:eastAsia="Times New Roman" w:hAnsi="Arial" w:cs="Arial"/>
          <w:i/>
          <w:iCs/>
          <w:color w:val="000000"/>
          <w:kern w:val="0"/>
          <w:szCs w:val="24"/>
          <w:lang w:val="es-CL" w:eastAsia="es-MX"/>
          <w14:ligatures w14:val="none"/>
        </w:rPr>
        <w:t>Pascite</w:t>
      </w:r>
      <w:proofErr w:type="spellEnd"/>
      <w:r w:rsidRPr="0044398C">
        <w:rPr>
          <w:rFonts w:ascii="Arial" w:eastAsia="Times New Roman" w:hAnsi="Arial" w:cs="Arial"/>
          <w:i/>
          <w:iCs/>
          <w:color w:val="000000"/>
          <w:kern w:val="0"/>
          <w:szCs w:val="24"/>
          <w:lang w:val="es-CL" w:eastAsia="es-MX"/>
          <w14:ligatures w14:val="none"/>
        </w:rPr>
        <w:t xml:space="preserve"> </w:t>
      </w:r>
      <w:proofErr w:type="spellStart"/>
      <w:r w:rsidRPr="0044398C">
        <w:rPr>
          <w:rFonts w:ascii="Arial" w:eastAsia="Times New Roman" w:hAnsi="Arial" w:cs="Arial"/>
          <w:i/>
          <w:iCs/>
          <w:color w:val="000000"/>
          <w:kern w:val="0"/>
          <w:szCs w:val="24"/>
          <w:lang w:val="es-CL" w:eastAsia="es-MX"/>
          <w14:ligatures w14:val="none"/>
        </w:rPr>
        <w:t>Gregem</w:t>
      </w:r>
      <w:proofErr w:type="spellEnd"/>
      <w:r w:rsidRPr="0044398C">
        <w:rPr>
          <w:rFonts w:ascii="Arial" w:eastAsia="Times New Roman" w:hAnsi="Arial" w:cs="Arial"/>
          <w:i/>
          <w:iCs/>
          <w:color w:val="000000"/>
          <w:kern w:val="0"/>
          <w:szCs w:val="24"/>
          <w:lang w:val="es-CL" w:eastAsia="es-MX"/>
          <w14:ligatures w14:val="none"/>
        </w:rPr>
        <w:t xml:space="preserve"> Dei</w:t>
      </w:r>
      <w:r w:rsidRPr="0044398C">
        <w:rPr>
          <w:rFonts w:ascii="Arial" w:eastAsia="Times New Roman" w:hAnsi="Arial" w:cs="Arial"/>
          <w:color w:val="000000"/>
          <w:kern w:val="0"/>
          <w:szCs w:val="24"/>
          <w:lang w:val="es-CL" w:eastAsia="es-MX"/>
          <w14:ligatures w14:val="none"/>
        </w:rPr>
        <w:t>) y los protocolos relacionales chilenos (Líneas Guía </w:t>
      </w:r>
      <w:r w:rsidRPr="0044398C">
        <w:rPr>
          <w:rFonts w:ascii="Arial" w:eastAsia="Times New Roman" w:hAnsi="Arial" w:cs="Arial"/>
          <w:i/>
          <w:iCs/>
          <w:color w:val="000000"/>
          <w:kern w:val="0"/>
          <w:szCs w:val="24"/>
          <w:lang w:val="es-CL" w:eastAsia="es-MX"/>
          <w14:ligatures w14:val="none"/>
        </w:rPr>
        <w:t>Cuidado y Esperanza</w:t>
      </w:r>
      <w:r w:rsidRPr="0044398C">
        <w:rPr>
          <w:rFonts w:ascii="Arial" w:eastAsia="Times New Roman" w:hAnsi="Arial" w:cs="Arial"/>
          <w:color w:val="000000"/>
          <w:kern w:val="0"/>
          <w:szCs w:val="24"/>
          <w:lang w:val="es-CL" w:eastAsia="es-MX"/>
          <w14:ligatures w14:val="none"/>
        </w:rPr>
        <w:t> e </w:t>
      </w:r>
      <w:r w:rsidRPr="0044398C">
        <w:rPr>
          <w:rFonts w:ascii="Arial" w:eastAsia="Times New Roman" w:hAnsi="Arial" w:cs="Arial"/>
          <w:i/>
          <w:iCs/>
          <w:color w:val="000000"/>
          <w:kern w:val="0"/>
          <w:szCs w:val="24"/>
          <w:lang w:val="es-CL" w:eastAsia="es-MX"/>
          <w14:ligatures w14:val="none"/>
        </w:rPr>
        <w:t>Integridad en el Servicio Eclesial</w:t>
      </w:r>
      <w:r w:rsidRPr="0044398C">
        <w:rPr>
          <w:rFonts w:ascii="Arial" w:eastAsia="Times New Roman" w:hAnsi="Arial" w:cs="Arial"/>
          <w:color w:val="000000"/>
          <w:kern w:val="0"/>
          <w:szCs w:val="24"/>
          <w:lang w:val="es-CL" w:eastAsia="es-MX"/>
          <w14:ligatures w14:val="none"/>
        </w:rPr>
        <w:t>), se establece que la </w:t>
      </w:r>
      <w:r w:rsidRPr="0044398C">
        <w:rPr>
          <w:rFonts w:ascii="Arial" w:eastAsia="Times New Roman" w:hAnsi="Arial" w:cs="Arial"/>
          <w:b/>
          <w:bCs/>
          <w:color w:val="000000"/>
          <w:kern w:val="0"/>
          <w:szCs w:val="24"/>
          <w:lang w:val="es-CL" w:eastAsia="es-MX"/>
          <w14:ligatures w14:val="none"/>
        </w:rPr>
        <w:t>justicia y la reparación son dimensiones constitutivas de la caridad y la misericordia cristiana</w:t>
      </w:r>
      <w:r w:rsidRPr="0044398C">
        <w:rPr>
          <w:rFonts w:ascii="Arial" w:eastAsia="Times New Roman" w:hAnsi="Arial" w:cs="Arial"/>
          <w:color w:val="000000"/>
          <w:kern w:val="0"/>
          <w:szCs w:val="24"/>
          <w:lang w:val="es-CL" w:eastAsia="es-MX"/>
          <w14:ligatures w14:val="none"/>
        </w:rPr>
        <w:t>. El entorno eclesial asume que minimizar o ignorar el relato de un afectado provoca una </w:t>
      </w:r>
      <w:r w:rsidRPr="0044398C">
        <w:rPr>
          <w:rFonts w:ascii="Arial" w:eastAsia="Times New Roman" w:hAnsi="Arial" w:cs="Arial"/>
          <w:b/>
          <w:bCs/>
          <w:color w:val="000000"/>
          <w:kern w:val="0"/>
          <w:szCs w:val="24"/>
          <w:lang w:val="es-CL" w:eastAsia="es-MX"/>
          <w14:ligatures w14:val="none"/>
        </w:rPr>
        <w:t>victimización secundaria</w:t>
      </w:r>
      <w:r w:rsidRPr="0044398C">
        <w:rPr>
          <w:rFonts w:ascii="Arial" w:eastAsia="Times New Roman" w:hAnsi="Arial" w:cs="Arial"/>
          <w:color w:val="000000"/>
          <w:kern w:val="0"/>
          <w:szCs w:val="24"/>
          <w:lang w:val="es-CL" w:eastAsia="es-MX"/>
          <w14:ligatures w14:val="none"/>
        </w:rPr>
        <w:t> , la cual constituye una falta ética grave que compromete directamente la credibilidad evangélica de la Iglesia.</w:t>
      </w:r>
    </w:p>
    <w:p w14:paraId="413A585B" w14:textId="77777777" w:rsidR="0044398C" w:rsidRPr="0044398C" w:rsidRDefault="0044398C" w:rsidP="0044398C">
      <w:pPr>
        <w:spacing w:after="100" w:afterAutospacing="1" w:line="240" w:lineRule="auto"/>
        <w:jc w:val="left"/>
        <w:outlineLvl w:val="2"/>
        <w:rPr>
          <w:rFonts w:ascii="Arial" w:eastAsia="Times New Roman" w:hAnsi="Arial" w:cs="Arial"/>
          <w:b/>
          <w:bCs/>
          <w:color w:val="000000"/>
          <w:kern w:val="0"/>
          <w:sz w:val="27"/>
          <w:szCs w:val="27"/>
          <w:lang w:val="es-CL" w:eastAsia="es-MX"/>
          <w14:ligatures w14:val="none"/>
        </w:rPr>
      </w:pPr>
      <w:r w:rsidRPr="0044398C">
        <w:rPr>
          <w:rFonts w:ascii="Arial" w:eastAsia="Times New Roman" w:hAnsi="Arial" w:cs="Arial"/>
          <w:b/>
          <w:bCs/>
          <w:color w:val="000000"/>
          <w:kern w:val="0"/>
          <w:sz w:val="27"/>
          <w:szCs w:val="27"/>
          <w:lang w:val="es-CL" w:eastAsia="es-MX"/>
          <w14:ligatures w14:val="none"/>
        </w:rPr>
        <w:t>4. La formalización de una ética relacional y el rol del "Tercero Moral"</w:t>
      </w:r>
    </w:p>
    <w:p w14:paraId="765C6263" w14:textId="77777777" w:rsidR="0044398C"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Finalmente, el documento </w:t>
      </w:r>
      <w:r w:rsidRPr="0044398C">
        <w:rPr>
          <w:rFonts w:ascii="Arial" w:eastAsia="Times New Roman" w:hAnsi="Arial" w:cs="Arial"/>
          <w:i/>
          <w:iCs/>
          <w:color w:val="000000"/>
          <w:kern w:val="0"/>
          <w:szCs w:val="24"/>
          <w:lang w:val="es-CL" w:eastAsia="es-MX"/>
          <w14:ligatures w14:val="none"/>
        </w:rPr>
        <w:t>Integridad en el Servicio Eclesial</w:t>
      </w:r>
      <w:r w:rsidRPr="0044398C">
        <w:rPr>
          <w:rFonts w:ascii="Arial" w:eastAsia="Times New Roman" w:hAnsi="Arial" w:cs="Arial"/>
          <w:color w:val="000000"/>
          <w:kern w:val="0"/>
          <w:szCs w:val="24"/>
          <w:lang w:val="es-CL" w:eastAsia="es-MX"/>
          <w14:ligatures w14:val="none"/>
        </w:rPr>
        <w:t> (ISE, 2020) demuestra que la prevención efectiva no se agota en los tribunales penales, sino que requiere una </w:t>
      </w:r>
      <w:r w:rsidRPr="0044398C">
        <w:rPr>
          <w:rFonts w:ascii="Arial" w:eastAsia="Times New Roman" w:hAnsi="Arial" w:cs="Arial"/>
          <w:b/>
          <w:bCs/>
          <w:color w:val="000000"/>
          <w:kern w:val="0"/>
          <w:szCs w:val="24"/>
          <w:lang w:val="es-CL" w:eastAsia="es-MX"/>
          <w14:ligatures w14:val="none"/>
        </w:rPr>
        <w:t>ética relacional en el día a día pastoral</w:t>
      </w:r>
      <w:r w:rsidRPr="0044398C">
        <w:rPr>
          <w:rFonts w:ascii="Arial" w:eastAsia="Times New Roman" w:hAnsi="Arial" w:cs="Arial"/>
          <w:color w:val="000000"/>
          <w:kern w:val="0"/>
          <w:szCs w:val="24"/>
          <w:lang w:val="es-CL" w:eastAsia="es-MX"/>
          <w14:ligatures w14:val="none"/>
        </w:rPr>
        <w:t>. Al pautar obligaciones estrictas sobre el manejo de los desequilibrios de poder, el resguardo riguroso de las fronteras físicas y emocionales, y la profesionalización del acompañamiento espiritual , el protocolo baja los grandes principios morales a conductas cotidianas verificables.</w:t>
      </w:r>
    </w:p>
    <w:p w14:paraId="6D814EF9" w14:textId="43D8BFCD" w:rsidR="00C340D2" w:rsidRPr="0044398C" w:rsidRDefault="0044398C" w:rsidP="0044398C">
      <w:pPr>
        <w:spacing w:after="100" w:afterAutospacing="1" w:line="240" w:lineRule="auto"/>
        <w:jc w:val="left"/>
        <w:rPr>
          <w:rFonts w:ascii="Arial" w:eastAsia="Times New Roman" w:hAnsi="Arial" w:cs="Arial"/>
          <w:color w:val="000000"/>
          <w:kern w:val="0"/>
          <w:szCs w:val="24"/>
          <w:lang w:val="es-CL" w:eastAsia="es-MX"/>
          <w14:ligatures w14:val="none"/>
        </w:rPr>
      </w:pPr>
      <w:r w:rsidRPr="0044398C">
        <w:rPr>
          <w:rFonts w:ascii="Arial" w:eastAsia="Times New Roman" w:hAnsi="Arial" w:cs="Arial"/>
          <w:color w:val="000000"/>
          <w:kern w:val="0"/>
          <w:szCs w:val="24"/>
          <w:lang w:val="es-CL" w:eastAsia="es-MX"/>
          <w14:ligatures w14:val="none"/>
        </w:rPr>
        <w:t>Esto deriva en una conclusión fundamental para el laicado y los consagrados: la prevención es una corresponsabilidad comunitaria. Para disolver el "doble ciego" e impedir nuevos abusos, cada integrante de la comunidad debe abandonar la condición de testigo pasivo y transformarse en un </w:t>
      </w:r>
      <w:r w:rsidRPr="0044398C">
        <w:rPr>
          <w:rFonts w:ascii="Arial" w:eastAsia="Times New Roman" w:hAnsi="Arial" w:cs="Arial"/>
          <w:b/>
          <w:bCs/>
          <w:color w:val="000000"/>
          <w:kern w:val="0"/>
          <w:szCs w:val="24"/>
          <w:lang w:val="es-CL" w:eastAsia="es-MX"/>
          <w14:ligatures w14:val="none"/>
        </w:rPr>
        <w:t>"tercero moral"</w:t>
      </w:r>
      <w:r w:rsidRPr="0044398C">
        <w:rPr>
          <w:rFonts w:ascii="Arial" w:eastAsia="Times New Roman" w:hAnsi="Arial" w:cs="Arial"/>
          <w:color w:val="000000"/>
          <w:kern w:val="0"/>
          <w:szCs w:val="24"/>
          <w:lang w:val="es-CL" w:eastAsia="es-MX"/>
          <w14:ligatures w14:val="none"/>
        </w:rPr>
        <w:t> : un garante activo, compasivo y valiente de los entornos seguros y del respeto irrestricto a los derechos humanos.</w:t>
      </w:r>
    </w:p>
    <w:sectPr w:rsidR="00C340D2" w:rsidRPr="004439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8C"/>
    <w:rsid w:val="0012136F"/>
    <w:rsid w:val="00134EE3"/>
    <w:rsid w:val="001361CF"/>
    <w:rsid w:val="00250ED5"/>
    <w:rsid w:val="003317D0"/>
    <w:rsid w:val="00374328"/>
    <w:rsid w:val="0044398C"/>
    <w:rsid w:val="004662FA"/>
    <w:rsid w:val="004D024F"/>
    <w:rsid w:val="00536CF9"/>
    <w:rsid w:val="00562157"/>
    <w:rsid w:val="00684890"/>
    <w:rsid w:val="006A4807"/>
    <w:rsid w:val="006E5CC3"/>
    <w:rsid w:val="007C7FA8"/>
    <w:rsid w:val="00AA76B0"/>
    <w:rsid w:val="00C1621B"/>
    <w:rsid w:val="00C340D2"/>
    <w:rsid w:val="00C37F81"/>
    <w:rsid w:val="00C403F3"/>
    <w:rsid w:val="00DA22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4816"/>
  <w15:chartTrackingRefBased/>
  <w15:docId w15:val="{E3203409-F479-374B-BA57-74DED3E7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c"/>
    <w:qFormat/>
    <w:rsid w:val="001361CF"/>
    <w:pPr>
      <w:spacing w:line="259" w:lineRule="auto"/>
      <w:jc w:val="both"/>
    </w:pPr>
    <w:rPr>
      <w:rFonts w:ascii="Times New Roman" w:hAnsi="Times New Roman"/>
      <w:szCs w:val="22"/>
      <w:lang w:val="es-ES_tradnl"/>
    </w:rPr>
  </w:style>
  <w:style w:type="paragraph" w:styleId="Ttulo1">
    <w:name w:val="heading 1"/>
    <w:basedOn w:val="Normal"/>
    <w:next w:val="Normal"/>
    <w:link w:val="Ttulo1Car"/>
    <w:uiPriority w:val="9"/>
    <w:qFormat/>
    <w:rsid w:val="00443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3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39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39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4398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439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4398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4398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4398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98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44398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44398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44398C"/>
    <w:rPr>
      <w:rFonts w:eastAsiaTheme="majorEastAsia" w:cstheme="majorBidi"/>
      <w:i/>
      <w:iCs/>
      <w:color w:val="0F4761" w:themeColor="accent1" w:themeShade="BF"/>
      <w:szCs w:val="22"/>
      <w:lang w:val="es-ES_tradnl"/>
    </w:rPr>
  </w:style>
  <w:style w:type="character" w:customStyle="1" w:styleId="Ttulo5Car">
    <w:name w:val="Título 5 Car"/>
    <w:basedOn w:val="Fuentedeprrafopredeter"/>
    <w:link w:val="Ttulo5"/>
    <w:uiPriority w:val="9"/>
    <w:semiHidden/>
    <w:rsid w:val="0044398C"/>
    <w:rPr>
      <w:rFonts w:eastAsiaTheme="majorEastAsia" w:cstheme="majorBidi"/>
      <w:color w:val="0F4761" w:themeColor="accent1" w:themeShade="BF"/>
      <w:szCs w:val="22"/>
      <w:lang w:val="es-ES_tradnl"/>
    </w:rPr>
  </w:style>
  <w:style w:type="character" w:customStyle="1" w:styleId="Ttulo6Car">
    <w:name w:val="Título 6 Car"/>
    <w:basedOn w:val="Fuentedeprrafopredeter"/>
    <w:link w:val="Ttulo6"/>
    <w:uiPriority w:val="9"/>
    <w:semiHidden/>
    <w:rsid w:val="0044398C"/>
    <w:rPr>
      <w:rFonts w:eastAsiaTheme="majorEastAsia" w:cstheme="majorBidi"/>
      <w:i/>
      <w:iCs/>
      <w:color w:val="595959" w:themeColor="text1" w:themeTint="A6"/>
      <w:szCs w:val="22"/>
      <w:lang w:val="es-ES_tradnl"/>
    </w:rPr>
  </w:style>
  <w:style w:type="character" w:customStyle="1" w:styleId="Ttulo7Car">
    <w:name w:val="Título 7 Car"/>
    <w:basedOn w:val="Fuentedeprrafopredeter"/>
    <w:link w:val="Ttulo7"/>
    <w:uiPriority w:val="9"/>
    <w:semiHidden/>
    <w:rsid w:val="0044398C"/>
    <w:rPr>
      <w:rFonts w:eastAsiaTheme="majorEastAsia" w:cstheme="majorBidi"/>
      <w:color w:val="595959" w:themeColor="text1" w:themeTint="A6"/>
      <w:szCs w:val="22"/>
      <w:lang w:val="es-ES_tradnl"/>
    </w:rPr>
  </w:style>
  <w:style w:type="character" w:customStyle="1" w:styleId="Ttulo8Car">
    <w:name w:val="Título 8 Car"/>
    <w:basedOn w:val="Fuentedeprrafopredeter"/>
    <w:link w:val="Ttulo8"/>
    <w:uiPriority w:val="9"/>
    <w:semiHidden/>
    <w:rsid w:val="0044398C"/>
    <w:rPr>
      <w:rFonts w:eastAsiaTheme="majorEastAsia" w:cstheme="majorBidi"/>
      <w:i/>
      <w:iCs/>
      <w:color w:val="272727" w:themeColor="text1" w:themeTint="D8"/>
      <w:szCs w:val="22"/>
      <w:lang w:val="es-ES_tradnl"/>
    </w:rPr>
  </w:style>
  <w:style w:type="character" w:customStyle="1" w:styleId="Ttulo9Car">
    <w:name w:val="Título 9 Car"/>
    <w:basedOn w:val="Fuentedeprrafopredeter"/>
    <w:link w:val="Ttulo9"/>
    <w:uiPriority w:val="9"/>
    <w:semiHidden/>
    <w:rsid w:val="0044398C"/>
    <w:rPr>
      <w:rFonts w:eastAsiaTheme="majorEastAsia" w:cstheme="majorBidi"/>
      <w:color w:val="272727" w:themeColor="text1" w:themeTint="D8"/>
      <w:szCs w:val="22"/>
      <w:lang w:val="es-ES_tradnl"/>
    </w:rPr>
  </w:style>
  <w:style w:type="paragraph" w:styleId="Ttulo">
    <w:name w:val="Title"/>
    <w:basedOn w:val="Normal"/>
    <w:next w:val="Normal"/>
    <w:link w:val="TtuloCar"/>
    <w:uiPriority w:val="10"/>
    <w:qFormat/>
    <w:rsid w:val="00443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398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439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398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4398C"/>
    <w:pPr>
      <w:spacing w:before="160"/>
      <w:jc w:val="center"/>
    </w:pPr>
    <w:rPr>
      <w:i/>
      <w:iCs/>
      <w:color w:val="404040" w:themeColor="text1" w:themeTint="BF"/>
    </w:rPr>
  </w:style>
  <w:style w:type="character" w:customStyle="1" w:styleId="CitaCar">
    <w:name w:val="Cita Car"/>
    <w:basedOn w:val="Fuentedeprrafopredeter"/>
    <w:link w:val="Cita"/>
    <w:uiPriority w:val="29"/>
    <w:rsid w:val="0044398C"/>
    <w:rPr>
      <w:rFonts w:ascii="Times New Roman" w:hAnsi="Times New Roman"/>
      <w:i/>
      <w:iCs/>
      <w:color w:val="404040" w:themeColor="text1" w:themeTint="BF"/>
      <w:szCs w:val="22"/>
      <w:lang w:val="es-ES_tradnl"/>
    </w:rPr>
  </w:style>
  <w:style w:type="paragraph" w:styleId="Prrafodelista">
    <w:name w:val="List Paragraph"/>
    <w:basedOn w:val="Normal"/>
    <w:uiPriority w:val="34"/>
    <w:qFormat/>
    <w:rsid w:val="0044398C"/>
    <w:pPr>
      <w:ind w:left="720"/>
      <w:contextualSpacing/>
    </w:pPr>
  </w:style>
  <w:style w:type="character" w:styleId="nfasisintenso">
    <w:name w:val="Intense Emphasis"/>
    <w:basedOn w:val="Fuentedeprrafopredeter"/>
    <w:uiPriority w:val="21"/>
    <w:qFormat/>
    <w:rsid w:val="0044398C"/>
    <w:rPr>
      <w:i/>
      <w:iCs/>
      <w:color w:val="0F4761" w:themeColor="accent1" w:themeShade="BF"/>
    </w:rPr>
  </w:style>
  <w:style w:type="paragraph" w:styleId="Citadestacada">
    <w:name w:val="Intense Quote"/>
    <w:basedOn w:val="Normal"/>
    <w:next w:val="Normal"/>
    <w:link w:val="CitadestacadaCar"/>
    <w:uiPriority w:val="30"/>
    <w:qFormat/>
    <w:rsid w:val="00443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398C"/>
    <w:rPr>
      <w:rFonts w:ascii="Times New Roman" w:hAnsi="Times New Roman"/>
      <w:i/>
      <w:iCs/>
      <w:color w:val="0F4761" w:themeColor="accent1" w:themeShade="BF"/>
      <w:szCs w:val="22"/>
      <w:lang w:val="es-ES_tradnl"/>
    </w:rPr>
  </w:style>
  <w:style w:type="character" w:styleId="Referenciaintensa">
    <w:name w:val="Intense Reference"/>
    <w:basedOn w:val="Fuentedeprrafopredeter"/>
    <w:uiPriority w:val="32"/>
    <w:qFormat/>
    <w:rsid w:val="0044398C"/>
    <w:rPr>
      <w:b/>
      <w:bCs/>
      <w:smallCaps/>
      <w:color w:val="0F4761" w:themeColor="accent1" w:themeShade="BF"/>
      <w:spacing w:val="5"/>
    </w:rPr>
  </w:style>
  <w:style w:type="paragraph" w:styleId="NormalWeb">
    <w:name w:val="Normal (Web)"/>
    <w:basedOn w:val="Normal"/>
    <w:uiPriority w:val="99"/>
    <w:semiHidden/>
    <w:unhideWhenUsed/>
    <w:rsid w:val="0044398C"/>
    <w:pPr>
      <w:spacing w:before="100" w:beforeAutospacing="1" w:after="100" w:afterAutospacing="1" w:line="240" w:lineRule="auto"/>
      <w:jc w:val="left"/>
    </w:pPr>
    <w:rPr>
      <w:rFonts w:eastAsia="Times New Roman" w:cs="Times New Roman"/>
      <w:kern w:val="0"/>
      <w:szCs w:val="24"/>
      <w:lang w:val="es-CL" w:eastAsia="es-MX"/>
      <w14:ligatures w14:val="none"/>
    </w:rPr>
  </w:style>
  <w:style w:type="character" w:customStyle="1" w:styleId="apple-converted-space">
    <w:name w:val="apple-converted-space"/>
    <w:basedOn w:val="Fuentedeprrafopredeter"/>
    <w:rsid w:val="0044398C"/>
  </w:style>
  <w:style w:type="character" w:customStyle="1" w:styleId="citation-95">
    <w:name w:val="citation-95"/>
    <w:basedOn w:val="Fuentedeprrafopredeter"/>
    <w:rsid w:val="0044398C"/>
  </w:style>
  <w:style w:type="character" w:customStyle="1" w:styleId="citation-94">
    <w:name w:val="citation-94"/>
    <w:basedOn w:val="Fuentedeprrafopredeter"/>
    <w:rsid w:val="0044398C"/>
  </w:style>
  <w:style w:type="character" w:customStyle="1" w:styleId="citation-93">
    <w:name w:val="citation-93"/>
    <w:basedOn w:val="Fuentedeprrafopredeter"/>
    <w:rsid w:val="0044398C"/>
  </w:style>
  <w:style w:type="character" w:customStyle="1" w:styleId="citation-92">
    <w:name w:val="citation-92"/>
    <w:basedOn w:val="Fuentedeprrafopredeter"/>
    <w:rsid w:val="0044398C"/>
  </w:style>
  <w:style w:type="character" w:customStyle="1" w:styleId="citation-91">
    <w:name w:val="citation-91"/>
    <w:basedOn w:val="Fuentedeprrafopredeter"/>
    <w:rsid w:val="0044398C"/>
  </w:style>
  <w:style w:type="character" w:customStyle="1" w:styleId="citation-90">
    <w:name w:val="citation-90"/>
    <w:basedOn w:val="Fuentedeprrafopredeter"/>
    <w:rsid w:val="0044398C"/>
  </w:style>
  <w:style w:type="character" w:customStyle="1" w:styleId="citation-89">
    <w:name w:val="citation-89"/>
    <w:basedOn w:val="Fuentedeprrafopredeter"/>
    <w:rsid w:val="0044398C"/>
  </w:style>
  <w:style w:type="character" w:customStyle="1" w:styleId="citation-88">
    <w:name w:val="citation-88"/>
    <w:basedOn w:val="Fuentedeprrafopredeter"/>
    <w:rsid w:val="0044398C"/>
  </w:style>
  <w:style w:type="character" w:customStyle="1" w:styleId="citation-87">
    <w:name w:val="citation-87"/>
    <w:basedOn w:val="Fuentedeprrafopredeter"/>
    <w:rsid w:val="0044398C"/>
  </w:style>
  <w:style w:type="character" w:customStyle="1" w:styleId="citation-86">
    <w:name w:val="citation-86"/>
    <w:basedOn w:val="Fuentedeprrafopredeter"/>
    <w:rsid w:val="0044398C"/>
  </w:style>
  <w:style w:type="character" w:customStyle="1" w:styleId="citation-85">
    <w:name w:val="citation-85"/>
    <w:basedOn w:val="Fuentedeprrafopredeter"/>
    <w:rsid w:val="0044398C"/>
  </w:style>
  <w:style w:type="character" w:customStyle="1" w:styleId="citation-84">
    <w:name w:val="citation-84"/>
    <w:basedOn w:val="Fuentedeprrafopredeter"/>
    <w:rsid w:val="0044398C"/>
  </w:style>
  <w:style w:type="character" w:customStyle="1" w:styleId="citation-83">
    <w:name w:val="citation-83"/>
    <w:basedOn w:val="Fuentedeprrafopredeter"/>
    <w:rsid w:val="0044398C"/>
  </w:style>
  <w:style w:type="character" w:customStyle="1" w:styleId="citation-82">
    <w:name w:val="citation-82"/>
    <w:basedOn w:val="Fuentedeprrafopredeter"/>
    <w:rsid w:val="0044398C"/>
  </w:style>
  <w:style w:type="character" w:customStyle="1" w:styleId="citation-81">
    <w:name w:val="citation-81"/>
    <w:basedOn w:val="Fuentedeprrafopredeter"/>
    <w:rsid w:val="0044398C"/>
  </w:style>
  <w:style w:type="character" w:customStyle="1" w:styleId="citation-80">
    <w:name w:val="citation-80"/>
    <w:basedOn w:val="Fuentedeprrafopredeter"/>
    <w:rsid w:val="0044398C"/>
  </w:style>
  <w:style w:type="character" w:customStyle="1" w:styleId="citation-79">
    <w:name w:val="citation-79"/>
    <w:basedOn w:val="Fuentedeprrafopredeter"/>
    <w:rsid w:val="0044398C"/>
  </w:style>
  <w:style w:type="character" w:customStyle="1" w:styleId="citation-78">
    <w:name w:val="citation-78"/>
    <w:basedOn w:val="Fuentedeprrafopredeter"/>
    <w:rsid w:val="0044398C"/>
  </w:style>
  <w:style w:type="character" w:customStyle="1" w:styleId="citation-77">
    <w:name w:val="citation-77"/>
    <w:basedOn w:val="Fuentedeprrafopredeter"/>
    <w:rsid w:val="0044398C"/>
  </w:style>
  <w:style w:type="character" w:customStyle="1" w:styleId="citation-76">
    <w:name w:val="citation-76"/>
    <w:basedOn w:val="Fuentedeprrafopredeter"/>
    <w:rsid w:val="0044398C"/>
  </w:style>
  <w:style w:type="character" w:customStyle="1" w:styleId="citation-75">
    <w:name w:val="citation-75"/>
    <w:basedOn w:val="Fuentedeprrafopredeter"/>
    <w:rsid w:val="0044398C"/>
  </w:style>
  <w:style w:type="character" w:customStyle="1" w:styleId="citation-74">
    <w:name w:val="citation-74"/>
    <w:basedOn w:val="Fuentedeprrafopredeter"/>
    <w:rsid w:val="0044398C"/>
  </w:style>
  <w:style w:type="character" w:customStyle="1" w:styleId="citation-73">
    <w:name w:val="citation-73"/>
    <w:basedOn w:val="Fuentedeprrafopredeter"/>
    <w:rsid w:val="0044398C"/>
  </w:style>
  <w:style w:type="character" w:customStyle="1" w:styleId="citation-72">
    <w:name w:val="citation-72"/>
    <w:basedOn w:val="Fuentedeprrafopredeter"/>
    <w:rsid w:val="00443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712</Words>
  <Characters>3917</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Oswaldo Mora Barbecho</dc:creator>
  <cp:keywords/>
  <dc:description/>
  <cp:lastModifiedBy>Hernan  Oswaldo Mora Barbecho</cp:lastModifiedBy>
  <cp:revision>1</cp:revision>
  <dcterms:created xsi:type="dcterms:W3CDTF">2026-06-22T16:54:00Z</dcterms:created>
  <dcterms:modified xsi:type="dcterms:W3CDTF">2026-06-22T16:55:00Z</dcterms:modified>
</cp:coreProperties>
</file>