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EE26C9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0B5741">
        <w:rPr>
          <w:lang w:val="en-US"/>
        </w:rPr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</w:t>
      </w:r>
      <w:r w:rsidRPr="00E84091">
        <w:rPr>
          <w:lang w:val="bg-BG"/>
        </w:rPr>
        <w:lastRenderedPageBreak/>
        <w:t>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едно</w:t>
      </w:r>
      <w:r w:rsidRPr="00E84091">
        <w:rPr>
          <w:lang w:val="bg-BG"/>
        </w:rPr>
        <w:t xml:space="preserve"> приложени</w:t>
      </w:r>
      <w:r w:rsidR="0090448F" w:rsidRPr="00E84091">
        <w:rPr>
          <w:lang w:val="bg-BG"/>
        </w:rPr>
        <w:t>е</w:t>
      </w:r>
      <w:r w:rsidRPr="00E84091">
        <w:rPr>
          <w:lang w:val="bg-BG"/>
        </w:rPr>
        <w:t xml:space="preserve"> и прототип.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В </w:t>
      </w:r>
      <w:r w:rsidRPr="0006606E">
        <w:rPr>
          <w:b/>
          <w:lang w:val="bg-BG"/>
        </w:rPr>
        <w:t>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 xml:space="preserve">, 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E63F76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52090" cy="1837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</w:t>
      </w:r>
      <w:r w:rsidR="005870B4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3640B9" w:rsidP="00F00335">
      <w:pPr>
        <w:pStyle w:val="Caption"/>
        <w:ind w:firstLine="0"/>
        <w:rPr>
          <w:lang w:val="bg-BG"/>
        </w:rPr>
      </w:pPr>
      <w:r w:rsidRPr="005870B4">
        <w:rPr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65.75pt">
            <v:imagedata r:id="rId9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2</w:t>
      </w:r>
      <w:r w:rsidR="005870B4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005F5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850" w:hanging="850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Default="005870B4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R</m:t>
              </m:r>
            </m:e>
            <m:sub>
              <m:r>
                <w:rPr>
                  <w:rFonts w:ascii="Cambria Math" w:hAnsi="Cambria Math"/>
                  <w:lang w:val="bg-BG"/>
                </w:rPr>
                <m:t>обект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bg-BG"/>
                    </w:rPr>
                    <m:t xml:space="preserve">0,  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под-обекти=0</m:t>
                      </m:r>
                    </m:e>
                  </m:nary>
                  <m:r>
                    <w:rPr>
                      <w:rFonts w:ascii="Cambria Math" w:hAnsi="Cambria Math"/>
                      <w:lang w:val="bg-BG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 xml:space="preserve">N,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под-обект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bg-BG"/>
                    </w:rPr>
                    <m:t>=N-1</m:t>
                  </m:r>
                </m:e>
              </m:eqArr>
            </m:e>
          </m:d>
        </m:oMath>
      </m:oMathPara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1B1A3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lastRenderedPageBreak/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3</w:t>
      </w:r>
      <w:r w:rsidR="005870B4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3640B9" w:rsidP="00F00335">
      <w:pPr>
        <w:pStyle w:val="Caption"/>
        <w:ind w:firstLine="0"/>
        <w:rPr>
          <w:lang w:val="bg-BG"/>
        </w:rPr>
      </w:pPr>
      <w:r w:rsidRPr="005870B4">
        <w:rPr>
          <w:lang w:val="bg-BG"/>
        </w:rPr>
        <w:pict>
          <v:shape id="_x0000_i1026" type="#_x0000_t75" style="width:192.75pt;height:89.25pt">
            <v:imagedata r:id="rId10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3</w:t>
      </w:r>
      <w:r w:rsidR="005870B4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851" w:hanging="851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9" w:name="_Ref327392029"/>
      <w:r w:rsidRPr="00E84091">
        <w:rPr>
          <w:lang w:val="bg-BG"/>
        </w:rPr>
        <w:lastRenderedPageBreak/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A864E8" w:rsidP="00F0033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136491" cy="941560"/>
            <wp:effectExtent l="19050" t="0" r="0" b="0"/>
            <wp:docPr id="1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94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A864E8">
      <w:pPr>
        <w:pStyle w:val="Caption"/>
        <w:ind w:firstLine="0"/>
        <w:rPr>
          <w:lang w:val="bg-BG"/>
        </w:rPr>
      </w:pPr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4</w:t>
      </w:r>
      <w:r w:rsidR="005870B4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  <w:r w:rsidRPr="00E84091">
        <w:rPr>
          <w:lang w:val="bg-BG"/>
        </w:rPr>
        <w:br/>
      </w:r>
      <w:r w:rsidR="00BC6730" w:rsidRPr="00BC6730">
        <w:rPr>
          <w:noProof/>
          <w:lang w:val="en-US"/>
        </w:rPr>
        <w:drawing>
          <wp:inline distT="0" distB="0" distL="0" distR="0">
            <wp:extent cx="4962853" cy="2438031"/>
            <wp:effectExtent l="19050" t="0" r="9197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55" cy="24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5</w:t>
      </w:r>
      <w:r w:rsidR="005870B4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Caption"/>
        <w:ind w:firstLine="0"/>
        <w:rPr>
          <w:highlight w:val="cyan"/>
          <w:lang w:val="bg-BG"/>
        </w:rPr>
      </w:pP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,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 xml:space="preserve">на този обект в същото работно </w:t>
      </w:r>
      <w:r>
        <w:lastRenderedPageBreak/>
        <w:t>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BC6730" w:rsidP="00F00335">
      <w:pPr>
        <w:pStyle w:val="Caption"/>
        <w:ind w:firstLine="0"/>
        <w:rPr>
          <w:lang w:val="bg-BG"/>
        </w:rPr>
      </w:pPr>
      <w:r w:rsidRPr="00BC6730">
        <w:rPr>
          <w:noProof/>
          <w:lang w:val="en-US"/>
        </w:rPr>
        <w:drawing>
          <wp:inline distT="0" distB="0" distL="0" distR="0">
            <wp:extent cx="3496660" cy="2426962"/>
            <wp:effectExtent l="19050" t="0" r="8540" b="0"/>
            <wp:docPr id="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8" cy="2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6</w:t>
      </w:r>
      <w:r w:rsidR="005870B4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spacing w:line="240" w:lineRule="auto"/>
        <w:rPr>
          <w:lang w:val="bg-BG"/>
        </w:rPr>
      </w:pPr>
      <w:r w:rsidRPr="00E84091">
        <w:rPr>
          <w:lang w:val="bg-BG"/>
        </w:rPr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</w:t>
      </w:r>
      <w:r w:rsidRPr="00E84091">
        <w:rPr>
          <w:lang w:val="bg-BG"/>
        </w:rPr>
        <w:lastRenderedPageBreak/>
        <w:t xml:space="preserve">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7</w:t>
      </w:r>
      <w:r w:rsidR="005870B4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996D80" w:rsidRPr="00996D80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3640B9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 w:rsidRPr="005870B4">
        <w:rPr>
          <w:lang w:val="bg-BG"/>
        </w:rPr>
        <w:lastRenderedPageBreak/>
        <w:pict>
          <v:shape id="_x0000_i1027" type="#_x0000_t75" style="width:342pt;height:353.25pt">
            <v:imagedata r:id="rId14" o:title=""/>
          </v:shape>
        </w:pict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7</w:t>
      </w:r>
      <w:r w:rsidR="005870B4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5870B4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5870B4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5870B4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5870B4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5870B4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5870B4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3640B9" w:rsidP="00F00335">
      <w:pPr>
        <w:ind w:firstLine="0"/>
        <w:jc w:val="center"/>
        <w:rPr>
          <w:lang w:val="bg-BG"/>
        </w:rPr>
      </w:pPr>
      <w:r w:rsidRPr="005870B4">
        <w:rPr>
          <w:lang w:val="bg-BG"/>
        </w:rPr>
        <w:pict>
          <v:shape id="_x0000_i1028" type="#_x0000_t75" style="width:246pt;height:144.75pt">
            <v:imagedata r:id="rId15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8</w:t>
      </w:r>
      <w:r w:rsidR="005870B4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9</w:t>
      </w:r>
      <w:r w:rsidR="005870B4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3640B9" w:rsidP="00F00335">
      <w:pPr>
        <w:pStyle w:val="Caption"/>
        <w:ind w:firstLine="0"/>
        <w:rPr>
          <w:lang w:val="bg-BG"/>
        </w:rPr>
      </w:pPr>
      <w:r w:rsidRPr="005870B4">
        <w:rPr>
          <w:lang w:val="bg-BG"/>
        </w:rPr>
        <w:pict>
          <v:shape id="_x0000_i1029" type="#_x0000_t75" style="width:282pt;height:142.5pt">
            <v:imagedata r:id="rId16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9</w:t>
      </w:r>
      <w:r w:rsidR="005870B4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lastRenderedPageBreak/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996D80" w:rsidRPr="00E84091">
          <w:rPr>
            <w:lang w:val="bg-BG"/>
          </w:rPr>
          <w:t xml:space="preserve">Фиг. </w:t>
        </w:r>
        <w:r w:rsidR="00996D80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</w:t>
      </w:r>
      <w:r w:rsidR="00AD5A74">
        <w:rPr>
          <w:lang w:val="bg-BG"/>
        </w:rPr>
        <w:lastRenderedPageBreak/>
        <w:t>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3640B9" w:rsidP="00F00335">
      <w:pPr>
        <w:keepNext/>
        <w:ind w:firstLine="0"/>
        <w:jc w:val="center"/>
        <w:rPr>
          <w:lang w:val="bg-BG"/>
        </w:rPr>
      </w:pPr>
      <w:r w:rsidRPr="005870B4">
        <w:rPr>
          <w:lang w:val="bg-BG"/>
        </w:rPr>
        <w:pict>
          <v:shape id="_x0000_i1030" type="#_x0000_t75" style="width:272.25pt;height:243pt">
            <v:imagedata r:id="rId17" o:title="" grayscale="t" bilevel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10</w:t>
      </w:r>
      <w:r w:rsidR="005870B4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996D80" w:rsidRPr="00E84091">
          <w:rPr>
            <w:lang w:val="bg-BG"/>
          </w:rPr>
          <w:t xml:space="preserve">Фиг. </w:t>
        </w:r>
        <w:r w:rsidR="00996D80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</w:t>
      </w:r>
      <w:r w:rsidRPr="00E84091">
        <w:rPr>
          <w:lang w:val="bg-BG"/>
        </w:rPr>
        <w:lastRenderedPageBreak/>
        <w:t>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F04175" w:rsidP="00F04175">
      <w:pPr>
        <w:keepNext/>
        <w:ind w:firstLine="0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5469048" cy="5966234"/>
            <wp:effectExtent l="19050" t="0" r="0" b="0"/>
            <wp:docPr id="116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3" cy="596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11</w:t>
      </w:r>
      <w:r w:rsidR="005870B4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lastRenderedPageBreak/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обектите, съответно и на сглобяване на крайната версия на продукта. Когато едно </w:t>
      </w:r>
      <w:r w:rsidRPr="00E84091">
        <w:rPr>
          <w:lang w:val="bg-BG"/>
        </w:rPr>
        <w:lastRenderedPageBreak/>
        <w:t>изискване се одобри, т.е. по него е достигнат консенсус между учасниците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lastRenderedPageBreak/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</w:t>
      </w:r>
      <w:r w:rsidRPr="00E84091">
        <w:rPr>
          <w:lang w:val="bg-BG"/>
        </w:rPr>
        <w:lastRenderedPageBreak/>
        <w:t xml:space="preserve">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5870B4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12</w:t>
      </w:r>
      <w:r w:rsidR="005870B4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311F85" w:rsidP="00311F8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021322" cy="3253562"/>
            <wp:effectExtent l="19050" t="0" r="0" b="0"/>
            <wp:docPr id="85" name="Picture 85" descr="C:\Users\v\Desktop\Image-1-in-C-_Users_v_Desktop_doc_Thesi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\Desktop\Image-1-in-C-_Users_v_Desktop_doc_Thesis-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4478" b="4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22" cy="32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12</w:t>
      </w:r>
      <w:r w:rsidR="005870B4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екранът на работното пространство - </w:t>
      </w:r>
      <w:r w:rsidR="005870B4">
        <w:fldChar w:fldCharType="begin"/>
      </w:r>
      <w:r>
        <w:instrText xml:space="preserve"> REF _Ref337895824 \h </w:instrText>
      </w:r>
      <w:r w:rsidR="005870B4">
        <w:fldChar w:fldCharType="separate"/>
      </w:r>
      <w:r w:rsidR="00996D80">
        <w:t xml:space="preserve">Фиг. </w:t>
      </w:r>
      <w:r w:rsidR="00996D80">
        <w:rPr>
          <w:noProof/>
        </w:rPr>
        <w:t>15</w:t>
      </w:r>
      <w:r w:rsidR="005870B4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4E5B80" w:rsidP="00311F85">
      <w:pPr>
        <w:keepNext/>
        <w:ind w:left="-11" w:firstLine="0"/>
        <w:jc w:val="center"/>
        <w:rPr>
          <w:lang w:val="bg-BG"/>
        </w:rPr>
      </w:pPr>
      <w:r w:rsidRPr="004E5B80">
        <w:rPr>
          <w:noProof/>
          <w:lang w:val="en-US"/>
        </w:rPr>
        <w:lastRenderedPageBreak/>
        <w:drawing>
          <wp:inline distT="0" distB="0" distL="0" distR="0">
            <wp:extent cx="4423410" cy="27324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13</w:t>
      </w:r>
      <w:r w:rsidR="005870B4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 (Release)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>
        <w:rPr>
          <w:lang w:val="en-US"/>
        </w:rPr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 (Local)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 (Child)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 xml:space="preserve">O (Other)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 (Deleted)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657850" cy="2020193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742" b="4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2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996D80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05475" cy="27336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9543" b="3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996D80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Default="00D87639" w:rsidP="00D87639">
      <w:r>
        <w:t>При редактиране на обект (</w:t>
      </w:r>
      <w:r w:rsidR="005870B4">
        <w:fldChar w:fldCharType="begin"/>
      </w:r>
      <w:r>
        <w:instrText xml:space="preserve"> REF _Ref337896344 \h </w:instrText>
      </w:r>
      <w:r w:rsidR="005870B4">
        <w:fldChar w:fldCharType="separate"/>
      </w:r>
      <w:r w:rsidR="00996D80">
        <w:t xml:space="preserve">Фиг. </w:t>
      </w:r>
      <w:r w:rsidR="00996D80">
        <w:rPr>
          <w:noProof/>
        </w:rPr>
        <w:t>16</w:t>
      </w:r>
      <w:r w:rsidR="005870B4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D87639" w:rsidRDefault="00D87639" w:rsidP="00D8763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29025" cy="29146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5451" t="18092" r="18403" b="2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996D80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Pr="00FB59A7" w:rsidRDefault="00D87639" w:rsidP="00D87639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 w:rsidR="00FB59A7">
        <w:rPr>
          <w:lang w:val="bg-BG"/>
        </w:rPr>
        <w:t xml:space="preserve"> </w:t>
      </w:r>
      <w:r w:rsidR="00FB59A7">
        <w:t xml:space="preserve">На </w:t>
      </w:r>
      <w:r w:rsidR="005870B4">
        <w:fldChar w:fldCharType="begin"/>
      </w:r>
      <w:r w:rsidR="00FB59A7">
        <w:instrText xml:space="preserve"> REF _Ref337896478 \h </w:instrText>
      </w:r>
      <w:r w:rsidR="005870B4">
        <w:fldChar w:fldCharType="separate"/>
      </w:r>
      <w:r w:rsidR="00996D80">
        <w:t xml:space="preserve">Фиг. </w:t>
      </w:r>
      <w:r w:rsidR="00996D80">
        <w:rPr>
          <w:noProof/>
        </w:rPr>
        <w:t>18</w:t>
      </w:r>
      <w:r w:rsidR="005870B4">
        <w:fldChar w:fldCharType="end"/>
      </w:r>
      <w:r w:rsidR="00FB59A7"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486400" cy="1914525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9543" b="5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996D80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486400" cy="1609725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9742" b="5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996D80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lastRenderedPageBreak/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5870B4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19</w:t>
      </w:r>
      <w:r w:rsidR="005870B4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5870B4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5870B4" w:rsidRPr="00E84091">
        <w:rPr>
          <w:lang w:val="bg-BG"/>
        </w:rPr>
      </w:r>
      <w:r w:rsidR="005870B4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20</w:t>
      </w:r>
      <w:r w:rsidR="005870B4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3640B9" w:rsidP="00C93836">
      <w:pPr>
        <w:pStyle w:val="Caption"/>
        <w:rPr>
          <w:lang w:val="bg-BG"/>
        </w:rPr>
      </w:pPr>
      <w:r w:rsidRPr="005870B4">
        <w:rPr>
          <w:lang w:val="bg-BG"/>
        </w:rPr>
        <w:pict>
          <v:shape id="_x0000_i1031" type="#_x0000_t75" style="width:428.25pt;height:228pt">
            <v:imagedata r:id="rId26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19</w:t>
      </w:r>
      <w:r w:rsidR="005870B4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3640B9" w:rsidP="00C93836">
      <w:pPr>
        <w:pStyle w:val="Caption"/>
        <w:rPr>
          <w:lang w:val="bg-BG"/>
        </w:rPr>
      </w:pPr>
      <w:r w:rsidRPr="005870B4">
        <w:rPr>
          <w:lang w:val="bg-BG"/>
        </w:rPr>
        <w:pict>
          <v:shape id="_x0000_i1032" type="#_x0000_t75" style="width:356.25pt;height:182.25pt">
            <v:imagedata r:id="rId27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5870B4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5870B4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20</w:t>
      </w:r>
      <w:r w:rsidR="005870B4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3070"/>
        <w:gridCol w:w="3071"/>
        <w:gridCol w:w="3071"/>
      </w:tblGrid>
      <w:tr w:rsidR="00F37D6F" w:rsidRPr="00E84091" w:rsidTr="00F37D6F">
        <w:trPr>
          <w:cnfStyle w:val="1000000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lastRenderedPageBreak/>
              <w:t>Фаза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Предложени модели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Регистрация като версионизиран обект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Създаване на отделени файлове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E1656D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С</w:t>
            </w:r>
            <w:r w:rsidRPr="00E84091">
              <w:rPr>
                <w:sz w:val="24"/>
                <w:szCs w:val="24"/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E1656D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Р</w:t>
            </w:r>
            <w:r w:rsidRPr="00E84091">
              <w:rPr>
                <w:sz w:val="24"/>
                <w:szCs w:val="24"/>
                <w:lang w:val="bg-BG"/>
              </w:rPr>
              <w:t>ъчво указване на № изискване в коментара към публикуването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  <w:r w:rsidRPr="00E84091">
              <w:rPr>
                <w:sz w:val="24"/>
                <w:szCs w:val="24"/>
                <w:lang w:val="bg-BG"/>
              </w:rPr>
              <w:br/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Р</w:t>
            </w:r>
            <w:r w:rsidRPr="00E84091">
              <w:rPr>
                <w:sz w:val="24"/>
                <w:szCs w:val="24"/>
                <w:lang w:val="bg-BG"/>
              </w:rPr>
              <w:t>ъчна смяна на статуса на изискването в Trac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Публикуване в главно работно пространство.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Създаване на дефект в Trac, и ръчно свързване с изискване.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Публикуване на корекцията с указване №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Генериране на справка и намиране мястото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дефекта,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4. </w:t>
            </w:r>
            <w:r w:rsidR="00E1656D">
              <w:rPr>
                <w:sz w:val="24"/>
                <w:szCs w:val="24"/>
                <w:lang w:val="bg-BG"/>
              </w:rPr>
              <w:t>П</w:t>
            </w:r>
            <w:r w:rsidRPr="00E84091">
              <w:rPr>
                <w:sz w:val="24"/>
                <w:szCs w:val="24"/>
                <w:lang w:val="bg-BG"/>
              </w:rPr>
              <w:t>убликуване в главно работно пространство.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F37D6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 xml:space="preserve"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</w:t>
      </w:r>
      <w:r w:rsidRPr="00E84091">
        <w:rPr>
          <w:lang w:val="bg-BG"/>
        </w:rPr>
        <w:lastRenderedPageBreak/>
        <w:t>така и да се управлява версията на изходният код, води до намаляването на този риск.</w:t>
      </w:r>
    </w:p>
    <w:p w:rsidR="00C93836" w:rsidRPr="00E84091" w:rsidRDefault="000F1DB0" w:rsidP="000F1DB0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7F48B8">
      <w:pPr>
        <w:pStyle w:val="ListParagraph"/>
        <w:numPr>
          <w:ilvl w:val="1"/>
          <w:numId w:val="4"/>
        </w:numPr>
        <w:ind w:left="851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работи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4B12B3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005404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13C3C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C71" w:rsidRDefault="000D0C71" w:rsidP="00D935EB">
      <w:pPr>
        <w:spacing w:line="240" w:lineRule="auto"/>
      </w:pPr>
      <w:r>
        <w:separator/>
      </w:r>
    </w:p>
  </w:endnote>
  <w:endnote w:type="continuationSeparator" w:id="1">
    <w:p w:rsidR="000D0C71" w:rsidRDefault="000D0C71" w:rsidP="00D9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25458"/>
      <w:docPartObj>
        <w:docPartGallery w:val="Page Numbers (Bottom of Page)"/>
        <w:docPartUnique/>
      </w:docPartObj>
    </w:sdtPr>
    <w:sdtContent>
      <w:p w:rsidR="004E5B80" w:rsidRDefault="005870B4">
        <w:pPr>
          <w:pStyle w:val="Footer"/>
          <w:jc w:val="center"/>
        </w:pPr>
        <w:fldSimple w:instr=" PAGE   \* MERGEFORMAT ">
          <w:r w:rsidR="00996D80">
            <w:rPr>
              <w:noProof/>
            </w:rPr>
            <w:t>33</w:t>
          </w:r>
        </w:fldSimple>
      </w:p>
    </w:sdtContent>
  </w:sdt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C71" w:rsidRDefault="000D0C71" w:rsidP="00D935EB">
      <w:pPr>
        <w:spacing w:line="240" w:lineRule="auto"/>
      </w:pPr>
      <w:r>
        <w:separator/>
      </w:r>
    </w:p>
  </w:footnote>
  <w:footnote w:type="continuationSeparator" w:id="1">
    <w:p w:rsidR="000D0C71" w:rsidRDefault="000D0C71" w:rsidP="00D935EB">
      <w:pPr>
        <w:spacing w:line="240" w:lineRule="auto"/>
      </w:pPr>
      <w:r>
        <w:continuationSeparator/>
      </w:r>
    </w:p>
  </w:footnote>
  <w:footnote w:id="2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D158A26A"/>
    <w:lvl w:ilvl="0" w:tplc="3E34D9C0">
      <w:start w:val="1"/>
      <w:numFmt w:val="decimal"/>
      <w:lvlText w:val="%1."/>
      <w:lvlJc w:val="left"/>
      <w:pPr>
        <w:ind w:left="1571" w:hanging="360"/>
      </w:pPr>
      <w:rPr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72808"/>
    <w:rsid w:val="001A4637"/>
    <w:rsid w:val="001A5440"/>
    <w:rsid w:val="001B1A3C"/>
    <w:rsid w:val="001F037C"/>
    <w:rsid w:val="00226D01"/>
    <w:rsid w:val="002508C3"/>
    <w:rsid w:val="0025371A"/>
    <w:rsid w:val="00257F06"/>
    <w:rsid w:val="00276E4C"/>
    <w:rsid w:val="002A4214"/>
    <w:rsid w:val="002E3DF1"/>
    <w:rsid w:val="00307E80"/>
    <w:rsid w:val="00311F85"/>
    <w:rsid w:val="0031569C"/>
    <w:rsid w:val="003640B9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32E86"/>
    <w:rsid w:val="00563D10"/>
    <w:rsid w:val="0057561E"/>
    <w:rsid w:val="00584AE1"/>
    <w:rsid w:val="005870B4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509E1"/>
    <w:rsid w:val="007526AE"/>
    <w:rsid w:val="00760467"/>
    <w:rsid w:val="007653E3"/>
    <w:rsid w:val="007724D7"/>
    <w:rsid w:val="0077604B"/>
    <w:rsid w:val="00792008"/>
    <w:rsid w:val="007C1C2A"/>
    <w:rsid w:val="007E51A1"/>
    <w:rsid w:val="007E6CDA"/>
    <w:rsid w:val="007F48B8"/>
    <w:rsid w:val="00807E3D"/>
    <w:rsid w:val="008461AB"/>
    <w:rsid w:val="00847B6F"/>
    <w:rsid w:val="00860963"/>
    <w:rsid w:val="00875CB2"/>
    <w:rsid w:val="008A7AB7"/>
    <w:rsid w:val="008B10C8"/>
    <w:rsid w:val="008D2942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60F3D"/>
    <w:rsid w:val="009772B2"/>
    <w:rsid w:val="00982358"/>
    <w:rsid w:val="009855B4"/>
    <w:rsid w:val="00996D80"/>
    <w:rsid w:val="009B12FA"/>
    <w:rsid w:val="009B6475"/>
    <w:rsid w:val="009C3C2B"/>
    <w:rsid w:val="009D1F18"/>
    <w:rsid w:val="009D66B0"/>
    <w:rsid w:val="009F3100"/>
    <w:rsid w:val="00A071BF"/>
    <w:rsid w:val="00A16AA8"/>
    <w:rsid w:val="00A23C04"/>
    <w:rsid w:val="00A410E9"/>
    <w:rsid w:val="00A41EFC"/>
    <w:rsid w:val="00A4426E"/>
    <w:rsid w:val="00A44EFF"/>
    <w:rsid w:val="00A5563B"/>
    <w:rsid w:val="00A66E71"/>
    <w:rsid w:val="00A730D6"/>
    <w:rsid w:val="00A864E8"/>
    <w:rsid w:val="00A906C6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B0281A"/>
    <w:rsid w:val="00B15230"/>
    <w:rsid w:val="00B1671F"/>
    <w:rsid w:val="00B221CB"/>
    <w:rsid w:val="00B2601F"/>
    <w:rsid w:val="00B3164B"/>
    <w:rsid w:val="00B556D1"/>
    <w:rsid w:val="00B559AC"/>
    <w:rsid w:val="00B743ED"/>
    <w:rsid w:val="00BB101B"/>
    <w:rsid w:val="00BB3CBD"/>
    <w:rsid w:val="00BC6730"/>
    <w:rsid w:val="00BD1EE6"/>
    <w:rsid w:val="00BE1341"/>
    <w:rsid w:val="00C00B43"/>
    <w:rsid w:val="00C13974"/>
    <w:rsid w:val="00C43739"/>
    <w:rsid w:val="00C51E54"/>
    <w:rsid w:val="00C6744F"/>
    <w:rsid w:val="00C93836"/>
    <w:rsid w:val="00C9615F"/>
    <w:rsid w:val="00C97B80"/>
    <w:rsid w:val="00CC0B66"/>
    <w:rsid w:val="00D00DC9"/>
    <w:rsid w:val="00D13C3C"/>
    <w:rsid w:val="00D30AF5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35EB"/>
    <w:rsid w:val="00D941D8"/>
    <w:rsid w:val="00D97D5A"/>
    <w:rsid w:val="00DB28E4"/>
    <w:rsid w:val="00DB5696"/>
    <w:rsid w:val="00DD085F"/>
    <w:rsid w:val="00DD3D4A"/>
    <w:rsid w:val="00DF7557"/>
    <w:rsid w:val="00E13FC1"/>
    <w:rsid w:val="00E1656D"/>
    <w:rsid w:val="00E56D4C"/>
    <w:rsid w:val="00E63F76"/>
    <w:rsid w:val="00E84091"/>
    <w:rsid w:val="00E857DD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69CE"/>
    <w:rsid w:val="00F37D6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B59A7"/>
    <w:rsid w:val="00FB664F"/>
    <w:rsid w:val="00FC5BA9"/>
    <w:rsid w:val="00FD568A"/>
    <w:rsid w:val="00FE17F0"/>
    <w:rsid w:val="00FE5AFB"/>
    <w:rsid w:val="00FE6920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5"/>
    <w:pPr>
      <w:spacing w:after="0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2F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spacing w:line="240" w:lineRule="auto"/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52F9"/>
    <w:rPr>
      <w:rFonts w:asciiTheme="majorHAnsi" w:eastAsiaTheme="majorEastAsia" w:hAnsiTheme="majorHAnsi" w:cstheme="majorBidi"/>
      <w:b/>
      <w:bCs/>
      <w:caps/>
      <w:sz w:val="36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52F9"/>
    <w:rPr>
      <w:rFonts w:asciiTheme="majorHAnsi" w:eastAsiaTheme="majorEastAsia" w:hAnsiTheme="majorHAnsi" w:cstheme="majorBidi"/>
      <w:b/>
      <w:bCs/>
      <w:caps/>
      <w:sz w:val="32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spacing w:line="240" w:lineRule="auto"/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 w:line="240" w:lineRule="auto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 w:line="240" w:lineRule="auto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pPr>
      <w:spacing w:line="240" w:lineRule="auto"/>
    </w:pPr>
    <w:rPr>
      <w:rFonts w:eastAsia="Times New Roman" w:cs="Times New Roman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spacing w:line="240" w:lineRule="auto"/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spacing w:line="240" w:lineRule="auto"/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CEBFA-FA53-497F-9B26-F7ECB79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33</Pages>
  <Words>5726</Words>
  <Characters>32640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89</cp:revision>
  <cp:lastPrinted>2012-10-16T21:51:00Z</cp:lastPrinted>
  <dcterms:created xsi:type="dcterms:W3CDTF">2012-09-13T22:29:00Z</dcterms:created>
  <dcterms:modified xsi:type="dcterms:W3CDTF">2012-10-16T21:54:00Z</dcterms:modified>
</cp:coreProperties>
</file>