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</w:t>
      </w:r>
      <w:r w:rsidR="00432E67">
        <w:rPr>
          <w:lang w:val="bg-BG"/>
        </w:rPr>
        <w:t>и</w:t>
      </w:r>
      <w:r w:rsidR="00E56D4C" w:rsidRPr="00FE5AFB">
        <w:rPr>
          <w:lang w:val="bg-BG"/>
        </w:rPr>
        <w:t>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3F60BC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3F60BC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3F60BC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3F60BC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3F60BC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3F60BC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3F60BC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3F60BC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3F60BC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3F60BC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3F60BC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3F60BC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3F60BC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3F60BC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3F60BC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3F60BC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</w:t>
      </w:r>
      <w:r w:rsidR="00D5513A">
        <w:rPr>
          <w:lang w:val="en-US"/>
        </w:rPr>
        <w:t>д</w:t>
      </w:r>
      <w:r w:rsidR="006D3D88">
        <w:rPr>
          <w:lang w:val="bg-BG"/>
        </w:rPr>
        <w:t>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3F60BC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3F60BC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3F60BC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3F60BC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3F60BC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3F60BC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3F60BC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3F60BC">
        <w:fldChar w:fldCharType="begin"/>
      </w:r>
      <w:r>
        <w:instrText xml:space="preserve"> REF _Ref337895824 \h </w:instrText>
      </w:r>
      <w:r w:rsidR="003F60BC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3F60BC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3F60BC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3F60BC">
        <w:fldChar w:fldCharType="begin"/>
      </w:r>
      <w:r>
        <w:instrText xml:space="preserve"> REF _Ref337896344 \h </w:instrText>
      </w:r>
      <w:r w:rsidR="003F60BC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3F60BC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3F60BC">
        <w:fldChar w:fldCharType="begin"/>
      </w:r>
      <w:r>
        <w:instrText xml:space="preserve"> REF _Ref337896478 \h </w:instrText>
      </w:r>
      <w:r w:rsidR="003F60BC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3F60BC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3F60BC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3F60BC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3F60BC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3F60BC" w:rsidRPr="00E84091">
        <w:rPr>
          <w:lang w:val="bg-BG"/>
        </w:rPr>
      </w:r>
      <w:r w:rsidR="003F60BC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3F60BC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3F60BC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3F60B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3F60BC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3F60BC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 w:rsidR="00ED17E9" w:rsidRPr="00D5513A">
        <w:t>,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2D4" w:rsidRDefault="005E22D4" w:rsidP="00D935EB">
      <w:r>
        <w:separator/>
      </w:r>
    </w:p>
  </w:endnote>
  <w:endnote w:type="continuationSeparator" w:id="0">
    <w:p w:rsidR="005E22D4" w:rsidRDefault="005E22D4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3F60BC" w:rsidP="008010DF">
    <w:pPr>
      <w:pStyle w:val="Footer"/>
      <w:ind w:firstLine="0"/>
      <w:jc w:val="center"/>
    </w:pPr>
    <w:fldSimple w:instr=" PAGE   \* MERGEFORMAT ">
      <w:r w:rsidR="00D5513A">
        <w:rPr>
          <w:noProof/>
        </w:rPr>
        <w:t>16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2D4" w:rsidRDefault="005E22D4" w:rsidP="00D935EB">
      <w:r>
        <w:separator/>
      </w:r>
    </w:p>
  </w:footnote>
  <w:footnote w:type="continuationSeparator" w:id="0">
    <w:p w:rsidR="005E22D4" w:rsidRDefault="005E22D4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</w:t>
      </w:r>
      <w:proofErr w:type="spellStart"/>
      <w:r w:rsidRPr="00951892">
        <w:rPr>
          <w:lang w:val="en-US"/>
        </w:rPr>
        <w:t>Koegel</w:t>
      </w:r>
      <w:proofErr w:type="spellEnd"/>
      <w:r w:rsidRPr="00951892">
        <w:rPr>
          <w:lang w:val="en-US"/>
        </w:rPr>
        <w:t xml:space="preserve">, M., and </w:t>
      </w:r>
      <w:proofErr w:type="spellStart"/>
      <w:r w:rsidRPr="00951892">
        <w:rPr>
          <w:lang w:val="en-US"/>
        </w:rPr>
        <w:t>Naughton</w:t>
      </w:r>
      <w:proofErr w:type="spellEnd"/>
      <w:r w:rsidRPr="00951892">
        <w:rPr>
          <w:lang w:val="en-US"/>
        </w:rPr>
        <w:t xml:space="preserve">, H. 2009. </w:t>
      </w:r>
      <w:proofErr w:type="gramStart"/>
      <w:r w:rsidRPr="00951892">
        <w:rPr>
          <w:lang w:val="en-US"/>
        </w:rPr>
        <w:t>Towards traceability from project management to system models.</w:t>
      </w:r>
      <w:proofErr w:type="gramEnd"/>
      <w:r w:rsidRPr="00951892">
        <w:rPr>
          <w:lang w:val="en-US"/>
        </w:rPr>
        <w:t xml:space="preserve">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D725C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3F60BC"/>
    <w:rsid w:val="0040148B"/>
    <w:rsid w:val="00401C53"/>
    <w:rsid w:val="004217B1"/>
    <w:rsid w:val="00426AB7"/>
    <w:rsid w:val="00431C53"/>
    <w:rsid w:val="00432E67"/>
    <w:rsid w:val="004370DB"/>
    <w:rsid w:val="00442143"/>
    <w:rsid w:val="004450C5"/>
    <w:rsid w:val="00455089"/>
    <w:rsid w:val="00464576"/>
    <w:rsid w:val="00464858"/>
    <w:rsid w:val="00465B8C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92F87"/>
    <w:rsid w:val="005C0465"/>
    <w:rsid w:val="005C0F01"/>
    <w:rsid w:val="005C2F3E"/>
    <w:rsid w:val="005C2FFA"/>
    <w:rsid w:val="005C42E4"/>
    <w:rsid w:val="005C7512"/>
    <w:rsid w:val="005D52F9"/>
    <w:rsid w:val="005E22D4"/>
    <w:rsid w:val="005E237A"/>
    <w:rsid w:val="005F758A"/>
    <w:rsid w:val="005F7B8A"/>
    <w:rsid w:val="00613927"/>
    <w:rsid w:val="00630F01"/>
    <w:rsid w:val="006375D0"/>
    <w:rsid w:val="0065229C"/>
    <w:rsid w:val="006647F6"/>
    <w:rsid w:val="006670C7"/>
    <w:rsid w:val="00671011"/>
    <w:rsid w:val="00684B7E"/>
    <w:rsid w:val="00687AE5"/>
    <w:rsid w:val="006940FD"/>
    <w:rsid w:val="006945E0"/>
    <w:rsid w:val="006B2057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5795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A7FC3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91"/>
    <w:rsid w:val="00A864E8"/>
    <w:rsid w:val="00A906C6"/>
    <w:rsid w:val="00AA2CAD"/>
    <w:rsid w:val="00AA31B0"/>
    <w:rsid w:val="00AA5D59"/>
    <w:rsid w:val="00AA6746"/>
    <w:rsid w:val="00AA7CD3"/>
    <w:rsid w:val="00AC435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84C6D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34B7F"/>
    <w:rsid w:val="00C43080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513A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1680E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D17E9"/>
    <w:rsid w:val="00EE26C9"/>
    <w:rsid w:val="00EF0BF0"/>
    <w:rsid w:val="00F00335"/>
    <w:rsid w:val="00F04175"/>
    <w:rsid w:val="00F23D3E"/>
    <w:rsid w:val="00F269CE"/>
    <w:rsid w:val="00F37D6F"/>
    <w:rsid w:val="00F44CB2"/>
    <w:rsid w:val="00F45CF6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7D836-2EB9-4EAB-9886-9315BD31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31</Pages>
  <Words>5719</Words>
  <Characters>32603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29</cp:revision>
  <cp:lastPrinted>2012-10-27T12:14:00Z</cp:lastPrinted>
  <dcterms:created xsi:type="dcterms:W3CDTF">2012-10-17T10:47:00Z</dcterms:created>
  <dcterms:modified xsi:type="dcterms:W3CDTF">2012-11-04T13:03:00Z</dcterms:modified>
</cp:coreProperties>
</file>