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40"/>
        </w:rPr>
        <w:t>Revisión de Literatura APEX</w:t>
      </w:r>
    </w:p>
    <w:p>
      <w:pPr>
        <w:pStyle w:val="Heading1"/>
      </w:pPr>
      <w:r>
        <w:rPr>
          <w:rFonts w:ascii="Calibri" w:hAnsi="Calibri"/>
          <w:b/>
          <w:color w:val="1F4E79"/>
          <w:sz w:val="30"/>
        </w:rPr>
        <w:t>Revisión de Literatura — APEX</w:t>
      </w:r>
    </w:p>
    <w:p>
      <w:pPr>
        <w:pBdr>
          <w:bottom w:val="single" w:sz="6" w:space="1" w:color="BFBFBF"/>
        </w:pBdr>
      </w:pPr>
    </w:p>
    <w:p>
      <w:pPr>
        <w:pStyle w:val="Heading1"/>
      </w:pPr>
      <w:r>
        <w:rPr>
          <w:rFonts w:ascii="Calibri" w:hAnsi="Calibri"/>
          <w:b/>
          <w:color w:val="1F4E79"/>
          <w:sz w:val="30"/>
        </w:rPr>
        <w:t>Papers más parecidos</w:t>
      </w:r>
    </w:p>
    <w:p>
      <w:pPr>
        <w:pStyle w:val="Heading2"/>
      </w:pPr>
      <w:r>
        <w:rPr>
          <w:rFonts w:ascii="Calibri" w:hAnsi="Calibri"/>
          <w:b/>
          <w:color w:val="1F4E79"/>
          <w:sz w:val="26"/>
        </w:rPr>
        <w:t>1. Liu et al. (2026) — MÁS CERCANO en gates de fase + bucle de fallos</w:t>
      </w:r>
    </w:p>
    <w:p>
      <w:r>
        <w:rPr>
          <w:b/>
        </w:rPr>
        <w:t xml:space="preserve">Título: </w:t>
      </w:r>
      <w:r>
        <w:t>NOVA: A Verification-Aware Agent Harness for Architecture Evolution in Industrial Recommender Systems (PREPRINT)</w:t>
      </w:r>
    </w:p>
    <w:p>
      <w:r>
        <w:rPr>
          <w:b/>
        </w:rPr>
        <w:t xml:space="preserve">Link: </w:t>
      </w:r>
      <w:hyperlink r:id="rId9">
        <w:r>
          <w:rPr>
            <w:color w:val="0563C1"/>
            <w:u w:val="single"/>
          </w:rPr>
          <w:t>https://arxiv.org/abs/2606.27243</w:t>
        </w:r>
      </w:hyperlink>
    </w:p>
    <w:p>
      <w:r>
        <w:rPr>
          <w:b/>
        </w:rPr>
        <w:t xml:space="preserve">Año: </w:t>
      </w:r>
      <w:r>
        <w:t>Junio 2026 · Tencent Inc. · 19 autores</w:t>
      </w:r>
    </w:p>
    <w:p>
      <w:r>
        <w:rPr>
          <w:b/>
        </w:rPr>
        <w:t>Resumen Rápido</w:t>
      </w:r>
    </w:p>
    <w:p>
      <w:r>
        <w:t>Proponen un harness de verificación para hacer evolucionar arquitecturas de recomendadores en producción en Tencent. El trabajo se encadena en un pipeline ordenado de 7 etapas (Init, Solution Design, Code Gen, Quality Assessment, Local Testing, Offline, Online) con una cascada de verificación entre etapas: si una candidata falla, se bloquea pronto y el fallo se registra. Lo más interesante — y lo más peligroso para APEX — es que los fallos no se descartan: se convierten en 'direcciones prohibidas' dentro de una memoria de trayectorias que redirige la generación posterior. Y la ablación demuestra que ese bucle es el que carga la mejora: su ganancia depende de convertir los fallos en conocimiento de búsqueda, no de limitarse a observar las métricas finales. Está desplegado de verdad, con impacto de negocio medido (GMV +1,25-2,02%).</w:t>
      </w:r>
    </w:p>
    <w:p>
      <w:r>
        <w:rPr>
          <w:b/>
        </w:rPr>
        <w:t>Qué modelo proponen:</w:t>
      </w:r>
    </w:p>
    <w:p>
      <w:r>
        <w:t>Un Main Agent que orquesta sub-agentes especializados, con una cascada de verificación de cuatro niveles:</w:t>
      </w:r>
    </w:p>
    <w:p>
      <w:pPr>
        <w:pStyle w:val="ListBullet"/>
      </w:pPr>
      <w:r>
        <w:t>V_sem — verificación semántica (shape, mask, mapping, fusion)</w:t>
      </w:r>
    </w:p>
    <w:p>
      <w:pPr>
        <w:pStyle w:val="ListBullet"/>
      </w:pPr>
      <w:r>
        <w:t>V_local — ejecutabilidad real del código</w:t>
      </w:r>
    </w:p>
    <w:p>
      <w:pPr>
        <w:pStyle w:val="ListBullet"/>
      </w:pPr>
      <w:r>
        <w:t>Offline — efectividad medida por AUC</w:t>
      </w:r>
    </w:p>
    <w:p>
      <w:pPr>
        <w:pStyle w:val="ListBullet"/>
      </w:pPr>
      <w:r>
        <w:t>Online — impacto real de negocio (GMV, Bias)</w:t>
      </w:r>
    </w:p>
    <w:p>
      <w:r>
        <w:t>El control de flujo es fail-closed de forma literal: 'if r_sem.fail then H ← H ∪ {(e, r_sem, ⊥)}; continue'. Las candidatas inválidas se bloquean pronto y sus patrones de fallo quedan registrados como prohibidos.</w:t>
      </w:r>
    </w:p>
    <w:p>
      <w:r>
        <w:rPr>
          <w:b/>
        </w:rPr>
        <w:t xml:space="preserve">Método de Evaluación: </w:t>
      </w:r>
      <w:r>
        <w:t>Despliegue industrial real, con métricas de negocio (GMV, Bias) más AUC offline, y una ablación que aísla la contribución de la memoria de fallos. Es la evaluación más fuerte de todo el barrido.</w:t>
      </w:r>
    </w:p>
    <w:p>
      <w:r>
        <w:rPr>
          <w:b/>
        </w:rPr>
        <w:t>Diferencias con APEX:</w:t>
      </w:r>
    </w:p>
    <w:p>
      <w:pPr>
        <w:pStyle w:val="ListNumber"/>
      </w:pPr>
      <w:r>
        <w:rPr>
          <w:b/>
        </w:rPr>
        <w:t xml:space="preserve">SU GATE NO ES PRE-LLM: </w:t>
      </w:r>
      <w:r>
        <w:t>Aquí hay que ser honestos en la dirección incómoda: el triage lo había marcado como bloqueo determinista y la lectura del texto completo lo desmiente. La prosa dice que el gate semántico 'combina reglas semilla históricas, patrones prohibidos acumulados y chequeos asistidos por LLM', y el apéndice confirma que V_sem se ejecuta DENTRO del agente Quality-Review, a 14,95M tokens por tarea, mediante 'revisores LLM heterogéneos en paralelo' que emiten un gate_decision entre pass, revise y reject. Es una cascada de juicio LLM con control de flujo determinista. APEX veta con un hook antes de que ningún LLM juzgue nada. Solo su filtro barato de constraints (legalidad, framework, hard constraints) es realmente pre-LLM.</w:t>
      </w:r>
    </w:p>
    <w:p>
      <w:pPr>
        <w:pStyle w:val="ListNumber"/>
      </w:pPr>
      <w:r>
        <w:rPr>
          <w:b/>
        </w:rPr>
        <w:t xml:space="preserve">NO ES UN CICLO DE VIDA SOFTWARE: </w:t>
      </w:r>
      <w:r>
        <w:t>Sus 7 etapas son un pipeline interno de un único bucle de búsqueda de arquitecturas de recomendador, no un SDLC agnóstico de dominio. No hay fase socrática, ni requisitos, ni spec, ni gate de seguridad. Sus niveles L1-L4 son tiers de enrutamiento por riesgo (AutoRun frente a Copilot), no fases — el triage confundía ambas cosas. La automatización del ciclo completo de I+D es trabajo futuro declarado por ellos mismos.</w:t>
      </w:r>
    </w:p>
    <w:p>
      <w:pPr>
        <w:pStyle w:val="ListNumber"/>
      </w:pPr>
      <w:r>
        <w:rPr>
          <w:b/>
        </w:rPr>
        <w:t xml:space="preserve">SIN MEMORIA CROSS-PROJECT: </w:t>
      </w:r>
      <w:r>
        <w:t>Su memoria H se actualiza 'durante la ejecución actual'; la KB es 'estática'; y A_0 deriva de 'la base de código de producción', en singular. El reuso es cross-TASK dentro de un único codebase de Tencent. No hay nada equivalente a hub.db ni re-inyección al arrancar sesión desde otros repositorios.</w:t>
      </w:r>
    </w:p>
    <w:p>
      <w:pPr>
        <w:pStyle w:val="ListNumber"/>
      </w:pPr>
      <w:r>
        <w:rPr>
          <w:b/>
        </w:rPr>
        <w:t xml:space="preserve">ORQUESTADOR PROPIO: </w:t>
      </w:r>
      <w:r>
        <w:t>'NOVA se implementa como un Main Agent que orquesta sub-agentes especializados', y 'el Main Agent solo orquesta y nunca llama a un LLM directamente'. Claude Sonnet 4.6 es el modelo base, no un agente comercial sin modificar. APEX corre sobre Claude Code tal cual, sin tocarlo.</w:t>
      </w:r>
    </w:p>
    <w:p>
      <w:pPr>
        <w:pStyle w:val="ListNumber"/>
      </w:pPr>
      <w:r>
        <w:rPr>
          <w:b/>
        </w:rPr>
        <w:t xml:space="preserve">SU SKILL-FORGE NO EXISTE: </w:t>
      </w:r>
      <w:r>
        <w:t>Un matiz que el triage no vio: sus skills son 'prompts y reglas mantenidos manualmente'. Las skills auto-evolutivas son trabajo futuro. El bucle de APEX que sintetiza skills desde fallos repetidos no tiene equivalente aquí.</w:t>
      </w:r>
    </w:p>
    <w:p>
      <w:r>
        <w:t>Sobrevive como no-refutador solo si un revisor concede dos cosas a la vez: que un pipeline de recomendadores no es un ciclo de vida software, y que cross-task no es cross-repo. No conviene apostar una rebuttal a que conceda ambas. Hay que citarlo, distinguirlo explícitamente y dejar de afirmar que la intersección está vacía.</w:t>
      </w:r>
    </w:p>
    <w:p>
      <w:pPr>
        <w:pBdr>
          <w:bottom w:val="single" w:sz="6" w:space="1" w:color="BFBFBF"/>
        </w:pBdr>
      </w:pPr>
    </w:p>
    <w:p>
      <w:pPr>
        <w:pStyle w:val="Heading2"/>
      </w:pPr>
      <w:r>
        <w:rPr>
          <w:rFonts w:ascii="Calibri" w:hAnsi="Calibri"/>
          <w:b/>
          <w:color w:val="1F4E79"/>
          <w:sz w:val="26"/>
        </w:rPr>
        <w:t>2. Malo &amp; Qiu (2026) — MÁS CERCANO en memoria cross-project</w:t>
      </w:r>
    </w:p>
    <w:p>
      <w:r>
        <w:rPr>
          <w:b/>
        </w:rPr>
        <w:t xml:space="preserve">Título: </w:t>
      </w:r>
      <w:r>
        <w:t>PROJECTMEM: A Local-First, Event-Sourced Memory and Judgment Layer for AI Coding Agents (PREPRINT)</w:t>
      </w:r>
    </w:p>
    <w:p>
      <w:r>
        <w:rPr>
          <w:b/>
        </w:rPr>
        <w:t xml:space="preserve">Link: </w:t>
      </w:r>
      <w:hyperlink r:id="rId10">
        <w:r>
          <w:rPr>
            <w:color w:val="0563C1"/>
            <w:u w:val="single"/>
          </w:rPr>
          <w:t>https://arxiv.org/abs/2606.12329</w:t>
        </w:r>
      </w:hyperlink>
    </w:p>
    <w:p>
      <w:r>
        <w:rPr>
          <w:b/>
        </w:rPr>
        <w:t xml:space="preserve">Año: </w:t>
      </w:r>
      <w:r>
        <w:t>Junio 2026 (enviado el 10) · repo github.com/riponcm/projectmem</w:t>
      </w:r>
    </w:p>
    <w:p>
      <w:r>
        <w:rPr>
          <w:b/>
        </w:rPr>
        <w:t>Resumen Rápido</w:t>
      </w:r>
    </w:p>
    <w:p>
      <w:r>
        <w:t>Construyen una capa de memoria local-first y event-sourced para agentes de código sobre MCP. Registran el desarrollo como un log append-only de eventos tipados (issues, attempts, fixes, decisions, notes) y añaden un gate determinista pre-acción que avisa al agente antes de que repita un fix que ya falló o toque un fichero con historial de churn. La pieza que compite de frente con APEX es la herencia cross-project: una lección de librería aprendida en un proyecto aflora después en otro proyecto distinto que usa la misma dependencia, sin sincronización en la nube. Es exactamente la pierna (d) de APEX, entregada sobre un agente MCP sin modificar. Verificado en cuatro superficies independientes (arXiv abs, HTML completo, README de GitHub y la página de HuggingFace), todas coincidentes.</w:t>
      </w:r>
    </w:p>
    <w:p>
      <w:r>
        <w:rPr>
          <w:b/>
        </w:rPr>
        <w:t>Qué modelo proponen:</w:t>
      </w:r>
    </w:p>
    <w:p>
      <w:r>
        <w:t>Un store de memoria event-sourced servido como MCP nativo con 14 tools tipadas, que sirve la misma memoria a múltiples clientes MCP. Sobre él, un gate determinista de consulta pura: 'el chequeo lee solo memoria, nunca el contenido de los ficheros, y es una búsqueda determinista'. La promoción a la memoria global se filtra con un match de librería stack-aware con límites de palabra.</w:t>
      </w:r>
    </w:p>
    <w:p>
      <w:r>
        <w:rPr>
          <w:b/>
        </w:rPr>
        <w:t xml:space="preserve">Cómo lo evalúan: </w:t>
      </w:r>
      <w:r>
        <w:t>Self-study de 207 eventos, 10 proyectos y 2 meses, con costes de tokens estimados, no medidos. Sus propios autores escriben que 'no reclamamos una mejora causal de productividad a partir de este self-study'. La barra de evaluación de este nicho, hoy, está baja.</w:t>
      </w:r>
    </w:p>
    <w:p>
      <w:r>
        <w:rPr>
          <w:b/>
        </w:rPr>
        <w:t>Diferencias con APEX:</w:t>
      </w:r>
    </w:p>
    <w:p>
      <w:pPr>
        <w:pStyle w:val="ListNumber"/>
      </w:pPr>
      <w:r>
        <w:rPr>
          <w:b/>
        </w:rPr>
        <w:t xml:space="preserve">MISMA PIERNA (d), CONCEDIDA: </w:t>
      </w:r>
      <w:r>
        <w:t>Su memoria cross-project sobre agente MCP sin modificar es head-to-head con hub.db, y en un aspecto concreto es mejor que la nuestra: tiene matching stack-aware, que APEX no tiene. No podemos reclamar la memoria cross-project como categoría nueva ni como invención propia.</w:t>
      </w:r>
    </w:p>
    <w:p>
      <w:pPr>
        <w:pStyle w:val="ListNumber"/>
      </w:pPr>
      <w:r>
        <w:rPr>
          <w:b/>
        </w:rPr>
        <w:t xml:space="preserve">SU GATE AVISA, NO BLOQUEA: </w:t>
      </w:r>
      <w:r>
        <w:t>Aquí está la diferencia que sostiene el paper. Por sus propias palabras: 'el aviso es advisory por defecto'. Y el README documenta la vía de escape: 'pjm precheck --snooze 2h lo silencia educadamente'. Además lo argumentan como decisión de diseño, no como carencia: 'el chequeo determinista puede dar falso positivo, marcando un fichero cuyo fallo pasado ya no es relevante'. El mecanismo es determinista y pre-LLM — eso APEX no puede reclamarlo como novedad — pero es fail-open. El hook de APEX es fail-closed.</w:t>
      </w:r>
    </w:p>
    <w:p>
      <w:pPr>
        <w:pStyle w:val="ListNumber"/>
      </w:pPr>
      <w:r>
        <w:rPr>
          <w:b/>
        </w:rPr>
        <w:t xml:space="preserve">SIN FASES: </w:t>
      </w:r>
      <w:r>
        <w:t>No tiene ciclo de vida, ni fases, ni transición que vetar. Sus tipos de evento no llevan orden de ciclo de vida y el sistema es explícitamente agnóstico de metodología. Su único gate es un precheck por fichero antes del commit. No hay nada sobre lo que montar un bucle de fases.</w:t>
      </w:r>
    </w:p>
    <w:p>
      <w:pPr>
        <w:pStyle w:val="ListNumber"/>
      </w:pPr>
      <w:r>
        <w:rPr>
          <w:b/>
        </w:rPr>
        <w:t xml:space="preserve">RECHAZA EL BUCLE EN EL ACTA: </w:t>
      </w:r>
      <w:r>
        <w:t>Su score A+..F parece una nota de outcome, pero auto-mide ROI: no ajusta ninguna regla. El juicio aprendido es su Future Work #6, y lo describen como algo que 'podría aumentar (nunca reemplazar)' el determinismo. Es una declaración explícita de que no cierran el bucle.</w:t>
      </w:r>
    </w:p>
    <w:p>
      <w:r>
        <w:t>Es el vecino más peligroso en memoria y a la vez el que mejor nos sirve: su Future Work #6 es un roadmap directo hacia nuestro hueco, escrito por gente que ya tiene la pierna que a nosotros nos cuesta. Conviene citarlo, conceder (d) sin pelear y anclar la diferencia en asesor frente a vinculante.</w:t>
      </w:r>
    </w:p>
    <w:p>
      <w:pPr>
        <w:pBdr>
          <w:bottom w:val="single" w:sz="6" w:space="1" w:color="BFBFBF"/>
        </w:pBdr>
      </w:pPr>
    </w:p>
    <w:p>
      <w:pPr>
        <w:pStyle w:val="Heading2"/>
      </w:pPr>
      <w:r>
        <w:rPr>
          <w:rFonts w:ascii="Calibri" w:hAnsi="Calibri"/>
          <w:b/>
          <w:color w:val="1F4E79"/>
          <w:sz w:val="26"/>
        </w:rPr>
        <w:t>3. statewright (2026) — MÁS CERCANO en gating determinista sobre agente sin modificar</w:t>
      </w:r>
    </w:p>
    <w:p>
      <w:r>
        <w:rPr>
          <w:b/>
        </w:rPr>
        <w:t xml:space="preserve">Título: </w:t>
      </w:r>
      <w:r>
        <w:t>statewright — State machine guardrails for AI agents (REPOSITORIO, no paper)</w:t>
      </w:r>
    </w:p>
    <w:p>
      <w:r>
        <w:rPr>
          <w:b/>
        </w:rPr>
        <w:t xml:space="preserve">Link: </w:t>
      </w:r>
      <w:hyperlink r:id="rId11">
        <w:r>
          <w:rPr>
            <w:color w:val="0563C1"/>
            <w:u w:val="single"/>
          </w:rPr>
          <w:t>https://github.com/statewright/statewright</w:t>
        </w:r>
      </w:hyperlink>
    </w:p>
    <w:p>
      <w:r>
        <w:rPr>
          <w:b/>
        </w:rPr>
        <w:t xml:space="preserve">Año: </w:t>
      </w:r>
      <w:r>
        <w:t>Creado 3 may 2026 · último push 26 jun 2026 · 415 estrellas · Rust · Apache-2.0/FSL</w:t>
      </w:r>
    </w:p>
    <w:p>
      <w:r>
        <w:rPr>
          <w:b/>
        </w:rPr>
        <w:t>Resumen Rápido</w:t>
      </w:r>
    </w:p>
    <w:p>
      <w:r>
        <w:t>Guardrails de máquina de estados para agentes, escritos en Rust, sobre agentes comerciales sin modificar. Lo relevante es que distingue por escrito los dos regímenes que definen el paper de APEX: 'enforcement DURO significa que las llamadas a herramienta se interceptan en la capa de hooks antes de ejecutarse; ASESOR significa que las reglas se inyectan en contexto pero al modelo no se le impide ignorarlas'. Su motor es un 'evaluador puro de máquina de estados en Rust. Determinista. Sin LLM en el bucle. Sin dependencias en runtime'. No es un paper: es software en producción con Show HN, patent pledge y nube comercial.</w:t>
      </w:r>
    </w:p>
    <w:p>
      <w:r>
        <w:rPr>
          <w:b/>
        </w:rPr>
        <w:t>Qué modelo proponen:</w:t>
      </w:r>
    </w:p>
    <w:p>
      <w:r>
        <w:t>Máquina de estados con guards y restricciones de herramienta por estado, aplicada vía protocolo y no vía prompts: 'el modelo no puede saltarse pasos físicamente ni usar la herramienta equivocada en el momento equivocado. Se aplica por protocolo, no por prompts'. Incluye discernimiento de Bash: bloquea 'echo &gt; file', 'rm -rf', 'sed -i' e intérpretes como python o node cuando Write/Edit no están permitidos, aunque Bash sí lo esté.</w:t>
      </w:r>
    </w:p>
    <w:p>
      <w:r>
        <w:rPr>
          <w:b/>
        </w:rPr>
        <w:t xml:space="preserve">Cómo lo evalúan: </w:t>
      </w:r>
      <w:r>
        <w:t>No hay evaluación académica de ningún tipo. Es adopción real: 415 estrellas, usuarios, producto comercial. Se cita como prior art de la idea, no como baseline evaluado.</w:t>
      </w:r>
    </w:p>
    <w:p>
      <w:r>
        <w:rPr>
          <w:b/>
        </w:rPr>
        <w:t>Diferencias con APEX:</w:t>
      </w:r>
    </w:p>
    <w:p>
      <w:pPr>
        <w:pStyle w:val="ListNumber"/>
      </w:pPr>
      <w:r>
        <w:rPr>
          <w:b/>
        </w:rPr>
        <w:t xml:space="preserve">MATA UN ARGUMENTO DE VENTA — CONCEDERLO YA: </w:t>
      </w:r>
      <w:r>
        <w:t>Junto con Rel(AI)Build, deja el gating determinista por fase sobre agente sin modificar DOBLEMENTE reproducido. Y es peor que un paper para nosotros: un repo con 415 estrellas y usuarios reales es más fácil de encontrar para un revisor que un preprint. APEX debe dejar de vender esa combinación como diferenciador y citar el repo explícitamente. Sin reconocerlo, cualquier revisor que lo conozca desacredita toda la reclamación de novedad de golpe.</w:t>
      </w:r>
    </w:p>
    <w:p>
      <w:pPr>
        <w:pStyle w:val="ListNumber"/>
      </w:pPr>
      <w:r>
        <w:rPr>
          <w:b/>
        </w:rPr>
        <w:t xml:space="preserve">SUS TRANSICIONES LAS PIDE EL PROPIO AGENTE: </w:t>
      </w:r>
      <w:r>
        <w:t>Los workflows se escriben a mano y su template de bugfix trae 'guards': {} vacío — nada verifica que los tests pasaran antes de avanzar. Gatea QUÉ HERRAMIENTAS puede usar en cada estado, no SI PUEDE SALIR de la fase habiendo cumplido un criterio. Esa es la distinción que sostiene APEX.</w:t>
      </w:r>
    </w:p>
    <w:p>
      <w:pPr>
        <w:pStyle w:val="ListNumber"/>
      </w:pPr>
      <w:r>
        <w:rPr>
          <w:b/>
        </w:rPr>
        <w:t xml:space="preserve">SIN BUCLE Y SIN MEMORIA CROSS-PROJECT: </w:t>
      </w:r>
      <w:r>
        <w:t>Ninguna de las dos piernas existe en el repositorio. Sus reglas se escriben a mano y no aprenden de nada.</w:t>
      </w:r>
    </w:p>
    <w:p>
      <w:pPr>
        <w:pBdr>
          <w:bottom w:val="single" w:sz="6" w:space="1" w:color="BFBFBF"/>
        </w:pBdr>
      </w:pPr>
    </w:p>
    <w:p>
      <w:pPr>
        <w:pStyle w:val="Heading2"/>
      </w:pPr>
      <w:r>
        <w:rPr>
          <w:rFonts w:ascii="Calibri" w:hAnsi="Calibri"/>
          <w:b/>
          <w:color w:val="1F4E79"/>
          <w:sz w:val="26"/>
        </w:rPr>
        <w:t>4. Zhou et al. (2026) — MÁS CERCANO en compilar correcciones a enforcement</w:t>
      </w:r>
    </w:p>
    <w:p>
      <w:r>
        <w:rPr>
          <w:b/>
        </w:rPr>
        <w:t xml:space="preserve">Título: </w:t>
      </w:r>
      <w:r>
        <w:t>Getting Better at Working With You: Compiling User Corrections into Runtime Enforcement for Coding Agents (TRACE) (PREPRINT)</w:t>
      </w:r>
    </w:p>
    <w:p>
      <w:r>
        <w:rPr>
          <w:b/>
        </w:rPr>
        <w:t xml:space="preserve">Link: </w:t>
      </w:r>
      <w:hyperlink r:id="rId12">
        <w:r>
          <w:rPr>
            <w:color w:val="0563C1"/>
            <w:u w:val="single"/>
          </w:rPr>
          <w:t>https://arxiv.org/abs/2606.13174</w:t>
        </w:r>
      </w:hyperlink>
    </w:p>
    <w:p>
      <w:r>
        <w:rPr>
          <w:b/>
        </w:rPr>
        <w:t xml:space="preserve">Año: </w:t>
      </w:r>
      <w:r>
        <w:t>Junio 2026 · University of Notre Dame + IBM</w:t>
      </w:r>
    </w:p>
    <w:p>
      <w:r>
        <w:rPr>
          <w:b/>
        </w:rPr>
        <w:t>Resumen Rápido</w:t>
      </w:r>
    </w:p>
    <w:p>
      <w:r>
        <w:t>Compilan las correcciones que el usuario hace al agente en reglas de enforcement en runtime, sobre Claude Code, mediante hooks. Es el vecino vivo más afilado del barrido: hace bloqueo determinista completo sobre un agente sin modificar, en el mismo producto que APEX. Verificado leyendo el texto completo y además el código del repositorio companion.</w:t>
      </w:r>
    </w:p>
    <w:p>
      <w:r>
        <w:rPr>
          <w:b/>
        </w:rPr>
        <w:t>Qué modelo proponen:</w:t>
      </w:r>
    </w:p>
    <w:p>
      <w:r>
        <w:t>Tres tiers de enforcement según la complejidad de la regla. 'Los hooks son los puntos de control que disparan estos verificadores en eventos de prompt, uso de herramienta, escritura de fichero o terminación. Si un verificador falla, el hook interrumpe el evento y aporta la violación.' Las reglas deterministas se verifican contra estructuras de tool-call, argumentos de comando, nombres de fichero o estado del workspace; el LLM solo interviene por adelantado, no en el momento del chequeo.</w:t>
      </w:r>
    </w:p>
    <w:p>
      <w:r>
        <w:rPr>
          <w:b/>
        </w:rPr>
        <w:t xml:space="preserve">Cómo lo evalúan: </w:t>
      </w:r>
      <w:r>
        <w:t>Evaluación académica sobre las reglas compiladas y su cumplimiento. Su conclusión textual es la tesis de APEX: 'memoria y enforcement son sustratos complementarios... Tratarlos como un único pipeline, en vez de como alternativas, es la dirección que este trabajo señala'.</w:t>
      </w:r>
    </w:p>
    <w:p>
      <w:r>
        <w:rPr>
          <w:b/>
        </w:rPr>
        <w:t>Diferencias con APEX:</w:t>
      </w:r>
    </w:p>
    <w:p>
      <w:pPr>
        <w:pStyle w:val="ListNumber"/>
      </w:pPr>
      <w:r>
        <w:rPr>
          <w:b/>
        </w:rPr>
        <w:t xml:space="preserve">SU 'FASE' ES UNA CATEGORÍA DE REGLA, NO UNA ETAPA DEL SDLC: </w:t>
      </w:r>
      <w:r>
        <w:t>Asigna a cada entrada una 'enforcement phase' entre execution, formatting, inquiry, brainstorming o domain-specific. Es un eje ortogonal a un ciclo de vida: no hay orden design → spec → implement → test → deploy, no hay gate de seguridad, no hay condiciones de entrada ni de salida de fase. No existe nada sobre lo que montar el bucle de outcomes.</w:t>
      </w:r>
    </w:p>
    <w:p>
      <w:pPr>
        <w:pStyle w:val="ListNumber"/>
      </w:pPr>
      <w:r>
        <w:rPr>
          <w:b/>
        </w:rPr>
        <w:t xml:space="preserve">SU FUENTE ES EL USUARIO, NO EL OUTCOME: </w:t>
      </w:r>
      <w:r>
        <w:t>Compila correcciones humanas, no veredictos de ejecución. El bucle de APEX se alimenta de resultados juzgados (tests, grader), no de que una persona corrija al agente.</w:t>
      </w:r>
    </w:p>
    <w:p>
      <w:pPr>
        <w:pStyle w:val="ListNumber"/>
      </w:pPr>
      <w:r>
        <w:rPr>
          <w:b/>
        </w:rPr>
        <w:t xml:space="preserve">NO CRUZA EL LÍMITE DEL REPOSITORIO: </w:t>
      </w:r>
      <w:r>
        <w:t>Las reglas viven en el proyecto donde se aprendieron. Está a una revisión de añadir cross-repo — motivo de más para someter pronto.</w:t>
      </w:r>
    </w:p>
    <w:p>
      <w:pPr>
        <w:pBdr>
          <w:bottom w:val="single" w:sz="6" w:space="1" w:color="BFBFBF"/>
        </w:pBdr>
      </w:pPr>
    </w:p>
    <w:p>
      <w:pPr>
        <w:pStyle w:val="Heading2"/>
      </w:pPr>
      <w:r>
        <w:rPr>
          <w:rFonts w:ascii="Calibri" w:hAnsi="Calibri"/>
          <w:b/>
          <w:color w:val="1F4E79"/>
          <w:sz w:val="26"/>
        </w:rPr>
        <w:t>5. Pan et al. (2026) — MÁS CERCANO en auto-mejora del harness</w:t>
      </w:r>
    </w:p>
    <w:p>
      <w:r>
        <w:rPr>
          <w:b/>
        </w:rPr>
        <w:t xml:space="preserve">Título: </w:t>
      </w:r>
      <w:r>
        <w:t>Evolving Agents in the Dark: Retrospective Harness Optimization via Self-Preference (RHO) (PREPRINT)</w:t>
      </w:r>
    </w:p>
    <w:p>
      <w:r>
        <w:rPr>
          <w:b/>
        </w:rPr>
        <w:t xml:space="preserve">Link: </w:t>
      </w:r>
      <w:hyperlink r:id="rId13">
        <w:r>
          <w:rPr>
            <w:color w:val="0563C1"/>
            <w:u w:val="single"/>
          </w:rPr>
          <w:t>https://arxiv.org/abs/2606.05922</w:t>
        </w:r>
      </w:hyperlink>
    </w:p>
    <w:p>
      <w:r>
        <w:rPr>
          <w:b/>
        </w:rPr>
        <w:t xml:space="preserve">Año: </w:t>
      </w:r>
      <w:r>
        <w:t>v1 4 jun 2026 · v2 10 jun 2026 — CITAR v2 · City University of Hong Kong + Microsoft Research Asia</w:t>
      </w:r>
    </w:p>
    <w:p>
      <w:r>
        <w:rPr>
          <w:b/>
        </w:rPr>
        <w:t>Resumen Rápido</w:t>
      </w:r>
    </w:p>
    <w:p>
      <w:r>
        <w:t>Método self-supervised que optimiza el harness usando solo trayectorias pasadas, sin etiquetas ni calificación externa: selecciona un coreset diverso de trayectorias, hace rollouts por grupo y propone el harness best-of-N. El resultado que citará todo el mundo: 'una sola ronda de optimización mejora el pass rate en SWE-Bench Pro del 59% al 78% sin ninguna calificación externa'. Añade skills y tools nuevas que atacan los modos de fallo típicos del harness original. Es la misma apuesta arquitectónica que APEX —mejorar el andamiaje, no el modelo— sobre un agente comercial sin modificar.</w:t>
      </w:r>
    </w:p>
    <w:p>
      <w:r>
        <w:rPr>
          <w:b/>
        </w:rPr>
        <w:t>Qué modelo proponen:</w:t>
      </w:r>
    </w:p>
    <w:p>
      <w:r>
        <w:t>Un pipeline de tres etapas: selección de coreset, rollout por grupos y propuesta de harness best-of-N. Corre sobre el agente Codex de OpenAI con GPT-5.5 configurado con esfuerzo de razonamiento alto.</w:t>
      </w:r>
    </w:p>
    <w:p>
      <w:r>
        <w:rPr>
          <w:b/>
        </w:rPr>
        <w:t xml:space="preserve">Cómo lo evalúan: </w:t>
      </w:r>
      <w:r>
        <w:t>SWE-Bench Pro (59% → 78% en una ronda) más otros dos benchmarks de agente. Es la evidencia más fuerte del barrido de que auto-mejorar el harness funciona. Aviso: no conviene colgar nuestra evaluación de SWE-Bench Pro — la auditoría de OpenAI de julio 2026 estima que ~30% del split público de 731 tareas está roto (fuente agregadora de terceros, no oficial).</w:t>
      </w:r>
    </w:p>
    <w:p>
      <w:r>
        <w:rPr>
          <w:b/>
        </w:rPr>
        <w:t>Diferencias con APEX:</w:t>
      </w:r>
    </w:p>
    <w:p>
      <w:pPr>
        <w:pStyle w:val="ListNumber"/>
      </w:pPr>
      <w:r>
        <w:rPr>
          <w:b/>
        </w:rPr>
        <w:t xml:space="preserve">MISMA APUESTA, OTRO VENDOR: </w:t>
      </w:r>
      <w:r>
        <w:t>Bucle de auto-mejora real sobre agente comercial sin modificar, pero sobre Codex/GPT-5.5, no Claude Code. Concedemos el bucle de auto-mejora en solitario: no es nuestro.</w:t>
      </w:r>
    </w:p>
    <w:p>
      <w:pPr>
        <w:pStyle w:val="ListNumber"/>
      </w:pPr>
      <w:r>
        <w:rPr>
          <w:b/>
        </w:rPr>
        <w:t xml:space="preserve">SIN CICLO DE VIDA Y SIN VETO: </w:t>
      </w:r>
      <w:r>
        <w:t>Verificado por grep local sobre el PDF completo, no por un resumidor: 'lifecycle' 0 apariciones, 'veto' 0, 'PreToolUse' 0, 'fail-closed' 0, 'blocking' 0. Sus tres 'stages' son pasos del pipeline optimizador, no fases del ciclo de vida software. Nada parecido a un gate de seguridad.</w:t>
      </w:r>
    </w:p>
    <w:p>
      <w:pPr>
        <w:pStyle w:val="ListNumber"/>
      </w:pPr>
      <w:r>
        <w:rPr>
          <w:b/>
        </w:rPr>
        <w:t xml:space="preserve">SU BUCLE ES SELF-PREFERRING: </w:t>
      </w:r>
      <w:r>
        <w:t>Acepta una actualización solo si su propio score es mayor que cero — un juicio aguas abajo de la auto-preferencia del LLM, no un gate determinista fail-closed previo. Es offline, no bloquea nada en vivo.</w:t>
      </w:r>
    </w:p>
    <w:p>
      <w:pPr>
        <w:pStyle w:val="ListNumber"/>
      </w:pPr>
      <w:r>
        <w:rPr>
          <w:b/>
        </w:rPr>
        <w:t xml:space="preserve">SIN CROSS-PROJECT: </w:t>
      </w:r>
      <w:r>
        <w:t>Evaluado en tres dominios de agente, sin transferencia entre repositorios.</w:t>
      </w:r>
    </w:p>
    <w:p>
      <w:pPr>
        <w:pStyle w:val="ListNumber"/>
      </w:pPr>
      <w:r>
        <w:rPr>
          <w:b/>
        </w:rPr>
        <w:t xml:space="preserve">CORRECCIÓN DE CITA OBLIGADA: </w:t>
      </w:r>
      <w:r>
        <w:t>El barrido anterior escribió 'Microsoft/CityU' sin abrir el PDF. Las afiliaciones están en la portada: City University of Hong Kong + Microsoft Research ASIA. Y hay que citar v2, no v1.</w:t>
      </w:r>
    </w:p>
    <w:p>
      <w:pPr>
        <w:pBdr>
          <w:bottom w:val="single" w:sz="6" w:space="1" w:color="BFBFBF"/>
        </w:pBdr>
      </w:pPr>
    </w:p>
    <w:p>
      <w:pPr>
        <w:pStyle w:val="Heading2"/>
      </w:pPr>
      <w:r>
        <w:rPr>
          <w:rFonts w:ascii="Calibri" w:hAnsi="Calibri"/>
          <w:b/>
          <w:color w:val="1F4E79"/>
          <w:sz w:val="26"/>
        </w:rPr>
        <w:t>6. Madatha (2026) — el refutador de gates del barrido anterior, ahora matizado</w:t>
      </w:r>
    </w:p>
    <w:p>
      <w:r>
        <w:rPr>
          <w:b/>
        </w:rPr>
        <w:t xml:space="preserve">Título: </w:t>
      </w:r>
      <w:r>
        <w:t>Rel(AI)Build — A Deterministic Control Plane for LLM Coding Agents (PREPRINT)</w:t>
      </w:r>
    </w:p>
    <w:p>
      <w:r>
        <w:rPr>
          <w:b/>
        </w:rPr>
        <w:t xml:space="preserve">Link: </w:t>
      </w:r>
      <w:hyperlink r:id="rId14">
        <w:r>
          <w:rPr>
            <w:color w:val="0563C1"/>
            <w:u w:val="single"/>
          </w:rPr>
          <w:t>https://arxiv.org/abs/2606.26924</w:t>
        </w:r>
      </w:hyperlink>
    </w:p>
    <w:p>
      <w:r>
        <w:rPr>
          <w:b/>
        </w:rPr>
        <w:t xml:space="preserve">Año: </w:t>
      </w:r>
      <w:r>
        <w:t>Junio 2026 · preprint con DOI de Zenodo, sin venue</w:t>
      </w:r>
    </w:p>
    <w:p>
      <w:r>
        <w:rPr>
          <w:b/>
        </w:rPr>
        <w:t>Resumen Rápido</w:t>
      </w:r>
    </w:p>
    <w:p>
      <w:r>
        <w:t>Proponen un plano de control determinista que envuelve un agente de código comercial sin modificar: una máquina de estados de fases donde 'la fase n falla si la n-1 no registró end-timestamp', con gate-predicates que el prompt no puede saltarse, sobre el mismo mecanismo PreToolUse que usa APEX. Es el trabajo concurrente que reproduce casi verbatim nuestra pierna de gates.</w:t>
      </w:r>
    </w:p>
    <w:p>
      <w:r>
        <w:rPr>
          <w:b/>
        </w:rPr>
        <w:t>Qué modelo proponen:</w:t>
      </w:r>
    </w:p>
    <w:p>
      <w:r>
        <w:t>Blocklist más gate predicates (PHASE_ORDER_VIOLATION, SECURITY_SCAN_GATE, REVIEW_GATE) aplicados en PreToolUse y beforeShellExecution con semántica fail-closed antes de la invocación del LLM. Añaden además un ángulo de supply-chain y auditoría que APEX no tiene.</w:t>
      </w:r>
    </w:p>
    <w:p>
      <w:r>
        <w:rPr>
          <w:b/>
        </w:rPr>
        <w:t xml:space="preserve">Método de Evaluación: </w:t>
      </w:r>
      <w:r>
        <w:t>Demostración de sistema sobre agentes comerciales (Claude Code, Cursor). Preprint sin venue, con DOI de Zenodo — y aun así ya es citable. Es exactamente la jugada de arXiv que APEX debería hacer esta semana.</w:t>
      </w:r>
    </w:p>
    <w:p>
      <w:r>
        <w:rPr>
          <w:b/>
        </w:rPr>
        <w:t>Diferencias con APEX:</w:t>
      </w:r>
    </w:p>
    <w:p>
      <w:pPr>
        <w:pStyle w:val="ListNumber"/>
      </w:pPr>
      <w:r>
        <w:rPr>
          <w:b/>
        </w:rPr>
        <w:t xml:space="preserve">MISMA PIERNA DE GATES, CONCEDIDA: </w:t>
      </w:r>
      <w:r>
        <w:t>Su gating de fase determinista sobre agente sin modificar es casi verbatim el de APEX, mismo mecanismo y mismo producto. No podemos reclamar el gate determinista pre-LLM como invención nuestra.</w:t>
      </w:r>
    </w:p>
    <w:p>
      <w:pPr>
        <w:pStyle w:val="ListNumber"/>
      </w:pPr>
      <w:r>
        <w:rPr>
          <w:b/>
        </w:rPr>
        <w:t xml:space="preserve">RECHAZA LA AUTO-MEJORA POR PRINCIPIO — Y SU OBJECIÓN ES LA BUENA: </w:t>
      </w:r>
      <w:r>
        <w:t>'Un componente no determinista no puede servir de control fiable de otro componente no determinista.' Hay que responderla de frente, no ignorarla: en APEX el grader INFORMA el bucle, pero el hook sigue siendo determinista. El componente no determinista nunca controla el gate — propone reglas que un humano aprueba y que después se ejecutan como código. Eso responde su argumento sin negarlo.</w:t>
      </w:r>
    </w:p>
    <w:p>
      <w:pPr>
        <w:pStyle w:val="ListNumber"/>
      </w:pPr>
      <w:r>
        <w:rPr>
          <w:b/>
        </w:rPr>
        <w:t xml:space="preserve">SU ÚNICA PIEZA ADAPTATIVA ES UN PLACEHOLDER: </w:t>
      </w:r>
      <w:r>
        <w:t>Sus thresholds Jaccard están, por escrito, 'pendientes de calibración', y su detección de deriva se autodescribe como 'un mecanismo de detección, no un predictor conductual validado'. Ese hedge es suyo, no una inferencia nuestra: se puede citar tal cual contra cualquier revisor que afirme que Rel(AI)Build se auto-mejora.</w:t>
      </w:r>
    </w:p>
    <w:p>
      <w:pPr>
        <w:pStyle w:val="ListNumber"/>
      </w:pPr>
      <w:r>
        <w:rPr>
          <w:b/>
        </w:rPr>
        <w:t xml:space="preserve">SIN MEMORIA CROSS-PROJECT: </w:t>
      </w:r>
      <w:r>
        <w:t>De hecho lo lamentan explícitamente: las organizaciones multi-herramienta 'deben reescribir y remantener la misma pericia varias veces'. Comparten ficheros de configuración por content-addressing, que es distribución de artefactos, no un hub de decisiones y errores.</w:t>
      </w:r>
    </w:p>
    <w:p>
      <w:pPr>
        <w:pBdr>
          <w:bottom w:val="single" w:sz="6" w:space="1" w:color="BFBFBF"/>
        </w:pBdr>
      </w:pPr>
    </w:p>
    <w:p>
      <w:pPr>
        <w:pStyle w:val="Heading1"/>
      </w:pPr>
      <w:r>
        <w:rPr>
          <w:rFonts w:ascii="Calibri" w:hAnsi="Calibri"/>
          <w:b/>
          <w:color w:val="1F4E79"/>
          <w:sz w:val="30"/>
        </w:rPr>
        <w:t>Papers más generales</w:t>
      </w:r>
    </w:p>
    <w:p>
      <w:pPr>
        <w:pStyle w:val="Heading2"/>
      </w:pPr>
      <w:r>
        <w:rPr>
          <w:rFonts w:ascii="Calibri" w:hAnsi="Calibri"/>
          <w:b/>
          <w:color w:val="1F4E79"/>
          <w:sz w:val="26"/>
        </w:rPr>
        <w:t>7. Wang et al. (2026) — el ataque más peligroso, y no es un competidor</w:t>
      </w:r>
    </w:p>
    <w:p>
      <w:r>
        <w:rPr>
          <w:b/>
        </w:rPr>
        <w:t xml:space="preserve">Título: </w:t>
      </w:r>
      <w:r>
        <w:t>Phantom Guardrails: When Self-Improving Agent Harnesses Fix Failures That Never Happened (PREPRINT)</w:t>
      </w:r>
    </w:p>
    <w:p>
      <w:r>
        <w:rPr>
          <w:b/>
        </w:rPr>
        <w:t xml:space="preserve">Link: </w:t>
      </w:r>
      <w:hyperlink r:id="rId15">
        <w:r>
          <w:rPr>
            <w:color w:val="0563C1"/>
            <w:u w:val="single"/>
          </w:rPr>
          <w:t>https://arxiv.org/abs/2607.13083</w:t>
        </w:r>
      </w:hyperlink>
    </w:p>
    <w:p>
      <w:r>
        <w:rPr>
          <w:b/>
        </w:rPr>
        <w:t xml:space="preserve">Año: </w:t>
      </w:r>
      <w:r>
        <w:t>13 jul 2026 · cs.CR con cross-list a cs.SE · verificado a mano en arXiv (título, autores y fecha confirmados)</w:t>
      </w:r>
    </w:p>
    <w:p>
      <w:r>
        <w:rPr>
          <w:b/>
        </w:rPr>
        <w:t>Resumen Rápido</w:t>
      </w:r>
    </w:p>
    <w:p>
      <w:r>
        <w:t>Documentan que un harness auto-mejorable fabrica guardrails contra fallos que nunca ocurrieron. Cuando el input legal contenía un patrón inocuo con forma de regla, el proponente LLM inventó un fallo inexistente en 15 de 60 runs, frente a 0 de 60 con input sin rasgos. No es ruido aleatorio: es estructural.</w:t>
      </w:r>
    </w:p>
    <w:p>
      <w:r>
        <w:rPr>
          <w:b/>
        </w:rPr>
        <w:t>Hallazgos clave:</w:t>
      </w:r>
    </w:p>
    <w:p>
      <w:r>
        <w:t>El efecto aparece solo cuando coinciden tres condiciones necesarias, y quitar cualquiera de las tres lo elimina:</w:t>
      </w:r>
    </w:p>
    <w:p>
      <w:pPr>
        <w:pStyle w:val="ListBullet"/>
      </w:pPr>
      <w:r>
        <w:t>Un patrón con forma de regla en el input</w:t>
      </w:r>
    </w:p>
    <w:p>
      <w:pPr>
        <w:pStyle w:val="ListBullet"/>
      </w:pPr>
      <w:r>
        <w:t>Un conjunto de reglas abierto</w:t>
      </w:r>
    </w:p>
    <w:p>
      <w:pPr>
        <w:pStyle w:val="ListBullet"/>
      </w:pPr>
      <w:r>
        <w:t>Una instrucción que presupone que hay fallos</w:t>
      </w:r>
    </w:p>
    <w:p>
      <w:r>
        <w:t>Y en régimen 'never-subtract' los fantasmas persisten: 'una vez que el guard está dentro, se queda. Quitar un no-op cambia el proxy exactamente en cero, así que la señal de supresión nunca lo penaliza y nunca motiva su retirada'.</w:t>
      </w:r>
    </w:p>
    <w:p>
      <w:r>
        <w:rPr>
          <w:b/>
        </w:rPr>
        <w:t>Por qué es el mayor riesgo del paper de APEX:</w:t>
      </w:r>
    </w:p>
    <w:p>
      <w:r>
        <w:t>Las tres condiciones son una especificación de apex-doctor. A1 agrupa por recurrence_count&gt;=3, que es un patrón con forma de regla. doctor_proposals no tiene vocabulario cerrado, que es un conjunto de reglas abierto. Y su instrucción es literalmente 'agrupa errores recurrentes en propuestas de regla', que presupone el fallo. Las cumple las tres. Peor todavía: doctor_proposals.signature UNIQUE combinado con INSERT OR IGNORE, que hoy documentamos como feature de idempotencia, es exactamente el mecanismo que hace PERMANENTE una regla fabricada — una signature fantasma se rechaza como duplicado en lugar de reexaminarse.</w:t>
      </w:r>
    </w:p>
    <w:p>
      <w:r>
        <w:rPr>
          <w:b/>
        </w:rPr>
        <w:t>Diferencias con APEX (la respuesta preparada):</w:t>
      </w:r>
    </w:p>
    <w:p>
      <w:r>
        <w:t>No es un sistema competidor: es un estudio de modo de fallo de un mecanismo que APEX contiene. No tiene fases, ni bloqueo determinista, ni cross-project; sus proponentes son llamadas crudas a API sobre un laboratorio propio. La respuesta defendible es que su tasa procede de un entorno no-op donde lo correcto es no actuar, mientras que los errores de APEX se anclan a llamadas apex_add_error sobre fallos reales de herramienta, así que la tasa base no transfiere. Pero eso solo se sostiene con un oráculo: hay que adjudicar a mano N=50 propuestas del doctor contra el log de eventos y publicar la tasa de fabricación. Sin ese número la respuesta es palabrería y el bucle es infalsable. Convertir el flanco en evidencia de rigor es la única salida.</w:t>
      </w:r>
    </w:p>
    <w:p>
      <w:pPr>
        <w:pBdr>
          <w:bottom w:val="single" w:sz="6" w:space="1" w:color="BFBFBF"/>
        </w:pBdr>
      </w:pPr>
    </w:p>
    <w:p>
      <w:pPr>
        <w:pStyle w:val="Heading2"/>
      </w:pPr>
      <w:r>
        <w:rPr>
          <w:rFonts w:ascii="Calibri" w:hAnsi="Calibri"/>
          <w:b/>
          <w:color w:val="1F4E79"/>
          <w:sz w:val="26"/>
        </w:rPr>
        <w:t>8. Kim et al. (2026) — la transferencia cross-project puede DAÑAR</w:t>
      </w:r>
    </w:p>
    <w:p>
      <w:r>
        <w:rPr>
          <w:b/>
        </w:rPr>
        <w:t xml:space="preserve">Título: </w:t>
      </w:r>
      <w:r>
        <w:t>Memory Transfer Learning: How Memories are Transferred Across Domains in Coding Agents (PREPRINT)</w:t>
      </w:r>
    </w:p>
    <w:p>
      <w:r>
        <w:rPr>
          <w:b/>
        </w:rPr>
        <w:t xml:space="preserve">Link: </w:t>
      </w:r>
      <w:hyperlink r:id="rId16">
        <w:r>
          <w:rPr>
            <w:color w:val="0563C1"/>
            <w:u w:val="single"/>
          </w:rPr>
          <w:t>https://arxiv.org/abs/2604.14004</w:t>
        </w:r>
      </w:hyperlink>
    </w:p>
    <w:p>
      <w:r>
        <w:rPr>
          <w:b/>
        </w:rPr>
        <w:t xml:space="preserve">Año: </w:t>
      </w:r>
      <w:r>
        <w:t>15 abr 2026 · KAIST + NYU</w:t>
      </w:r>
    </w:p>
    <w:p>
      <w:r>
        <w:rPr>
          <w:b/>
        </w:rPr>
        <w:t>Resumen Rápido</w:t>
      </w:r>
    </w:p>
    <w:p>
      <w:r>
        <w:t>Estudian cómo se transfieren las memorias entre dominios en agentes de código. El hallazgo que nos afecta: las trazas de bajo nivel inducen transferencia NEGATIVA por especificidad excesiva, mientras que los insights de alto nivel generalizan. hub.db re-inyecta errores y decisiones concretos — justo la categoría marcada como dañina.</w:t>
      </w:r>
    </w:p>
    <w:p>
      <w:r>
        <w:rPr>
          <w:b/>
        </w:rPr>
        <w:t>Marco teórico y refuerzo independiente:</w:t>
      </w:r>
    </w:p>
    <w:p>
      <w:r>
        <w:t>Su memoria está particionada por benchmark, no por repositorio, y su retrieval es asesor: las memorias se anteponen al system prompt y el modelo puede ignorarlas. El refuerzo llega del paper de Apple (2607.09493), que cuantifica lo mismo: 71% de acierto con historia completa frente a 79% sin memoria. La re-inyección indiscriminada empeora al agente. Y GovMem (2607.02579) añade que la repetición correlacionada no es evidencia independiente, con un acuerdo humano de solo κ=0,208 sobre qué merece promoción.</w:t>
      </w:r>
    </w:p>
    <w:p>
      <w:r>
        <w:rPr>
          <w:b/>
        </w:rPr>
        <w:t>Diferencias con APEX:</w:t>
      </w:r>
    </w:p>
    <w:p>
      <w:r>
        <w:t>Es simultáneamente un ataque y un fundamento de diseño. Ataque: un revisor dirá que re-inyectamos justo lo que daña. Fundamento: justifica por qué hub.db debería ABSTRAER antes de inyectar, y por qué el gate importa. La respuesta es medir transfer precision y declararlo como limitación explícita donde no se pueda medir. El silencio aquí no es opción; convertir el arma del revisor en metodología, sí.</w:t>
      </w:r>
    </w:p>
    <w:p>
      <w:pPr>
        <w:pBdr>
          <w:bottom w:val="single" w:sz="6" w:space="1" w:color="BFBFBF"/>
        </w:pBdr>
      </w:pPr>
    </w:p>
    <w:p>
      <w:pPr>
        <w:pStyle w:val="Heading2"/>
      </w:pPr>
      <w:r>
        <w:rPr>
          <w:rFonts w:ascii="Calibri" w:hAnsi="Calibri"/>
          <w:b/>
          <w:color w:val="1F4E79"/>
          <w:sz w:val="26"/>
        </w:rPr>
        <w:t>9. Ma et al. (2026) — mata apex-doctor como novedad aislada</w:t>
      </w:r>
    </w:p>
    <w:p>
      <w:r>
        <w:rPr>
          <w:b/>
        </w:rPr>
        <w:t xml:space="preserve">Título: </w:t>
      </w:r>
      <w:r>
        <w:t>AutoSpec: Safety Rule Evolution for LLM Agents via Inductive Logic Programming (PREPRINT)</w:t>
      </w:r>
    </w:p>
    <w:p>
      <w:r>
        <w:rPr>
          <w:b/>
        </w:rPr>
        <w:t xml:space="preserve">Link: </w:t>
      </w:r>
      <w:hyperlink r:id="rId17">
        <w:r>
          <w:rPr>
            <w:color w:val="0563C1"/>
            <w:u w:val="single"/>
          </w:rPr>
          <w:t>https://arxiv.org/abs/2606.24245</w:t>
        </w:r>
      </w:hyperlink>
    </w:p>
    <w:p>
      <w:r>
        <w:rPr>
          <w:b/>
        </w:rPr>
        <w:t xml:space="preserve">Año: </w:t>
      </w:r>
      <w:r>
        <w:t>Junio 2026 · Zhejiang University of Technology et al.</w:t>
      </w:r>
    </w:p>
    <w:p>
      <w:r>
        <w:rPr>
          <w:b/>
        </w:rPr>
        <w:t>Resumen Rápido</w:t>
      </w:r>
    </w:p>
    <w:p>
      <w:r>
        <w:t>Evolución determinista de reglas de seguridad minadas a partir de fallos, vía Inductive Logic Programming. Es el bucle de apex-doctor, pero con rigor formal: 'esto permite que la capa simbólica se auto-mejore con el tiempo preservando sus ventajas: decisiones deterministas, coste de inferencia cero y auditabilidad'.</w:t>
      </w:r>
    </w:p>
    <w:p>
      <w:r>
        <w:rPr>
          <w:b/>
        </w:rPr>
        <w:t>Diferencias con APEX:</w:t>
      </w:r>
    </w:p>
    <w:p>
      <w:r>
        <w:t>No refuta el hueco, y la evidencia es la más limpia de todo el barrido porque es espacio negativo medido: sobre 71.690 caracteres de texto completo, 'phase' aparece CERO veces, 'lifecycle' cero y 'requirement' cero. No es un paper que trate el ciclo de vida débilmente — el concepto está ausente. Sus reglas son predicados de seguridad por evento sobre un trigger fijo, sin memoria cross-project y sobre un orquestador propio. Pero mata cualquier reclamación de apex-doctor como novedad en solitario: si nuestro bucle no aporta medida por encima de gates estáticos, apex-doctor es una versión peor de AutoSpec.</w:t>
      </w:r>
    </w:p>
    <w:p>
      <w:pPr>
        <w:pBdr>
          <w:bottom w:val="single" w:sz="6" w:space="1" w:color="BFBFBF"/>
        </w:pBdr>
      </w:pPr>
    </w:p>
    <w:p>
      <w:pPr>
        <w:pStyle w:val="Heading2"/>
      </w:pPr>
      <w:r>
        <w:rPr>
          <w:rFonts w:ascii="Calibri" w:hAnsi="Calibri"/>
          <w:b/>
          <w:color w:val="1F4E79"/>
          <w:sz w:val="26"/>
        </w:rPr>
        <w:t>10. Taghavi &amp; Bhavani (2026) — el listón de evaluación que nos van a poner</w:t>
      </w:r>
    </w:p>
    <w:p>
      <w:r>
        <w:rPr>
          <w:b/>
        </w:rPr>
        <w:t xml:space="preserve">Título: </w:t>
      </w:r>
      <w:r>
        <w:t>Spec Kit Agents: Context-Grounded Agentic Workflows (PREPRINT)</w:t>
      </w:r>
    </w:p>
    <w:p>
      <w:r>
        <w:rPr>
          <w:b/>
        </w:rPr>
        <w:t xml:space="preserve">Link: </w:t>
      </w:r>
      <w:hyperlink r:id="rId18">
        <w:r>
          <w:rPr>
            <w:color w:val="0563C1"/>
            <w:u w:val="single"/>
          </w:rPr>
          <w:t>https://arxiv.org/abs/2604.05278</w:t>
        </w:r>
      </w:hyperlink>
    </w:p>
    <w:p>
      <w:r>
        <w:rPr>
          <w:b/>
        </w:rPr>
        <w:t xml:space="preserve">Año: </w:t>
      </w:r>
      <w:r>
        <w:t>7 abr 2026 · CC BY 4.0</w:t>
      </w:r>
    </w:p>
    <w:p>
      <w:r>
        <w:rPr>
          <w:b/>
        </w:rPr>
        <w:t>Resumen Rápido</w:t>
      </w:r>
    </w:p>
    <w:p>
      <w:r>
        <w:t>Añaden a Spec Kit una capa de grounding: hooks de discovery read-only que recogen evidencia del repositorio antes de cada etapa. 'Este diseño adelanta la detección de errores, capturando rutas alucinadas, dependencias que faltan o planes inviables antes de que la generación de código componga los errores.' Tras cada fase, un validador comprueba el artefacto generado.</w:t>
      </w:r>
    </w:p>
    <w:p>
      <w:r>
        <w:rPr>
          <w:b/>
        </w:rPr>
        <w:t xml:space="preserve">Cómo lo evalúan: </w:t>
      </w:r>
      <w:r>
        <w:t>Aquí está su relevancia real para nosotros: 128 runs, 32 features, 5 repos, Wilcoxon signed-rank con p&lt;0,05, LLM-as-judge compuesto y SWE-bench Lite. Es el precedente que un revisor levantará para exigirnos evaluación de hooks por fase sobre un SDLC.</w:t>
      </w:r>
    </w:p>
    <w:p>
      <w:r>
        <w:rPr>
          <w:b/>
        </w:rPr>
        <w:t>Diferencias con APEX:</w:t>
      </w:r>
    </w:p>
    <w:p>
      <w:pPr>
        <w:pStyle w:val="ListNumber"/>
      </w:pPr>
      <w:r>
        <w:rPr>
          <w:b/>
        </w:rPr>
        <w:t xml:space="preserve">SIN BLOQUEO Y SIN BUCLE: </w:t>
      </w:r>
      <w:r>
        <w:t>Sus hooks son de grounding, read-only. Y sus checkpoints de revisión humana 'se auto-aprueban', así que su gating es más débil de lo que el título sugiere.</w:t>
      </w:r>
    </w:p>
    <w:p>
      <w:pPr>
        <w:pStyle w:val="ListNumber"/>
      </w:pPr>
      <w:r>
        <w:rPr>
          <w:b/>
        </w:rPr>
        <w:t xml:space="preserve">SU EFECTO NOS DA LA ESCALERA DE ABLACIÓN: </w:t>
      </w:r>
      <w:r>
        <w:t>Su efecto principal es +0,15 sobre 5,0 (+3,0%) y +1,7% en SWE-bench Lite, con grounding, sin bloqueo ni bucle. Eso define la ablación natural que APEX debe correr: grounding-only (ellos) → grounding+blocking → grounding+blocking+loop. Si nuestro bucle no bate un gate estático congelado, la pierna de auto-mejora se queda sin apoyo empírico.</w:t>
      </w:r>
    </w:p>
    <w:p>
      <w:pPr>
        <w:pBdr>
          <w:bottom w:val="single" w:sz="6" w:space="1" w:color="BFBFBF"/>
        </w:pBdr>
      </w:pPr>
    </w:p>
    <w:p>
      <w:pPr>
        <w:pStyle w:val="Heading2"/>
      </w:pPr>
      <w:r>
        <w:rPr>
          <w:rFonts w:ascii="Calibri" w:hAnsi="Calibri"/>
          <w:b/>
          <w:color w:val="1F4E79"/>
          <w:sz w:val="26"/>
        </w:rPr>
        <w:t>11. Zhou et al. (2026) — transferencia cross-repo real, pero en setup</w:t>
      </w:r>
    </w:p>
    <w:p>
      <w:r>
        <w:rPr>
          <w:b/>
        </w:rPr>
        <w:t xml:space="preserve">Título: </w:t>
      </w:r>
      <w:r>
        <w:t>SetupX: Can LLM Agents Learn from Past Failures in Functionality-Correct Code Repository Setup? (PREPRINT)</w:t>
      </w:r>
    </w:p>
    <w:p>
      <w:r>
        <w:rPr>
          <w:b/>
        </w:rPr>
        <w:t xml:space="preserve">Link: </w:t>
      </w:r>
      <w:hyperlink r:id="rId19">
        <w:r>
          <w:rPr>
            <w:color w:val="0563C1"/>
            <w:u w:val="single"/>
          </w:rPr>
          <w:t>https://arxiv.org/abs/2605.26186</w:t>
        </w:r>
      </w:hyperlink>
    </w:p>
    <w:p>
      <w:r>
        <w:rPr>
          <w:b/>
        </w:rPr>
        <w:t xml:space="preserve">Año: </w:t>
      </w:r>
      <w:r>
        <w:t>v1 25 may 2026 · v2 27 may 2026 · Shanghai Jiao Tong University et al.</w:t>
      </w:r>
    </w:p>
    <w:p>
      <w:r>
        <w:rPr>
          <w:b/>
        </w:rPr>
        <w:t>Resumen Rápido</w:t>
      </w:r>
    </w:p>
    <w:p>
      <w:r>
        <w:t>Aprenden de fallos pasados en el setup de repositorios y transfieren ese conocimiento entre repos, verificado por ejecución real. Baseline Claude Code 73% → SetupX 92%. Corrección numérica útil: el abstract dice 'over 19%' de forma laxa, pero la sección 6.3 precisa que son 19 puntos porcentuales.</w:t>
      </w:r>
    </w:p>
    <w:p>
      <w:r>
        <w:rPr>
          <w:b/>
        </w:rPr>
        <w:t>Diferencias con APEX:</w:t>
      </w:r>
    </w:p>
    <w:p>
      <w:r>
        <w:t>Es el ocupante real de la intersección aprender-de-outcomes más transferir-entre-repos, así que no podemos decir que esa intersección esté vacía. Pero su bloqueo es el inverso exacto del nuestro: el protocolo Prosecutor-Judge se autodefine como 'una auditoría post-hoc independiente estructuralmente desacoplada del setup', y ambos adjudicadores son agentes LLM (qwen3.5-plus). Todo veto pasa por juicio LLM DESPUÉS de que las acciones se ejecuten. El único umbral determinista (coseno ≥ 0,85) gatea la ingesta de conocimiento, no la acción. Grep de 'PreToolUse', 'fail-closed' y 'phase gate' sobre el texto completo: cero resultados en el cuerpo. Además su dominio es setup de repositorios, no un ciclo de vida de producto.</w:t>
      </w:r>
    </w:p>
    <w:p>
      <w:pPr>
        <w:pBdr>
          <w:bottom w:val="single" w:sz="6" w:space="1" w:color="BFBFBF"/>
        </w:pBdr>
      </w:pPr>
    </w:p>
    <w:p>
      <w:pPr>
        <w:pStyle w:val="Heading2"/>
      </w:pPr>
      <w:r>
        <w:rPr>
          <w:rFonts w:ascii="Calibri" w:hAnsi="Calibri"/>
          <w:b/>
          <w:color w:val="1F4E79"/>
          <w:sz w:val="26"/>
        </w:rPr>
        <w:t>12. Trabajos que el barrido del 11-12 jul no vio</w:t>
      </w:r>
    </w:p>
    <w:p>
      <w:r>
        <w:t>El barrido anterior se cerró el 11-12 de julio. Estos aparecieron después, o estaban y se pasaron por alto — la cadencia del campo es un vecino cada quince días:</w:t>
      </w:r>
    </w:p>
    <w:p>
      <w:pPr>
        <w:pStyle w:val="ListBullet"/>
      </w:pPr>
      <w:r>
        <w:t>AHE (arXiv 2604.25850, Fudan, v4 18 may) — evolución automática del harness dirigida por observabilidad, 69,7% → 77,0% en Terminal-Bench 2, y el harness congelado transfiere a SWE-bench-verified sin re-evolución. Es el bucle de auto-mejora más cercano y el barrido anterior lo ignoró por completo.</w:t>
      </w:r>
    </w:p>
    <w:p>
      <w:pPr>
        <w:pStyle w:val="ListBullet"/>
      </w:pPr>
      <w:r>
        <w:t>Gated Semantic Quality-Diversity (arXiv 2607.13683, 15 jul) — bloqueo determinista más bucle, con significance testing determinista y tres gates aplicados en orden creciente de coste. Apareció un día después de cerrar el barrido anterior. Su bucle es metodológicamente mejor que el de APEX.</w:t>
      </w:r>
    </w:p>
    <w:p>
      <w:pPr>
        <w:pStyle w:val="ListBullet"/>
      </w:pPr>
      <w:r>
        <w:t>Davis et al. (arXiv 2607.01087, Purdue, v2 4 jul) — publica nuestra tesis de auto-mejora como modelo de proceso empírico ('los controles descubiertos a partir de fallos se convierten en gobernanza duradera'), sobre Claude sin modificar, con 420 KLOC.</w:t>
      </w:r>
    </w:p>
    <w:p>
      <w:pPr>
        <w:pStyle w:val="ListBullet"/>
      </w:pPr>
      <w:r>
        <w:t>vibecode-pro-max-kit (1.041 estrellas) — RIPER-5 de 7 fases con hooks PreToolUse exit-2 verificados en scout-block.cjs. Es el ocupante más incómodo de la intersección gates+bloqueo+bucle porque es GitHub, no un paper: un revisor lo encuentra en cinco minutos.</w:t>
      </w:r>
    </w:p>
    <w:p>
      <w:pPr>
        <w:pStyle w:val="ListBullet"/>
      </w:pPr>
      <w:r>
        <w:t>ECC (230.244 estrellas, MIT, push 14 jul) — PROMOTE_CONFIDENCE_THRESHOLD = 0.8 y PROMOTE_MIN_PROJECTS = 2 existen literalmente en instinct-cli.py (1.956 líneas descargadas y leídas). PERO el grep de 'grader|verdict|test_result|pass_rate|regression' devuelve CERO coincidencias: su confidence es un campo de frontmatter que el propio modelo se escribe, con 'current[key] = 0.5 # default on malformed confidence'. No aprende de outcomes: propaga aserciones auto-declaradas. Ese matiz es la mitad del paper.</w:t>
      </w:r>
    </w:p>
    <w:p>
      <w:pPr>
        <w:pStyle w:val="ListBullet"/>
      </w:pPr>
      <w:r>
        <w:t>GovMem (arXiv 2607.02579, 30 jun) — gobierna si una lección merece escribirse. No refuta (su bucle está ausente por decisión propia: 'enmarcamos el manuscrito como diagnóstico'), pero cuantifica lo difícil que es nuestro problema.</w:t>
      </w:r>
    </w:p>
    <w:p>
      <w:pPr>
        <w:pBdr>
          <w:bottom w:val="single" w:sz="6" w:space="1" w:color="BFBFBF"/>
        </w:pBdr>
      </w:pPr>
    </w:p>
    <w:p>
      <w:pPr>
        <w:pStyle w:val="Heading1"/>
      </w:pPr>
      <w:r>
        <w:rPr>
          <w:rFonts w:ascii="Calibri" w:hAnsi="Calibri"/>
          <w:b/>
          <w:color w:val="1F4E79"/>
          <w:sz w:val="30"/>
        </w:rPr>
        <w:t>Notas generales del área tras la lectura</w:t>
      </w:r>
    </w:p>
    <w:p>
      <w:r>
        <w:t>Patrón común del área: los cinco rasgos de APEX existen todos por separado, y ninguno es exclusivo nuestro. Lo que no aparece en ningún sistema verificado es la manera en que se combinan. Concretamente:</w:t>
      </w:r>
    </w:p>
    <w:p>
      <w:pPr>
        <w:pStyle w:val="ListBullet"/>
      </w:pPr>
      <w:r>
        <w:t>Todo lo que cruza el límite del repositorio llega como CONTEXTO ASESOR y AUTO-DECLARADO. ProjectMem avisa y se silencia con --snooze 2h (y sus autores defienden que debe ser así por los falsos positivos). ECC promueve instintos sobre una confidence que el propio modelo se escribe, sin ninguna señal de outcome. vibecosystem inyecta el patrón promovido como contexto de prompt ('injected as global pattern', cero ocurrencias de PreToolUse, deny o block en 21 KB).</w:t>
      </w:r>
    </w:p>
    <w:p>
      <w:pPr>
        <w:pStyle w:val="ListBullet"/>
      </w:pPr>
      <w:r>
        <w:t>Todo gate determinista pre-LLM guarda filesystem, secrets, git o admisión de artefactos, con reglas escritas a mano o aprendidas offline de corpus etiquetados dentro de un solo proyecto. GRASP, Regimes, Self-Harness y SkillRevise gatean admisión de artefactos. statewright gatea qué herramientas por estado — y sus transiciones las pide el propio agente. ProjectMem gatea escrituras de memoria, y solo avisa.</w:t>
      </w:r>
    </w:p>
    <w:p>
      <w:pPr>
        <w:pStyle w:val="ListBullet"/>
      </w:pPr>
      <w:r>
        <w:t>El debate determinista frente a LLM-judge está abierto y Rel(AI)Build lo articula mejor que nadie: 'un componente no determinista no puede servir de control fiable de otro componente no determinista'. Hay que responder a eso, no rodearlo.</w:t>
      </w:r>
    </w:p>
    <w:p>
      <w:pPr>
        <w:pStyle w:val="ListBullet"/>
      </w:pPr>
      <w:r>
        <w:t>La cadencia de publicación es un vecino adyacente cada quince días: SetupX (may) → ProjectMem (jun) → Davis v2 (4 jul) → Phantom Guardrails (13 jul) → Gated QD (15 jul). En seis meses no queda hueco.</w:t>
      </w:r>
    </w:p>
    <w:p>
      <w:pPr>
        <w:pStyle w:val="ListBullet"/>
      </w:pPr>
      <w:r>
        <w:t>La barra de evaluación de este nicho está BAJA hoy: ProjectMem está en arXiv con 207 eventos, self-study y costes estimados, no medidos. En octubre no lo estará.</w:t>
      </w:r>
    </w:p>
    <w:p>
      <w:pPr>
        <w:pStyle w:val="ListBullet"/>
      </w:pPr>
      <w:r>
        <w:t>METR abandonó públicamente el diseño RCT a nivel de tarea (update 24 feb 2026: -18% con intervalo de confianza de -38% a +9%; los desarrolladores se negaban a trabajar sin IA incluso bajando de 150$ a 50$/hora). Es nuestra justificación publicada para no hacer un RCT.</w:t>
      </w:r>
    </w:p>
    <w:p>
      <w:pPr>
        <w:pStyle w:val="ListBullet"/>
      </w:pPr>
      <w:r>
        <w:t>Riesgo de vendor: Google Antigravity ya envía aprendizaje automático con scope cross-workspace, pero se está manifestando como BUG, no como feature — hay un hilo oficial titulado 'Chat history and Knowledge should be Scoped to workspace, not shared globally', y un usuario describe que 'el agente intenta hacer cosas derivadas de una carpeta totalmente distinta; es como navegar con el mapa equivocado'. Es transferencia indiscriminada sin gate: exactamente la transferencia negativa que documenta MTL. Antigravity demuestra en producción que la memoria cross-project sin gate es un bug. Pendiente de verificar a mano: antigravity.google/docs/knowledge es JS-rendered y no se pudo leer automáticamente.</w:t>
      </w:r>
    </w:p>
    <w:p>
      <w:pPr>
        <w:pStyle w:val="ListBullet"/>
      </w:pPr>
      <w:r>
        <w:t>Colisión de nombres a resolver: skill-forge choca con sheepxux/skill-forge (MIT, publicado en ClawHub, y con un gate de no-regresión por replay que APEX no tiene) y con un 'SkillForge' del survey 2606.11435. Renombrar a rule-forge y citar ambos como prior art convergente.</w:t>
      </w:r>
    </w:p>
    <w:p>
      <w:pPr>
        <w:pStyle w:val="ListBullet"/>
      </w:pPr>
      <w:r>
        <w:t>Corrección de miscita obligada del barrido anterior: TDD-Governance (2604.26615) es prompt-engineered, NO bloqueo determinista. Citarlo como refutador invierte su papel.</w:t>
      </w:r>
    </w:p>
    <w:p>
      <w:pPr>
        <w:pStyle w:val="ListBullet"/>
      </w:pPr>
      <w:r>
        <w:t>No citar sin verificación manual: Hill (SSRN 6515898) devolvió HTTP 403 y nadie ha visto el paper — si es real, ataca la premisa de los gates con 100.247 PRs y specs asociadas a MÁS defectos. Tampoco: Life-Harness, Confucius, MemRL, AgentCL, ni las métricas de SkillsBench (secondhand).</w:t>
      </w:r>
    </w:p>
    <w:p>
      <w:pPr>
        <w:pBdr>
          <w:bottom w:val="single" w:sz="6" w:space="1" w:color="BFBFBF"/>
        </w:pBdr>
      </w:pPr>
    </w:p>
    <w:p>
      <w:pPr>
        <w:pStyle w:val="Heading1"/>
      </w:pPr>
      <w:r>
        <w:rPr>
          <w:rFonts w:ascii="Calibri" w:hAnsi="Calibri"/>
          <w:b/>
          <w:color w:val="1F4E79"/>
          <w:sz w:val="30"/>
        </w:rPr>
        <w:t>Gap identificado</w:t>
      </w:r>
    </w:p>
    <w:p>
      <w:r>
        <w:t>El barrido anterior sostenía que dos intersecciones estaban vacías y que ahí vivía la novedad de APEX. Eso ha dejado de ser cierto en cinco días: NOVA y vibecode-pro-max-kit ocupan gates+bloqueo+bucle; SetupX y ECC ocupan bucle+cross-project. No se puede vender el hueco como vacío — un revisor con GitHub lo comprueba en cinco minutos y se lleva por delante toda la reclamación de novedad.</w:t>
      </w:r>
    </w:p>
    <w:p>
      <w:r>
        <w:t>Lo que ocho ángulos de búsqueda independientes no encontraron en ninguna parte es más estrecho, pero es verdad y está verificado en código fuente, no en prosa: en todos los sistemas revisados, la lección que cruza el límite del repositorio llega como contexto asesor que el modelo puede ignorar, y todo veto determinista protege recursos (filesystem, secrets, git, artefactos) en lugar del proceso. Nadie gatea si puedes SALIR de una fase.</w:t>
      </w:r>
    </w:p>
    <w:p>
      <w:r>
        <w:t>APEX ocupa ese espacio: es el primer harness sobre un agente comercial sin modificar en el que una lección derivada de outcomes de ejecución en un repositorio se re-inyecta en otro como precondición fail-closed sobre una transición de fase del ciclo de vida, en lugar de como contexto asesor. Los dos ejes que lo sostienen —asesor frente a vinculante, y auto-declarado frente a derivado de outcomes— son los que separan a APEX de ProjectMem, de ECC y de statewright.</w:t>
      </w:r>
    </w:p>
    <w:p>
      <w:r>
        <w:t>Frase para el paper: 'APEX transfers outcome-derived lessons across repositories as deterministically enforced phase-entry preconditions, not as advisory context — a combination we could not locate in prior work as of July 2026.'</w:t>
      </w:r>
    </w:p>
    <w:p>
      <w:r>
        <w:t>Es más pequeño de lo que queríamos. Es verdad. Y con números se defiende — pero solo con números: sin medir la tasa de fabricación del doctor (Phantom Guardrails) y la transfer precision (MTL), el bucle es infalsable y el hueco es una afirmación de arquitectura, no un resultado.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6.27243" TargetMode="External"/><Relationship Id="rId10" Type="http://schemas.openxmlformats.org/officeDocument/2006/relationships/hyperlink" Target="https://arxiv.org/abs/2606.12329" TargetMode="External"/><Relationship Id="rId11" Type="http://schemas.openxmlformats.org/officeDocument/2006/relationships/hyperlink" Target="https://github.com/statewright/statewright" TargetMode="External"/><Relationship Id="rId12" Type="http://schemas.openxmlformats.org/officeDocument/2006/relationships/hyperlink" Target="https://arxiv.org/abs/2606.13174" TargetMode="External"/><Relationship Id="rId13" Type="http://schemas.openxmlformats.org/officeDocument/2006/relationships/hyperlink" Target="https://arxiv.org/abs/2606.05922" TargetMode="External"/><Relationship Id="rId14" Type="http://schemas.openxmlformats.org/officeDocument/2006/relationships/hyperlink" Target="https://arxiv.org/abs/2606.26924" TargetMode="External"/><Relationship Id="rId15" Type="http://schemas.openxmlformats.org/officeDocument/2006/relationships/hyperlink" Target="https://arxiv.org/abs/2607.13083" TargetMode="External"/><Relationship Id="rId16" Type="http://schemas.openxmlformats.org/officeDocument/2006/relationships/hyperlink" Target="https://arxiv.org/abs/2604.14004" TargetMode="External"/><Relationship Id="rId17" Type="http://schemas.openxmlformats.org/officeDocument/2006/relationships/hyperlink" Target="https://arxiv.org/abs/2606.24245" TargetMode="External"/><Relationship Id="rId18" Type="http://schemas.openxmlformats.org/officeDocument/2006/relationships/hyperlink" Target="https://arxiv.org/abs/2604.05278" TargetMode="External"/><Relationship Id="rId19" Type="http://schemas.openxmlformats.org/officeDocument/2006/relationships/hyperlink" Target="https://arxiv.org/abs/2605.26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