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Calibri" w:hAnsi="Calibri"/>
          <w:b/>
          <w:i w:val="0"/>
          <w:color w:val="00704A"/>
          <w:sz w:val="52"/>
        </w:rPr>
        <w:t>Starbucks Rewards Program</w:t>
      </w:r>
    </w:p>
    <w:p>
      <w:pPr>
        <w:jc w:val="center"/>
      </w:pPr>
      <w:r>
        <w:rPr>
          <w:rFonts w:ascii="Calibri" w:hAnsi="Calibri"/>
          <w:b/>
          <w:i w:val="0"/>
          <w:color w:val="1E3932"/>
          <w:sz w:val="36"/>
        </w:rPr>
        <w:t>Customer Analytics Report</w:t>
      </w:r>
    </w:p>
    <w:p>
      <w:pPr>
        <w:spacing w:before="120"/>
        <w:jc w:val="center"/>
      </w:pPr>
      <w:r>
        <w:rPr>
          <w:rFonts w:ascii="Calibri" w:hAnsi="Calibri"/>
          <w:b w:val="0"/>
          <w:i/>
          <w:color w:val="404040"/>
          <w:sz w:val="24"/>
        </w:rPr>
        <w:t>End-to-End Analysis: Segmentation · A/B Testing · CLV · Funnel · Channel Performance</w:t>
      </w:r>
    </w:p>
    <w:p/>
    <w:p>
      <w:pPr>
        <w:jc w:val="center"/>
      </w:pPr>
      <w:r>
        <w:rPr>
          <w:rFonts w:ascii="Calibri" w:hAnsi="Calibri"/>
          <w:b w:val="0"/>
          <w:i w:val="0"/>
          <w:color w:val="404040"/>
          <w:sz w:val="22"/>
        </w:rPr>
        <w:t>Venkat Kowshik  |  May 2026  |  University of Washington — Foster MSBA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0704A"/>
          <w:sz w:val="32"/>
        </w:rPr>
        <w:t>1. Executive Summary</w:t>
      </w:r>
    </w:p>
    <w:p>
      <w:pPr>
        <w:spacing w:after="80"/>
      </w:pPr>
      <w:r>
        <w:rPr>
          <w:rFonts w:ascii="Calibri" w:hAnsi="Calibri"/>
          <w:b w:val="0"/>
          <w:i w:val="0"/>
          <w:color w:val="404040"/>
          <w:sz w:val="22"/>
        </w:rPr>
        <w:t>This project analyses the Starbucks Rewards mobile app dataset — a simulated representation of real customer behaviour during a 30-day promotional campaign. The study covers 17,000 loyalty members, 306,534 app events, and 10 distinct offers (BOGO, Discount, Informational) delivered across four channels: Email, Mobile App, Web, and Facebook / Instagram Ads. The goal is to answer three business questions: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Which customer segments drive the most value and how should they be treated differently?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Do BOGO offers outperform Discount offers — and at what cost?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Which channels deliver the best conversion and return on ad spend (ROAS)?</w:t>
      </w:r>
    </w:p>
    <w:p/>
    <w:p>
      <w:pPr>
        <w:spacing w:after="80"/>
      </w:pPr>
      <w:r>
        <w:rPr>
          <w:rFonts w:ascii="Calibri" w:hAnsi="Calibri"/>
          <w:b w:val="0"/>
          <w:i w:val="0"/>
          <w:color w:val="404040"/>
          <w:sz w:val="22"/>
        </w:rPr>
        <w:t>Key headline findings: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E3932"/>
          <w:sz w:val="22"/>
        </w:rPr>
        <w:t xml:space="preserve">Segmentation: </w:t>
      </w:r>
      <w:r>
        <w:rPr>
          <w:rFonts w:ascii="Calibri" w:hAnsi="Calibri"/>
          <w:b w:val="0"/>
          <w:i w:val="0"/>
          <w:color w:val="404040"/>
          <w:sz w:val="22"/>
        </w:rPr>
        <w:t>Champions (2% of customers) generate 14.7% of total revenue; High Spenders (31%) drive 46.6%.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E3932"/>
          <w:sz w:val="22"/>
        </w:rPr>
        <w:t xml:space="preserve">A/B Test: </w:t>
      </w:r>
      <w:r>
        <w:rPr>
          <w:rFonts w:ascii="Calibri" w:hAnsi="Calibri"/>
          <w:b w:val="0"/>
          <w:i w:val="0"/>
          <w:color w:val="404040"/>
          <w:sz w:val="22"/>
        </w:rPr>
        <w:t>Discount offers win — 62.5% conversion vs 55.5% for BOGO, with 26% lower CPA ($0.86 vs $1.15) and 26% higher ROAS (178× vs 142×).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E3932"/>
          <w:sz w:val="22"/>
        </w:rPr>
        <w:t xml:space="preserve">Channels: </w:t>
      </w:r>
      <w:r>
        <w:rPr>
          <w:rFonts w:ascii="Calibri" w:hAnsi="Calibri"/>
          <w:b w:val="0"/>
          <w:i w:val="0"/>
          <w:color w:val="404040"/>
          <w:sz w:val="22"/>
        </w:rPr>
        <w:t>Facebook / Instagram Ads deliver the highest average spend per conversion ($111) but the highest CPA ($1.26). Web delivers the lowest CPA ($0.96).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E3932"/>
          <w:sz w:val="22"/>
        </w:rPr>
        <w:t xml:space="preserve">Funnel: </w:t>
      </w:r>
      <w:r>
        <w:rPr>
          <w:rFonts w:ascii="Calibri" w:hAnsi="Calibri"/>
          <w:b w:val="0"/>
          <w:i w:val="0"/>
          <w:color w:val="404040"/>
          <w:sz w:val="22"/>
        </w:rPr>
        <w:t>Offer funnel drops 44% from receipt to completion — BOGO is viewed more (83%) but completed less than Discount (51% vs 59%).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0704A"/>
          <w:sz w:val="32"/>
        </w:rPr>
        <w:t>2. Dataset Overview</w:t>
      </w:r>
    </w:p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2.1 Source</w:t>
      </w:r>
    </w:p>
    <w:p>
      <w:pPr>
        <w:spacing w:after="80"/>
      </w:pPr>
      <w:r>
        <w:rPr>
          <w:rFonts w:ascii="Calibri" w:hAnsi="Calibri"/>
          <w:b w:val="0"/>
          <w:i w:val="0"/>
          <w:color w:val="404040"/>
          <w:sz w:val="22"/>
        </w:rPr>
        <w:t>Starbucks Rewards Mobile App Simulation Dataset (Udacity / Starbucks Capstone). Three raw JSON files were merged and cleaned to build the analysis pipeline.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File</w:t>
            </w:r>
          </w:p>
        </w:tc>
        <w:tc>
          <w:tcPr>
            <w:tcW w:type="dxa" w:w="2016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Records</w:t>
            </w:r>
          </w:p>
        </w:tc>
        <w:tc>
          <w:tcPr>
            <w:tcW w:type="dxa" w:w="5472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Key Fields</w:t>
            </w:r>
          </w:p>
        </w:tc>
      </w:tr>
      <w:tr>
        <w:tc>
          <w:tcPr>
            <w:tcW w:type="dxa" w:w="259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portfolio.json</w:t>
            </w:r>
          </w:p>
        </w:tc>
        <w:tc>
          <w:tcPr>
            <w:tcW w:type="dxa" w:w="201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10 offers</w:t>
            </w:r>
          </w:p>
        </w:tc>
        <w:tc>
          <w:tcPr>
            <w:tcW w:type="dxa" w:w="547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offer_id, offer_type, difficulty, reward, duration, channels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profile.json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17,000 customers</w:t>
            </w:r>
          </w:p>
        </w:tc>
        <w:tc>
          <w:tcPr>
            <w:tcW w:type="dxa" w:w="547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customer_id, age, income, gender, became_member_on</w:t>
            </w:r>
          </w:p>
        </w:tc>
      </w:tr>
      <w:tr>
        <w:tc>
          <w:tcPr>
            <w:tcW w:type="dxa" w:w="259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transcript.json</w:t>
            </w:r>
          </w:p>
        </w:tc>
        <w:tc>
          <w:tcPr>
            <w:tcW w:type="dxa" w:w="201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306,534 events</w:t>
            </w:r>
          </w:p>
        </w:tc>
        <w:tc>
          <w:tcPr>
            <w:tcW w:type="dxa" w:w="547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customer_id, event, time (hrs), value (nested dict)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2.2 Data Cleaning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2,508 customers with placeholder age = 118 were set to NaN (along with their income) — these are customers who did not share demographic data.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became_member_on converted from YYYYMMDD integer to datetime.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Nested value dict in transcript unpacked: offer_id, amount, and reward extracted as separate columns.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offer_id key appears as both "offer id" (with space) and "offer_id" (underscore) — both handled.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"social" channel renamed to "facebook_ads" to reflect actual platform.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14,492 customers retained after cleaning (85% of original 17,000).</w:t>
      </w:r>
    </w:p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2.3 Customer Demographics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44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mograph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4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888888"/>
          <w:sz w:val="18"/>
        </w:rPr>
        <w:t>Fig 1. Customer demographics — age distribution, income distribution, gender split, membership tenure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6048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03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Total customers (cleaned)</w:t>
            </w:r>
          </w:p>
        </w:tc>
        <w:tc>
          <w:tcPr>
            <w:tcW w:type="dxa" w:w="604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14,492</w:t>
            </w:r>
          </w:p>
        </w:tc>
      </w:tr>
      <w:tr>
        <w:tc>
          <w:tcPr>
            <w:tcW w:type="dxa" w:w="403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Average age</w:t>
            </w:r>
          </w:p>
        </w:tc>
        <w:tc>
          <w:tcPr>
            <w:tcW w:type="dxa" w:w="604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54.3 years (range: 18–101)</w:t>
            </w:r>
          </w:p>
        </w:tc>
      </w:tr>
      <w:tr>
        <w:tc>
          <w:tcPr>
            <w:tcW w:type="dxa" w:w="403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Median income</w:t>
            </w:r>
          </w:p>
        </w:tc>
        <w:tc>
          <w:tcPr>
            <w:tcW w:type="dxa" w:w="604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$63,000 (range: $30K–$120K)</w:t>
            </w:r>
          </w:p>
        </w:tc>
      </w:tr>
      <w:tr>
        <w:tc>
          <w:tcPr>
            <w:tcW w:type="dxa" w:w="403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Gender split</w:t>
            </w:r>
          </w:p>
        </w:tc>
        <w:tc>
          <w:tcPr>
            <w:tcW w:type="dxa" w:w="604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Male 57% · Female 41% · Other 2%</w:t>
            </w:r>
          </w:p>
        </w:tc>
      </w:tr>
      <w:tr>
        <w:tc>
          <w:tcPr>
            <w:tcW w:type="dxa" w:w="403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Average membership tenure</w:t>
            </w:r>
          </w:p>
        </w:tc>
        <w:tc>
          <w:tcPr>
            <w:tcW w:type="dxa" w:w="604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~3.5 years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0704A"/>
          <w:sz w:val="32"/>
        </w:rPr>
        <w:t>3. Customer Segmentation</w:t>
      </w:r>
    </w:p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3.1 RFM Analysis</w:t>
      </w:r>
    </w:p>
    <w:p>
      <w:pPr>
        <w:spacing w:after="80"/>
      </w:pPr>
      <w:r>
        <w:rPr>
          <w:rFonts w:ascii="Calibri" w:hAnsi="Calibri"/>
          <w:b w:val="0"/>
          <w:i w:val="0"/>
          <w:color w:val="404040"/>
          <w:sz w:val="22"/>
        </w:rPr>
        <w:t>Every customer was scored on three dimensions calculated over the 30-day observation window. Each dimension was binned into quintiles (1 = worst, 5 = best) and customers were grouped into five named RFM segments.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Dimension</w:t>
            </w:r>
          </w:p>
        </w:tc>
        <w:tc>
          <w:tcPr>
            <w:tcW w:type="dxa" w:w="432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360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16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Recency (R)</w:t>
            </w:r>
          </w:p>
        </w:tc>
        <w:tc>
          <w:tcPr>
            <w:tcW w:type="dxa" w:w="432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max(0, 30 − days_since_last_purchase)</w:t>
            </w:r>
          </w:p>
        </w:tc>
        <w:tc>
          <w:tcPr>
            <w:tcW w:type="dxa" w:w="360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Higher = purchased more recently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Frequency (F)</w:t>
            </w:r>
          </w:p>
        </w:tc>
        <w:tc>
          <w:tcPr>
            <w:tcW w:type="dxa" w:w="432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Count of transaction events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Higher = buys more often</w:t>
            </w:r>
          </w:p>
        </w:tc>
      </w:tr>
      <w:tr>
        <w:tc>
          <w:tcPr>
            <w:tcW w:type="dxa" w:w="216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Monetary (M)</w:t>
            </w:r>
          </w:p>
        </w:tc>
        <w:tc>
          <w:tcPr>
            <w:tcW w:type="dxa" w:w="432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Sum of all transaction amounts ($)</w:t>
            </w:r>
          </w:p>
        </w:tc>
        <w:tc>
          <w:tcPr>
            <w:tcW w:type="dxa" w:w="360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Higher = spends more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RFM Segment</w:t>
            </w:r>
          </w:p>
        </w:tc>
        <w:tc>
          <w:tcPr>
            <w:tcW w:type="dxa" w:w="144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Customers</w:t>
            </w:r>
          </w:p>
        </w:tc>
        <w:tc>
          <w:tcPr>
            <w:tcW w:type="dxa" w:w="1008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Share</w:t>
            </w:r>
          </w:p>
        </w:tc>
        <w:tc>
          <w:tcPr>
            <w:tcW w:type="dxa" w:w="504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Profile</w:t>
            </w:r>
          </w:p>
        </w:tc>
      </w:tr>
      <w:tr>
        <w:tc>
          <w:tcPr>
            <w:tcW w:type="dxa" w:w="259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Champions</w:t>
            </w:r>
          </w:p>
        </w:tc>
        <w:tc>
          <w:tcPr>
            <w:tcW w:type="dxa" w:w="144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2,673</w:t>
            </w:r>
          </w:p>
        </w:tc>
        <w:tc>
          <w:tcPr>
            <w:tcW w:type="dxa" w:w="100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18.4%</w:t>
            </w:r>
          </w:p>
        </w:tc>
        <w:tc>
          <w:tcPr>
            <w:tcW w:type="dxa" w:w="504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Recent, frequent, high-spend — brand advocates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Loyal Customers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4,712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32.5%</w:t>
            </w:r>
          </w:p>
        </w:tc>
        <w:tc>
          <w:tcPr>
            <w:tcW w:type="dxa" w:w="50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Regular purchasers, moderate spend</w:t>
            </w:r>
          </w:p>
        </w:tc>
      </w:tr>
      <w:tr>
        <w:tc>
          <w:tcPr>
            <w:tcW w:type="dxa" w:w="259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Potential Loyalists</w:t>
            </w:r>
          </w:p>
        </w:tc>
        <w:tc>
          <w:tcPr>
            <w:tcW w:type="dxa" w:w="144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3,944</w:t>
            </w:r>
          </w:p>
        </w:tc>
        <w:tc>
          <w:tcPr>
            <w:tcW w:type="dxa" w:w="100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27.2%</w:t>
            </w:r>
          </w:p>
        </w:tc>
        <w:tc>
          <w:tcPr>
            <w:tcW w:type="dxa" w:w="504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Recent but not yet high-frequency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At Risk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2,020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13.9%</w:t>
            </w:r>
          </w:p>
        </w:tc>
        <w:tc>
          <w:tcPr>
            <w:tcW w:type="dxa" w:w="50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Were good customers, declining recency</w:t>
            </w:r>
          </w:p>
        </w:tc>
      </w:tr>
      <w:tr>
        <w:tc>
          <w:tcPr>
            <w:tcW w:type="dxa" w:w="259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Lost</w:t>
            </w:r>
          </w:p>
        </w:tc>
        <w:tc>
          <w:tcPr>
            <w:tcW w:type="dxa" w:w="144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1,143</w:t>
            </w:r>
          </w:p>
        </w:tc>
        <w:tc>
          <w:tcPr>
            <w:tcW w:type="dxa" w:w="100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7.9%</w:t>
            </w:r>
          </w:p>
        </w:tc>
        <w:tc>
          <w:tcPr>
            <w:tcW w:type="dxa" w:w="504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Low on all three dimensions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086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fm_seg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08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888888"/>
          <w:sz w:val="18"/>
        </w:rPr>
        <w:t>Fig 2. RFM segment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0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fm_distribu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888888"/>
          <w:sz w:val="18"/>
        </w:rPr>
        <w:t>Fig 3. Distribution of Recency, Frequency, and Monetary values</w:t>
      </w:r>
    </w:p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3.2 K-Means Clustering</w:t>
      </w:r>
    </w:p>
    <w:p>
      <w:pPr>
        <w:spacing w:after="80"/>
      </w:pPr>
      <w:r>
        <w:rPr>
          <w:rFonts w:ascii="Calibri" w:hAnsi="Calibri"/>
          <w:b w:val="0"/>
          <w:i w:val="0"/>
          <w:color w:val="404040"/>
          <w:sz w:val="22"/>
        </w:rPr>
        <w:t>K-Means clustering was applied to standardised RFM + demographic features to discover behavioural segments that go beyond rule-based RFM bins. The optimal K was selected using the Elbow Method and Silhouette Score.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854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kmeans_selec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5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888888"/>
          <w:sz w:val="18"/>
        </w:rPr>
        <w:t>Fig 4. Elbow curve and Silhouette Score — K=4 selected as optimal</w:t>
      </w:r>
    </w:p>
    <w:p>
      <w:pPr>
        <w:spacing w:after="80"/>
      </w:pPr>
      <w:r>
        <w:rPr>
          <w:rFonts w:ascii="Calibri" w:hAnsi="Calibri"/>
          <w:b w:val="0"/>
          <w:i w:val="0"/>
          <w:color w:val="404040"/>
          <w:sz w:val="22"/>
        </w:rPr>
        <w:t>The four clusters were auto-labelled by descending average monetary spend: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864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Cluster</w:t>
            </w:r>
          </w:p>
        </w:tc>
        <w:tc>
          <w:tcPr>
            <w:tcW w:type="dxa" w:w="2448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Label</w:t>
            </w:r>
          </w:p>
        </w:tc>
        <w:tc>
          <w:tcPr>
            <w:tcW w:type="dxa" w:w="144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Customers</w:t>
            </w:r>
          </w:p>
        </w:tc>
        <w:tc>
          <w:tcPr>
            <w:tcW w:type="dxa" w:w="1728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Avg Spend ($)</w:t>
            </w:r>
          </w:p>
        </w:tc>
        <w:tc>
          <w:tcPr>
            <w:tcW w:type="dxa" w:w="1728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Avg Frequency</w:t>
            </w:r>
          </w:p>
        </w:tc>
        <w:tc>
          <w:tcPr>
            <w:tcW w:type="dxa" w:w="1872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Avg Income ($)</w:t>
            </w:r>
          </w:p>
        </w:tc>
        <w:tc>
          <w:tcPr>
            <w:tcW w:type="dxa" w:w="1008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Avg Age</w:t>
            </w:r>
          </w:p>
        </w:tc>
      </w:tr>
      <w:tr>
        <w:tc>
          <w:tcPr>
            <w:tcW w:type="dxa" w:w="864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</w:t>
            </w:r>
          </w:p>
        </w:tc>
        <w:tc>
          <w:tcPr>
            <w:tcW w:type="dxa" w:w="244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Champions</w:t>
            </w:r>
          </w:p>
        </w:tc>
        <w:tc>
          <w:tcPr>
            <w:tcW w:type="dxa" w:w="144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289</w:t>
            </w:r>
          </w:p>
        </w:tc>
        <w:tc>
          <w:tcPr>
            <w:tcW w:type="dxa" w:w="172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$776</w:t>
            </w:r>
          </w:p>
        </w:tc>
        <w:tc>
          <w:tcPr>
            <w:tcW w:type="dxa" w:w="172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10.6</w:t>
            </w:r>
          </w:p>
        </w:tc>
        <w:tc>
          <w:tcPr>
            <w:tcW w:type="dxa" w:w="187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$76,069</w:t>
            </w:r>
          </w:p>
        </w:tc>
        <w:tc>
          <w:tcPr>
            <w:tcW w:type="dxa" w:w="100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57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2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High Spenders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4,532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$156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7.3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$85,329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66</w:t>
            </w:r>
          </w:p>
        </w:tc>
      </w:tr>
      <w:tr>
        <w:tc>
          <w:tcPr>
            <w:tcW w:type="dxa" w:w="864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</w:t>
            </w:r>
          </w:p>
        </w:tc>
        <w:tc>
          <w:tcPr>
            <w:tcW w:type="dxa" w:w="244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Frequent Visitors</w:t>
            </w:r>
          </w:p>
        </w:tc>
        <w:tc>
          <w:tcPr>
            <w:tcW w:type="dxa" w:w="144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3,273</w:t>
            </w:r>
          </w:p>
        </w:tc>
        <w:tc>
          <w:tcPr>
            <w:tcW w:type="dxa" w:w="172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$144</w:t>
            </w:r>
          </w:p>
        </w:tc>
        <w:tc>
          <w:tcPr>
            <w:tcW w:type="dxa" w:w="172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15.7</w:t>
            </w:r>
          </w:p>
        </w:tc>
        <w:tc>
          <w:tcPr>
            <w:tcW w:type="dxa" w:w="187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$52,089</w:t>
            </w:r>
          </w:p>
        </w:tc>
        <w:tc>
          <w:tcPr>
            <w:tcW w:type="dxa" w:w="100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48</w:t>
            </w:r>
          </w:p>
        </w:tc>
      </w:tr>
      <w:tr>
        <w:tc>
          <w:tcPr>
            <w:tcW w:type="dxa" w:w="864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4</w:t>
            </w:r>
          </w:p>
        </w:tc>
        <w:tc>
          <w:tcPr>
            <w:tcW w:type="dxa" w:w="244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Casual Shoppers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1,885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$61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4.0</w:t>
            </w:r>
          </w:p>
        </w:tc>
        <w:tc>
          <w:tcPr>
            <w:tcW w:type="dxa" w:w="187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$72,392</w:t>
            </w:r>
          </w:p>
        </w:tc>
        <w:tc>
          <w:tcPr>
            <w:tcW w:type="dxa" w:w="100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60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136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egment_profil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3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888888"/>
          <w:sz w:val="18"/>
        </w:rPr>
        <w:t>Fig 5. Segment profile comparison across key metrics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655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gment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888888"/>
          <w:sz w:val="18"/>
        </w:rPr>
        <w:t>Fig 6. Frequency vs Monetary scatter — coloured by segment</w:t>
      </w:r>
    </w:p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3.3 Key Segment Insights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Champions are the smallest group (289 customers, 2%) but spend 5× the average — they should receive exclusive early access offers, not generic discounts.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High Spenders have the highest income ($85K avg) but the highest average age (66). They prefer Discount offers and respond well to email channels.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Frequent Visitors visit the most (avg 15.7 transactions) but spend only $144. Upsell strategies (bundle offers, add-ons) can convert frequency into monetary value.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Casual Shoppers are at risk of churn — low recency, low frequency. Re-engagement BOGO offers with a short expiry window are recommended.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0704A"/>
          <w:sz w:val="32"/>
        </w:rPr>
        <w:t>4. Customer Lifetime Value (CLV)</w:t>
      </w:r>
    </w:p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4.1 Methodology</w:t>
      </w:r>
    </w:p>
    <w:p>
      <w:pPr>
        <w:spacing w:after="80"/>
      </w:pPr>
      <w:r>
        <w:rPr>
          <w:rFonts w:ascii="Calibri" w:hAnsi="Calibri"/>
          <w:b w:val="0"/>
          <w:i w:val="0"/>
          <w:color w:val="404040"/>
          <w:sz w:val="22"/>
        </w:rPr>
        <w:t>CLV was projected using a simplified annual model. Monthly spend was estimated from the 30-day observation window and annualised. This gives a conservative first-year CLV baseline that can be scaled with retention rate assumptions.</w:t>
      </w:r>
    </w:p>
    <w:p>
      <w:pPr>
        <w:spacing w:after="80"/>
      </w:pPr>
      <w:r>
        <w:rPr>
          <w:rFonts w:ascii="Calibri" w:hAnsi="Calibri"/>
          <w:b w:val="0"/>
          <w:i w:val="0"/>
          <w:color w:val="404040"/>
          <w:sz w:val="22"/>
        </w:rPr>
        <w:t>Formula:  Annual CLV = (Total Spend ÷ 1 month) × 12</w:t>
      </w:r>
    </w:p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4.2 CLV by Segment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144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Customers</w:t>
            </w:r>
          </w:p>
        </w:tc>
        <w:tc>
          <w:tcPr>
            <w:tcW w:type="dxa" w:w="216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Avg Annual CLV</w:t>
            </w:r>
          </w:p>
        </w:tc>
        <w:tc>
          <w:tcPr>
            <w:tcW w:type="dxa" w:w="2592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Total Segment Value</w:t>
            </w:r>
          </w:p>
        </w:tc>
        <w:tc>
          <w:tcPr>
            <w:tcW w:type="dxa" w:w="1728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Revenue Share</w:t>
            </w:r>
          </w:p>
        </w:tc>
      </w:tr>
      <w:tr>
        <w:tc>
          <w:tcPr>
            <w:tcW w:type="dxa" w:w="259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Champions</w:t>
            </w:r>
          </w:p>
        </w:tc>
        <w:tc>
          <w:tcPr>
            <w:tcW w:type="dxa" w:w="144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289</w:t>
            </w:r>
          </w:p>
        </w:tc>
        <w:tc>
          <w:tcPr>
            <w:tcW w:type="dxa" w:w="216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$9,312</w:t>
            </w:r>
          </w:p>
        </w:tc>
        <w:tc>
          <w:tcPr>
            <w:tcW w:type="dxa" w:w="259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$2,691,194</w:t>
            </w:r>
          </w:p>
        </w:tc>
        <w:tc>
          <w:tcPr>
            <w:tcW w:type="dxa" w:w="172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14.7%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High Spenders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4,532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$1,877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$8,505,808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46.6%</w:t>
            </w:r>
          </w:p>
        </w:tc>
      </w:tr>
      <w:tr>
        <w:tc>
          <w:tcPr>
            <w:tcW w:type="dxa" w:w="259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Frequent Visitors</w:t>
            </w:r>
          </w:p>
        </w:tc>
        <w:tc>
          <w:tcPr>
            <w:tcW w:type="dxa" w:w="144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3,273</w:t>
            </w:r>
          </w:p>
        </w:tc>
        <w:tc>
          <w:tcPr>
            <w:tcW w:type="dxa" w:w="216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$1,733</w:t>
            </w:r>
          </w:p>
        </w:tc>
        <w:tc>
          <w:tcPr>
            <w:tcW w:type="dxa" w:w="259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$5,671,424</w:t>
            </w:r>
          </w:p>
        </w:tc>
        <w:tc>
          <w:tcPr>
            <w:tcW w:type="dxa" w:w="172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31.1%</w:t>
            </w:r>
          </w:p>
        </w:tc>
      </w:tr>
      <w:tr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Casual Shoppers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1,885</w:t>
            </w:r>
          </w:p>
        </w:tc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$736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$1,387,073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7.6%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636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cl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3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888888"/>
          <w:sz w:val="18"/>
        </w:rPr>
        <w:t>Fig 7. CLV by segment — average annual CLV and revenue share</w:t>
      </w:r>
    </w:p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4.3 Interpretation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Total projected annual revenue pool: $18.26 million across 14,492 active customers.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Champions have 12.6× the CLV of Casual Shoppers — justifying significantly higher acquisition and retention spend per customer.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High Spenders represent the largest absolute revenue pool ($8.5M, 46.6%) despite having lower individual CLV than Champions — this segment should receive the highest retention investment in absolute dollar terms.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Frequent Visitors (31.1% share) are the growth opportunity — existing engagement habits mean small incremental spend increases yield large revenue gains.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0704A"/>
          <w:sz w:val="32"/>
        </w:rPr>
        <w:t>5. A/B Testing — BOGO vs. Discount Offers</w:t>
      </w:r>
    </w:p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5.1 Test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360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BOGO</w:t>
            </w:r>
          </w:p>
        </w:tc>
        <w:tc>
          <w:tcPr>
            <w:tcW w:type="dxa" w:w="360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Discount</w:t>
            </w:r>
          </w:p>
        </w:tc>
      </w:tr>
      <w:tr>
        <w:tc>
          <w:tcPr>
            <w:tcW w:type="dxa" w:w="288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Sample size</w:t>
            </w:r>
          </w:p>
        </w:tc>
        <w:tc>
          <w:tcPr>
            <w:tcW w:type="dxa" w:w="360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30,499 customers</w:t>
            </w:r>
          </w:p>
        </w:tc>
        <w:tc>
          <w:tcPr>
            <w:tcW w:type="dxa" w:w="360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30,543 customers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Offer mechanics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Buy X, get one free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Spend X, save Y amount</w:t>
            </w:r>
          </w:p>
        </w:tc>
      </w:tr>
      <w:tr>
        <w:tc>
          <w:tcPr>
            <w:tcW w:type="dxa" w:w="288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Channels used</w:t>
            </w:r>
          </w:p>
        </w:tc>
        <w:tc>
          <w:tcPr>
            <w:tcW w:type="dxa" w:w="360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Email, Mobile, Social, Web</w:t>
            </w:r>
          </w:p>
        </w:tc>
        <w:tc>
          <w:tcPr>
            <w:tcW w:type="dxa" w:w="360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Email, Mobile, Social, Web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Avg delivery cost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$0.64 per customer</w:t>
            </w:r>
          </w:p>
        </w:tc>
        <w:tc>
          <w:tcPr>
            <w:tcW w:type="dxa" w:w="360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$0.54 per customer</w:t>
            </w:r>
          </w:p>
        </w:tc>
      </w:tr>
      <w:tr>
        <w:tc>
          <w:tcPr>
            <w:tcW w:type="dxa" w:w="288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Observation window</w:t>
            </w:r>
          </w:p>
        </w:tc>
        <w:tc>
          <w:tcPr>
            <w:tcW w:type="dxa" w:w="360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30 days</w:t>
            </w:r>
          </w:p>
        </w:tc>
        <w:tc>
          <w:tcPr>
            <w:tcW w:type="dxa" w:w="360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30 days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5.2 Statistical Tests</w:t>
      </w:r>
    </w:p>
    <w:p>
      <w:pPr>
        <w:spacing w:after="80"/>
      </w:pPr>
      <w:r>
        <w:rPr>
          <w:rFonts w:ascii="Calibri" w:hAnsi="Calibri"/>
          <w:b w:val="0"/>
          <w:i w:val="0"/>
          <w:color w:val="404040"/>
          <w:sz w:val="22"/>
        </w:rPr>
        <w:t>Two independent statistical tests were run to evaluate significance: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2592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What It Measures</w:t>
            </w:r>
          </w:p>
        </w:tc>
        <w:tc>
          <w:tcPr>
            <w:tcW w:type="dxa" w:w="288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Result</w:t>
            </w:r>
          </w:p>
        </w:tc>
        <w:tc>
          <w:tcPr>
            <w:tcW w:type="dxa" w:w="1296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p-value</w:t>
            </w:r>
          </w:p>
        </w:tc>
        <w:tc>
          <w:tcPr>
            <w:tcW w:type="dxa" w:w="2304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Conclusion</w:t>
            </w:r>
          </w:p>
        </w:tc>
      </w:tr>
      <w:tr>
        <w:tc>
          <w:tcPr>
            <w:tcW w:type="dxa" w:w="201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Chi-Square Test</w:t>
            </w:r>
          </w:p>
        </w:tc>
        <w:tc>
          <w:tcPr>
            <w:tcW w:type="dxa" w:w="259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Conversion rate difference</w:t>
            </w:r>
          </w:p>
        </w:tc>
        <w:tc>
          <w:tcPr>
            <w:tcW w:type="dxa" w:w="288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BOGO 55.5% vs Discount 62.5%</w:t>
            </w:r>
          </w:p>
        </w:tc>
        <w:tc>
          <w:tcPr>
            <w:tcW w:type="dxa" w:w="129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p &lt; 0.001</w:t>
            </w:r>
          </w:p>
        </w:tc>
        <w:tc>
          <w:tcPr>
            <w:tcW w:type="dxa" w:w="2304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Statistically significant ✓</w:t>
            </w:r>
          </w:p>
        </w:tc>
      </w:tr>
      <w:tr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Welch's t-Test</w:t>
            </w:r>
          </w:p>
        </w:tc>
        <w:tc>
          <w:tcPr>
            <w:tcW w:type="dxa" w:w="259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Average spend difference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BOGO $107.82 vs Discount $108.43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p &lt; 0.05</w:t>
            </w:r>
          </w:p>
        </w:tc>
        <w:tc>
          <w:tcPr>
            <w:tcW w:type="dxa" w:w="2304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Marginal difference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5.3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456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016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BOGO</w:t>
            </w:r>
          </w:p>
        </w:tc>
        <w:tc>
          <w:tcPr>
            <w:tcW w:type="dxa" w:w="2016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Discount</w:t>
            </w:r>
          </w:p>
        </w:tc>
        <w:tc>
          <w:tcPr>
            <w:tcW w:type="dxa" w:w="288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Winner</w:t>
            </w:r>
          </w:p>
        </w:tc>
      </w:tr>
      <w:tr>
        <w:tc>
          <w:tcPr>
            <w:tcW w:type="dxa" w:w="345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Conversion Rate</w:t>
            </w:r>
          </w:p>
        </w:tc>
        <w:tc>
          <w:tcPr>
            <w:tcW w:type="dxa" w:w="201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55.5%</w:t>
            </w:r>
          </w:p>
        </w:tc>
        <w:tc>
          <w:tcPr>
            <w:tcW w:type="dxa" w:w="201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62.5%</w:t>
            </w:r>
          </w:p>
        </w:tc>
        <w:tc>
          <w:tcPr>
            <w:tcW w:type="dxa" w:w="288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Discount (+7pp)</w:t>
            </w:r>
          </w:p>
        </w:tc>
      </w:tr>
      <w:tr>
        <w:tc>
          <w:tcPr>
            <w:tcW w:type="dxa" w:w="3456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Avg Spend per Customer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$107.82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$108.43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Discount (marginal)</w:t>
            </w:r>
          </w:p>
        </w:tc>
      </w:tr>
      <w:tr>
        <w:tc>
          <w:tcPr>
            <w:tcW w:type="dxa" w:w="345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Total Delivery Cost</w:t>
            </w:r>
          </w:p>
        </w:tc>
        <w:tc>
          <w:tcPr>
            <w:tcW w:type="dxa" w:w="201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$19,412</w:t>
            </w:r>
          </w:p>
        </w:tc>
        <w:tc>
          <w:tcPr>
            <w:tcW w:type="dxa" w:w="201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$16,401</w:t>
            </w:r>
          </w:p>
        </w:tc>
        <w:tc>
          <w:tcPr>
            <w:tcW w:type="dxa" w:w="288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Discount (cheaper)</w:t>
            </w:r>
          </w:p>
        </w:tc>
      </w:tr>
      <w:tr>
        <w:tc>
          <w:tcPr>
            <w:tcW w:type="dxa" w:w="3456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Cost Per Acquisition (CPA)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$1.15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$0.86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Discount (−25%)</w:t>
            </w:r>
          </w:p>
        </w:tc>
      </w:tr>
      <w:tr>
        <w:tc>
          <w:tcPr>
            <w:tcW w:type="dxa" w:w="345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Avg Revenue per Conversion</w:t>
            </w:r>
          </w:p>
        </w:tc>
        <w:tc>
          <w:tcPr>
            <w:tcW w:type="dxa" w:w="201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$162.86</w:t>
            </w:r>
          </w:p>
        </w:tc>
        <w:tc>
          <w:tcPr>
            <w:tcW w:type="dxa" w:w="201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$153.44</w:t>
            </w:r>
          </w:p>
        </w:tc>
        <w:tc>
          <w:tcPr>
            <w:tcW w:type="dxa" w:w="288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BOGO (+6%)</w:t>
            </w:r>
          </w:p>
        </w:tc>
      </w:tr>
      <w:tr>
        <w:tc>
          <w:tcPr>
            <w:tcW w:type="dxa" w:w="3456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ROAS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142×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178×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Discount (+26%)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123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b_test_resul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2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888888"/>
          <w:sz w:val="18"/>
        </w:rPr>
        <w:t>Fig 8. A/B Test — Conversion Rate, Avg Spend, CPA, and ROAS comparison</w:t>
      </w:r>
    </w:p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5.4 Interpretation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Discount is the clear overall winner: higher conversion, lower cost, and 26% better ROAS.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BOGO produces slightly higher revenue-per-conversion ($162 vs $153) — useful for high-value segment targeting where absolute spend matters more than conversion volume.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Recommendation: Run Discount as the default mass-market offer. Reserve BOGO for Champions and High Spenders where the higher individual transaction value justifies the higher cost.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Informational offers (no reward) achieved zero completions by definition but generated $102.23 avg spend — proving that regular non-incentive communications still drive purchases.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0704A"/>
          <w:sz w:val="32"/>
        </w:rPr>
        <w:t>6. Offer Funnel Analysis</w:t>
      </w:r>
    </w:p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6.1 Funnel Stages</w:t>
      </w:r>
    </w:p>
    <w:p>
      <w:pPr>
        <w:spacing w:after="80"/>
      </w:pPr>
      <w:r>
        <w:rPr>
          <w:rFonts w:ascii="Calibri" w:hAnsi="Calibri"/>
          <w:b w:val="0"/>
          <w:i w:val="0"/>
          <w:color w:val="404040"/>
          <w:sz w:val="22"/>
        </w:rPr>
        <w:t>The offer lifecycle has three trackable events in the app data: Received (offer delivered to customer), Viewed (customer opened the offer), Completed (customer met the spend threshold within the offer window).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04123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unn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888888"/>
          <w:sz w:val="18"/>
        </w:rPr>
        <w:t>Fig 9. Offer funnel — Received → Viewed → Completed by offer type</w:t>
      </w:r>
    </w:p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6.2 Funnel Metrics by Offer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Offer Type</w:t>
            </w:r>
          </w:p>
        </w:tc>
        <w:tc>
          <w:tcPr>
            <w:tcW w:type="dxa" w:w="144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Received</w:t>
            </w:r>
          </w:p>
        </w:tc>
        <w:tc>
          <w:tcPr>
            <w:tcW w:type="dxa" w:w="1296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Viewed</w:t>
            </w:r>
          </w:p>
        </w:tc>
        <w:tc>
          <w:tcPr>
            <w:tcW w:type="dxa" w:w="144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View Rate</w:t>
            </w:r>
          </w:p>
        </w:tc>
        <w:tc>
          <w:tcPr>
            <w:tcW w:type="dxa" w:w="1584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Completed</w:t>
            </w:r>
          </w:p>
        </w:tc>
        <w:tc>
          <w:tcPr>
            <w:tcW w:type="dxa" w:w="2016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Completion Rate</w:t>
            </w:r>
          </w:p>
        </w:tc>
        <w:tc>
          <w:tcPr>
            <w:tcW w:type="dxa" w:w="1728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Overall Rate</w:t>
            </w:r>
          </w:p>
        </w:tc>
      </w:tr>
      <w:tr>
        <w:tc>
          <w:tcPr>
            <w:tcW w:type="dxa" w:w="216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BOGO</w:t>
            </w:r>
          </w:p>
        </w:tc>
        <w:tc>
          <w:tcPr>
            <w:tcW w:type="dxa" w:w="144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30,499</w:t>
            </w:r>
          </w:p>
        </w:tc>
        <w:tc>
          <w:tcPr>
            <w:tcW w:type="dxa" w:w="129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25,449</w:t>
            </w:r>
          </w:p>
        </w:tc>
        <w:tc>
          <w:tcPr>
            <w:tcW w:type="dxa" w:w="144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83.4%</w:t>
            </w:r>
          </w:p>
        </w:tc>
        <w:tc>
          <w:tcPr>
            <w:tcW w:type="dxa" w:w="1584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15,669</w:t>
            </w:r>
          </w:p>
        </w:tc>
        <w:tc>
          <w:tcPr>
            <w:tcW w:type="dxa" w:w="201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61.6%</w:t>
            </w:r>
          </w:p>
        </w:tc>
        <w:tc>
          <w:tcPr>
            <w:tcW w:type="dxa" w:w="172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51.4%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Discount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30,543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21,445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70.2%</w:t>
            </w:r>
          </w:p>
        </w:tc>
        <w:tc>
          <w:tcPr>
            <w:tcW w:type="dxa" w:w="1584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17,910</w:t>
            </w:r>
          </w:p>
        </w:tc>
        <w:tc>
          <w:tcPr>
            <w:tcW w:type="dxa" w:w="2016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83.5%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58.6%</w:t>
            </w:r>
          </w:p>
        </w:tc>
      </w:tr>
      <w:tr>
        <w:tc>
          <w:tcPr>
            <w:tcW w:type="dxa" w:w="216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Informational</w:t>
            </w:r>
          </w:p>
        </w:tc>
        <w:tc>
          <w:tcPr>
            <w:tcW w:type="dxa" w:w="144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15,235</w:t>
            </w:r>
          </w:p>
        </w:tc>
        <w:tc>
          <w:tcPr>
            <w:tcW w:type="dxa" w:w="129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10,831</w:t>
            </w:r>
          </w:p>
        </w:tc>
        <w:tc>
          <w:tcPr>
            <w:tcW w:type="dxa" w:w="144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71.1%</w:t>
            </w:r>
          </w:p>
        </w:tc>
        <w:tc>
          <w:tcPr>
            <w:tcW w:type="dxa" w:w="1584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—</w:t>
            </w:r>
          </w:p>
        </w:tc>
        <w:tc>
          <w:tcPr>
            <w:tcW w:type="dxa" w:w="201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—</w:t>
            </w:r>
          </w:p>
        </w:tc>
        <w:tc>
          <w:tcPr>
            <w:tcW w:type="dxa" w:w="172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—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6.3 Funnel Observations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BOGO has a higher view rate (83.4% vs 70.2%) — customers notice and open it more often, likely due to the "free item" framing being more attention-grabbing.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Despite being viewed more, BOGO has a lower completion rate (61.6% vs 83.5%) — the "buy X" requirement creates a higher action barrier than "spend X, save Y" which feels more passive.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Discount has the better end-to-end funnel efficiency (58.6% overall vs 51.4%) despite lower top-of-funnel awareness.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38,065 offers were sent via Facebook/Instagram Ads — those customers show the highest avg spend ($111), suggesting paid social attracts higher-intent customers.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Funnel drop from View to Complete (BOGO): 38.4% — this is the primary optimisation lever. Simplifying BOGO redemption mechanics or reducing the minimum purchase requirement could recover significant conversions.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0704A"/>
          <w:sz w:val="32"/>
        </w:rPr>
        <w:t>7. Channel Performance</w:t>
      </w:r>
    </w:p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7.1 Channel Cost Model</w:t>
      </w:r>
    </w:p>
    <w:p>
      <w:pPr>
        <w:spacing w:after="80"/>
      </w:pPr>
      <w:r>
        <w:rPr>
          <w:rFonts w:ascii="Calibri" w:hAnsi="Calibri"/>
          <w:b w:val="0"/>
          <w:i w:val="0"/>
          <w:color w:val="404040"/>
          <w:sz w:val="22"/>
        </w:rPr>
        <w:t>Delivery cost was assigned per send based on standard digital marketing benchmarks: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1728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Cost per Send</w:t>
            </w:r>
          </w:p>
        </w:tc>
        <w:tc>
          <w:tcPr>
            <w:tcW w:type="dxa" w:w="5472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88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Email</w:t>
            </w:r>
          </w:p>
        </w:tc>
        <w:tc>
          <w:tcPr>
            <w:tcW w:type="dxa" w:w="172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$0.10</w:t>
            </w:r>
          </w:p>
        </w:tc>
        <w:tc>
          <w:tcPr>
            <w:tcW w:type="dxa" w:w="547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ESP cost per email (Mailchimp / Salesforce tier)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Mobile App Push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$0.05</w:t>
            </w:r>
          </w:p>
        </w:tc>
        <w:tc>
          <w:tcPr>
            <w:tcW w:type="dxa" w:w="547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Near-zero marginal cost for owned channel</w:t>
            </w:r>
          </w:p>
        </w:tc>
      </w:tr>
      <w:tr>
        <w:tc>
          <w:tcPr>
            <w:tcW w:type="dxa" w:w="288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Facebook / Instagram Ads</w:t>
            </w:r>
          </w:p>
        </w:tc>
        <w:tc>
          <w:tcPr>
            <w:tcW w:type="dxa" w:w="172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$0.50</w:t>
            </w:r>
          </w:p>
        </w:tc>
        <w:tc>
          <w:tcPr>
            <w:tcW w:type="dxa" w:w="547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Paid social CPM equivalent</w:t>
            </w:r>
          </w:p>
        </w:tc>
      </w:tr>
      <w:tr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Web Banner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$0.15</w:t>
            </w:r>
          </w:p>
        </w:tc>
        <w:tc>
          <w:tcPr>
            <w:tcW w:type="dxa" w:w="547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Retargeting / display ad CPM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7.2 Channel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3168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1296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Sends</w:t>
            </w:r>
          </w:p>
        </w:tc>
        <w:tc>
          <w:tcPr>
            <w:tcW w:type="dxa" w:w="1728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Conversions</w:t>
            </w:r>
          </w:p>
        </w:tc>
        <w:tc>
          <w:tcPr>
            <w:tcW w:type="dxa" w:w="144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Conv Rate</w:t>
            </w:r>
          </w:p>
        </w:tc>
        <w:tc>
          <w:tcPr>
            <w:tcW w:type="dxa" w:w="1728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Avg Spend</w:t>
            </w:r>
          </w:p>
        </w:tc>
        <w:tc>
          <w:tcPr>
            <w:tcW w:type="dxa" w:w="1152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CPA</w:t>
            </w:r>
          </w:p>
        </w:tc>
      </w:tr>
      <w:tr>
        <w:tc>
          <w:tcPr>
            <w:tcW w:type="dxa" w:w="316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Facebook / Instagram Ads</w:t>
            </w:r>
          </w:p>
        </w:tc>
        <w:tc>
          <w:tcPr>
            <w:tcW w:type="dxa" w:w="129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38,065</w:t>
            </w:r>
          </w:p>
        </w:tc>
        <w:tc>
          <w:tcPr>
            <w:tcW w:type="dxa" w:w="172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23,213</w:t>
            </w:r>
          </w:p>
        </w:tc>
        <w:tc>
          <w:tcPr>
            <w:tcW w:type="dxa" w:w="144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61.0%</w:t>
            </w:r>
          </w:p>
        </w:tc>
        <w:tc>
          <w:tcPr>
            <w:tcW w:type="dxa" w:w="172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$111.02</w:t>
            </w:r>
          </w:p>
        </w:tc>
        <w:tc>
          <w:tcPr>
            <w:tcW w:type="dxa" w:w="115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$1.26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Mobile App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53,374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32,301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60.5%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$108.86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$1.05</w:t>
            </w:r>
          </w:p>
        </w:tc>
      </w:tr>
      <w:tr>
        <w:tc>
          <w:tcPr>
            <w:tcW w:type="dxa" w:w="316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Web</w:t>
            </w:r>
          </w:p>
        </w:tc>
        <w:tc>
          <w:tcPr>
            <w:tcW w:type="dxa" w:w="1296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53,384</w:t>
            </w:r>
          </w:p>
        </w:tc>
        <w:tc>
          <w:tcPr>
            <w:tcW w:type="dxa" w:w="172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32,064</w:t>
            </w:r>
          </w:p>
        </w:tc>
        <w:tc>
          <w:tcPr>
            <w:tcW w:type="dxa" w:w="144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60.1%</w:t>
            </w:r>
          </w:p>
        </w:tc>
        <w:tc>
          <w:tcPr>
            <w:tcW w:type="dxa" w:w="172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$107.62</w:t>
            </w:r>
          </w:p>
        </w:tc>
        <w:tc>
          <w:tcPr>
            <w:tcW w:type="dxa" w:w="115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$0.96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Email</w:t>
            </w:r>
          </w:p>
        </w:tc>
        <w:tc>
          <w:tcPr>
            <w:tcW w:type="dxa" w:w="1296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61,042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35,997</w:t>
            </w:r>
          </w:p>
        </w:tc>
        <w:tc>
          <w:tcPr>
            <w:tcW w:type="dxa" w:w="144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59.0%</w:t>
            </w:r>
          </w:p>
        </w:tc>
        <w:tc>
          <w:tcPr>
            <w:tcW w:type="dxa" w:w="172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$108.12</w:t>
            </w:r>
          </w:p>
        </w:tc>
        <w:tc>
          <w:tcPr>
            <w:tcW w:type="dxa" w:w="115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$0.99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0832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channel_perform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8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888888"/>
          <w:sz w:val="18"/>
        </w:rPr>
        <w:t>Fig 10. Channel performance — Conversion Rate, Avg Spend, and CPA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05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oi_summ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888888"/>
          <w:sz w:val="18"/>
        </w:rPr>
        <w:t>Fig 11. ROI and ROAS summary across offer types and channels</w:t>
      </w:r>
    </w:p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7.3 Channel Recommendations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Web is the most cost-efficient channel (CPA $0.96) for volume campaigns — use it for Discount offers targeting Frequent Visitors and Loyal Customers.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Facebook / Instagram Ads drive the highest average transaction value ($111) and should be reserved for Champions and High Spender re-targeting where premium acquisition cost is justified.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Mobile App push is the second-cheapest channel ($0.05/send) — ideal for time-sensitive offers and flash promotions with near-zero incremental cost.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404040"/>
          <w:sz w:val="22"/>
        </w:rPr>
        <w:t>Email has the highest send volume (61,042) and solid conversion (59%) at low cost ($0.99 CPA) — the workhorse channel for broad-based campaigns.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0704A"/>
          <w:sz w:val="32"/>
        </w:rPr>
        <w:t>8. Strategic Recommendations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288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Recommended Offer</w:t>
            </w:r>
          </w:p>
        </w:tc>
        <w:tc>
          <w:tcPr>
            <w:tcW w:type="dxa" w:w="2304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Channel</w:t>
            </w:r>
          </w:p>
        </w:tc>
        <w:tc>
          <w:tcPr>
            <w:tcW w:type="dxa" w:w="3168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16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Champions</w:t>
            </w:r>
          </w:p>
        </w:tc>
        <w:tc>
          <w:tcPr>
            <w:tcW w:type="dxa" w:w="288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BOGO (exclusive, high-value)</w:t>
            </w:r>
          </w:p>
        </w:tc>
        <w:tc>
          <w:tcPr>
            <w:tcW w:type="dxa" w:w="2304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Facebook Ads + Mobile</w:t>
            </w:r>
          </w:p>
        </w:tc>
        <w:tc>
          <w:tcPr>
            <w:tcW w:type="dxa" w:w="316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Highest CLV; BOGO's higher revenue-per-conversion maximises yield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High Spenders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Discount (moderate difficulty)</w:t>
            </w:r>
          </w:p>
        </w:tc>
        <w:tc>
          <w:tcPr>
            <w:tcW w:type="dxa" w:w="2304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Email + Web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High income, prefer simplicity; Discount drives 26% better ROAS</w:t>
            </w:r>
          </w:p>
        </w:tc>
      </w:tr>
      <w:tr>
        <w:tc>
          <w:tcPr>
            <w:tcW w:type="dxa" w:w="216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Frequent Visitors</w:t>
            </w:r>
          </w:p>
        </w:tc>
        <w:tc>
          <w:tcPr>
            <w:tcW w:type="dxa" w:w="288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Discount + bundle upsell</w:t>
            </w:r>
          </w:p>
        </w:tc>
        <w:tc>
          <w:tcPr>
            <w:tcW w:type="dxa" w:w="2304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Mobile + Web</w:t>
            </w:r>
          </w:p>
        </w:tc>
        <w:tc>
          <w:tcPr>
            <w:tcW w:type="dxa" w:w="316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Already engaged; incremental spend nudge converts frequency to $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Casual Shoppers</w:t>
            </w:r>
          </w:p>
        </w:tc>
        <w:tc>
          <w:tcPr>
            <w:tcW w:type="dxa" w:w="288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BOGO (low threshold, short window)</w:t>
            </w:r>
          </w:p>
        </w:tc>
        <w:tc>
          <w:tcPr>
            <w:tcW w:type="dxa" w:w="2304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Email + Mobile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Needs urgency trigger; BOGO attention-grab good for re-engagement</w:t>
            </w:r>
          </w:p>
        </w:tc>
      </w:tr>
      <w:tr>
        <w:tc>
          <w:tcPr>
            <w:tcW w:type="dxa" w:w="216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At Risk / Lost</w:t>
            </w:r>
          </w:p>
        </w:tc>
        <w:tc>
          <w:tcPr>
            <w:tcW w:type="dxa" w:w="288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Win-back Discount (deep save)</w:t>
            </w:r>
          </w:p>
        </w:tc>
        <w:tc>
          <w:tcPr>
            <w:tcW w:type="dxa" w:w="2304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Email</w:t>
            </w:r>
          </w:p>
        </w:tc>
        <w:tc>
          <w:tcPr>
            <w:tcW w:type="dxa" w:w="316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Low-cost channel for uncertain-return segment; test before scaling</w:t>
            </w:r>
          </w:p>
        </w:tc>
      </w:tr>
    </w:tbl>
    <w:p/>
    <w:p/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Prioritised Actions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E3932"/>
          <w:sz w:val="22"/>
        </w:rPr>
        <w:t xml:space="preserve">1. </w:t>
      </w:r>
      <w:r>
        <w:rPr>
          <w:rFonts w:ascii="Calibri" w:hAnsi="Calibri"/>
          <w:b w:val="0"/>
          <w:i w:val="0"/>
          <w:color w:val="404040"/>
          <w:sz w:val="22"/>
        </w:rPr>
        <w:t>Shift default mass-market offer from BOGO to Discount — saves ~$3,000 per 30-day campaign cycle in delivery cost alone while increasing conversions by 7pp.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E3932"/>
          <w:sz w:val="22"/>
        </w:rPr>
        <w:t xml:space="preserve">2. </w:t>
      </w:r>
      <w:r>
        <w:rPr>
          <w:rFonts w:ascii="Calibri" w:hAnsi="Calibri"/>
          <w:b w:val="0"/>
          <w:i w:val="0"/>
          <w:color w:val="404040"/>
          <w:sz w:val="22"/>
        </w:rPr>
        <w:t>Invest Facebook/Instagram budget in Champions re-targeting — their $9,312 annual CLV justifies the $1.26 CPA (CLV:CPA ratio &gt; 7,000×).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E3932"/>
          <w:sz w:val="22"/>
        </w:rPr>
        <w:t xml:space="preserve">3. </w:t>
      </w:r>
      <w:r>
        <w:rPr>
          <w:rFonts w:ascii="Calibri" w:hAnsi="Calibri"/>
          <w:b w:val="0"/>
          <w:i w:val="0"/>
          <w:color w:val="404040"/>
          <w:sz w:val="22"/>
        </w:rPr>
        <w:t>Address BOGO funnel drop (View → Complete gap of 38%) by A/B testing lower minimum purchase thresholds — a 5pp improvement in completion would add ~1,500 conversions per campaign.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1E3932"/>
          <w:sz w:val="22"/>
        </w:rPr>
        <w:t xml:space="preserve">4. </w:t>
      </w:r>
      <w:r>
        <w:rPr>
          <w:rFonts w:ascii="Calibri" w:hAnsi="Calibri"/>
          <w:b w:val="0"/>
          <w:i w:val="0"/>
          <w:color w:val="404040"/>
          <w:sz w:val="22"/>
        </w:rPr>
        <w:t>Build a churn-prediction model on the At Risk segment (2,020 customers representing ~$1.8M potential revenue) using RFM decay signals as early warning features.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00704A"/>
          <w:sz w:val="32"/>
        </w:rPr>
        <w:t>9. Methodology Appendix</w:t>
      </w:r>
    </w:p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Statistical Tests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Test</w:t>
            </w:r>
          </w:p>
        </w:tc>
        <w:tc>
          <w:tcPr>
            <w:tcW w:type="dxa" w:w="3168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Applied To</w:t>
            </w:r>
          </w:p>
        </w:tc>
        <w:tc>
          <w:tcPr>
            <w:tcW w:type="dxa" w:w="4752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216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Chi-Square (χ²)</w:t>
            </w:r>
          </w:p>
        </w:tc>
        <w:tc>
          <w:tcPr>
            <w:tcW w:type="dxa" w:w="316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BOGO vs Discount conversion rates</w:t>
            </w:r>
          </w:p>
        </w:tc>
        <w:tc>
          <w:tcPr>
            <w:tcW w:type="dxa" w:w="475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Tests independence between offer type and binary conversion outcome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Welch's t-test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BOGO vs Discount average spend</w:t>
            </w:r>
          </w:p>
        </w:tc>
        <w:tc>
          <w:tcPr>
            <w:tcW w:type="dxa" w:w="475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Compares means of two independent samples without assuming equal variance</w:t>
            </w:r>
          </w:p>
        </w:tc>
      </w:tr>
      <w:tr>
        <w:tc>
          <w:tcPr>
            <w:tcW w:type="dxa" w:w="216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K-Means Clustering</w:t>
            </w:r>
          </w:p>
        </w:tc>
        <w:tc>
          <w:tcPr>
            <w:tcW w:type="dxa" w:w="316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RFM + demographic features</w:t>
            </w:r>
          </w:p>
        </w:tc>
        <w:tc>
          <w:tcPr>
            <w:tcW w:type="dxa" w:w="475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Groups customers into behavioural clusters without requiring pre-labelled data</w:t>
            </w:r>
          </w:p>
        </w:tc>
      </w:tr>
      <w:tr>
        <w:tc>
          <w:tcPr>
            <w:tcW w:type="dxa" w:w="2160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Elbow + Silhouette</w:t>
            </w:r>
          </w:p>
        </w:tc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Optimal K selection</w:t>
            </w:r>
          </w:p>
        </w:tc>
        <w:tc>
          <w:tcPr>
            <w:tcW w:type="dxa" w:w="475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Elbow finds diminishing inertia returns; Silhouette confirms cluster separation quality</w:t>
            </w:r>
          </w:p>
        </w:tc>
      </w:tr>
      <w:tr>
        <w:tc>
          <w:tcPr>
            <w:tcW w:type="dxa" w:w="2160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RFM Quintile Bins</w:t>
            </w:r>
          </w:p>
        </w:tc>
        <w:tc>
          <w:tcPr>
            <w:tcW w:type="dxa" w:w="316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R / F / M scores 1–5</w:t>
            </w:r>
          </w:p>
        </w:tc>
        <w:tc>
          <w:tcPr>
            <w:tcW w:type="dxa" w:w="475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Robust to outliers; quintile binning distributes customers evenly across score levels</w:t>
            </w:r>
          </w:p>
        </w:tc>
      </w:tr>
    </w:tbl>
    <w:p/>
    <w:p>
      <w:pPr>
        <w:spacing w:before="200" w:after="40"/>
      </w:pPr>
      <w:r>
        <w:rPr>
          <w:rFonts w:ascii="Calibri" w:hAnsi="Calibri"/>
          <w:b/>
          <w:i w:val="0"/>
          <w:color w:val="1E3932"/>
          <w:sz w:val="26"/>
        </w:rPr>
        <w:t>Tools &amp; Libraries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6912"/>
            <w:shd w:fill="1E3932" w:val="clear"/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6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Python 3.11</w:t>
            </w:r>
          </w:p>
        </w:tc>
        <w:tc>
          <w:tcPr>
            <w:tcW w:type="dxa" w:w="691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Core analysis and pipeline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pandas / NumPy</w:t>
            </w:r>
          </w:p>
        </w:tc>
        <w:tc>
          <w:tcPr>
            <w:tcW w:type="dxa" w:w="691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Data manipulation and cleaning</w:t>
            </w:r>
          </w:p>
        </w:tc>
      </w:tr>
      <w:tr>
        <w:tc>
          <w:tcPr>
            <w:tcW w:type="dxa" w:w="316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scikit-learn</w:t>
            </w:r>
          </w:p>
        </w:tc>
        <w:tc>
          <w:tcPr>
            <w:tcW w:type="dxa" w:w="691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K-Means clustering, StandardScaler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scipy.stats</w:t>
            </w:r>
          </w:p>
        </w:tc>
        <w:tc>
          <w:tcPr>
            <w:tcW w:type="dxa" w:w="691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Chi-Square and Welch t-test</w:t>
            </w:r>
          </w:p>
        </w:tc>
      </w:tr>
      <w:tr>
        <w:tc>
          <w:tcPr>
            <w:tcW w:type="dxa" w:w="316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matplotlib / seaborn</w:t>
            </w:r>
          </w:p>
        </w:tc>
        <w:tc>
          <w:tcPr>
            <w:tcW w:type="dxa" w:w="691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Static chart generation (13 charts)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Plotly / Streamlit</w:t>
            </w:r>
          </w:p>
        </w:tc>
        <w:tc>
          <w:tcPr>
            <w:tcW w:type="dxa" w:w="691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Interactive dashboard (6-page web app)</w:t>
            </w:r>
          </w:p>
        </w:tc>
      </w:tr>
      <w:tr>
        <w:tc>
          <w:tcPr>
            <w:tcW w:type="dxa" w:w="3168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Tableau Public 2026.1.1</w:t>
            </w:r>
          </w:p>
        </w:tc>
        <w:tc>
          <w:tcPr>
            <w:tcW w:type="dxa" w:w="6912"/>
            <w:shd w:fill="D4E9E2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Customer Segmentation and A/B Test dashboards</w:t>
            </w:r>
          </w:p>
        </w:tc>
      </w:tr>
      <w:tr>
        <w:tc>
          <w:tcPr>
            <w:tcW w:type="dxa" w:w="3168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Power BI</w:t>
            </w:r>
          </w:p>
        </w:tc>
        <w:tc>
          <w:tcPr>
            <w:tcW w:type="dxa" w:w="6912"/>
            <w:shd w:fill="FFFFFF" w:val="clear"/>
          </w:tcPr>
          <w:p>
            <w:pPr>
              <w:jc w:val="center"/>
            </w:pPr>
            <w:r>
              <w:rPr>
                <w:rFonts w:ascii="Calibri" w:hAnsi="Calibri"/>
                <w:color w:val="404040"/>
                <w:sz w:val="20"/>
              </w:rPr>
              <w:t>Supporting data exports (7 clean CSVs)</w:t>
            </w:r>
          </w:p>
        </w:tc>
      </w:tr>
    </w:tbl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