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14D"/>
          <w:sz w:val="52"/>
        </w:rPr>
        <w:t>VISTARA</w:t>
      </w:r>
    </w:p>
    <w:p>
      <w:pPr>
        <w:jc w:val="center"/>
      </w:pPr>
      <w:r>
        <w:rPr>
          <w:color w:val="66737D"/>
          <w:sz w:val="24"/>
        </w:rPr>
        <w:t>INNOVERSE Market Research</w:t>
      </w:r>
    </w:p>
    <w:tbl>
      <w:tblPr>
        <w:tblW w:type="auto" w:w="0"/>
        <w:tblLook w:firstColumn="1" w:firstRow="1" w:lastColumn="0" w:lastRow="0" w:noHBand="0" w:noVBand="1" w:val="04A0"/>
      </w:tblPr>
      <w:tblGrid>
        <w:gridCol w:w="10396"/>
      </w:tblGrid>
      <w:tr>
        <w:tc>
          <w:tcPr>
            <w:tcW w:type="dxa" w:w="10396"/>
            <w:shd w:fill="EDF4F8"/>
            <w:tcBorders>
              <w:top w:val="single" w:sz="8" w:color="16314D"/>
              <w:left w:val="single" w:sz="8" w:color="16314D"/>
              <w:bottom w:val="single" w:sz="8" w:color="16314D"/>
              <w:right w:val="single" w:sz="8" w:color="16314D"/>
            </w:tcBorders>
          </w:tcPr>
          <w:p>
            <w:r>
              <w:rPr>
                <w:b/>
                <w:color w:val="16314D"/>
                <w:sz w:val="20"/>
              </w:rPr>
              <w:t>RESEARCH NOTE</w:t>
            </w:r>
            <w:r>
              <w:rPr>
                <w:color w:val="263238"/>
                <w:sz w:val="18"/>
              </w:rPr>
              <w:br/>
              <w:t>This document uses official tourism statistics plus industry research. Commercial market estimates are identified as estimates. Vistara conclusions are research inferences, not measured market facts.</w:t>
            </w:r>
          </w:p>
        </w:tc>
      </w:tr>
    </w:tbl>
    <w:p>
      <w:pPr>
        <w:pStyle w:val="Heading1"/>
      </w:pPr>
      <w:r>
        <w:t>1. Research Objective</w:t>
      </w:r>
    </w:p>
    <w:p>
      <w:r>
        <w:t>Understand the size and direction of India's travel and accommodation opportunity, the behavior of digital travelers, and the market conditions that support Vistara's focused combination of Stay, Smart Recommendation, Property Verification and Explore.</w:t>
      </w:r>
    </w:p>
    <w:p>
      <w:pPr>
        <w:pStyle w:val="Heading1"/>
      </w:pPr>
      <w:r>
        <w:t>2. India Tourism at a Glance</w:t>
      </w:r>
    </w:p>
    <w:tbl>
      <w:tblPr>
        <w:tblW w:type="auto" w:w="0"/>
        <w:jc w:val="center"/>
        <w:tblLook w:firstColumn="1" w:firstRow="1" w:lastColumn="0" w:lastRow="0" w:noHBand="0" w:noVBand="1" w:val="04A0"/>
      </w:tblPr>
      <w:tblGrid>
        <w:gridCol w:w="3465"/>
        <w:gridCol w:w="3465"/>
        <w:gridCol w:w="3465"/>
      </w:tblGrid>
      <w:tr>
        <w:trPr>
          <w:tblHeader w:val="true"/>
        </w:trPr>
        <w:tc>
          <w:tcPr>
            <w:tcW w:type="dxa" w:w="3465"/>
            <w:shd w:fill="16314D"/>
            <w:tcBorders>
              <w:top w:val="single" w:sz="5" w:color="16314D"/>
              <w:left w:val="single" w:sz="5" w:color="16314D"/>
              <w:bottom w:val="single" w:sz="5" w:color="16314D"/>
              <w:right w:val="single" w:sz="5" w:color="16314D"/>
            </w:tcBorders>
          </w:tcPr>
          <w:p>
            <w:r>
              <w:rPr>
                <w:b/>
                <w:color w:val="FFFFFF"/>
                <w:sz w:val="16"/>
              </w:rPr>
              <w:t>Indicator</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Latest figure</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Meaning for Vistara</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Domestic tourist visits</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2,948.19 million in 2024; +17.51% vs 2023.</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Large domestic travel base.</w:t>
            </w:r>
          </w:p>
        </w:tc>
      </w:tr>
      <w:tr>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Domestic visitor spending</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US$203 billion in 2025 (WTTC).</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Domestic travel is a dominant spending source.</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Travel &amp; Tourism contribution</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US$263.6B to India's economy in 2025; 46.2M jobs (WTTC).</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Large sector with digital-product opportunity.</w:t>
            </w:r>
          </w:p>
        </w:tc>
      </w:tr>
      <w:tr>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Hotel industry outlook</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9–12% revenue growth expected in FY26 (ICRA via IBEF).</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Active accommodation demand.</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Mobile online travel</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65.37% of bookings in 2025 (Mordor estimate).</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Mobile-first UX matters.</w:t>
            </w:r>
          </w:p>
        </w:tc>
      </w:tr>
    </w:tbl>
    <w:p>
      <w:pPr>
        <w:pStyle w:val="Heading1"/>
      </w:pPr>
      <w:r>
        <w:t>3. Market Direction</w:t>
      </w:r>
    </w:p>
    <w:p>
      <w:r>
        <w:rPr>
          <w:b/>
          <w:color w:val="16314D"/>
        </w:rPr>
        <w:t xml:space="preserve">Domestic travel remains central. </w:t>
      </w:r>
      <w:r>
        <w:t>The Ministry of Tourism recorded 2.95 billion domestic tourist visits in 2024, up 17.51% from 2023.</w:t>
      </w:r>
    </w:p>
    <w:p>
      <w:r>
        <w:rPr>
          <w:b/>
          <w:color w:val="16314D"/>
        </w:rPr>
        <w:t xml:space="preserve">Digital travel is established. </w:t>
      </w:r>
      <w:r>
        <w:t>Phocuswright's India Travel Market Essentials 2026 says online penetration continued to climb in 2025 and OTAs retained the lead in digital bookings.</w:t>
      </w:r>
    </w:p>
    <w:p>
      <w:r>
        <w:rPr>
          <w:b/>
          <w:color w:val="16314D"/>
        </w:rPr>
        <w:t xml:space="preserve">Mobile matters. </w:t>
      </w:r>
      <w:r>
        <w:t>Mordor Intelligence estimates mobile captured 65.37% of India's online-travel bookings in 2025.</w:t>
      </w:r>
    </w:p>
    <w:p>
      <w:r>
        <w:rPr>
          <w:b/>
          <w:color w:val="16314D"/>
        </w:rPr>
        <w:t xml:space="preserve">Accommodation demand is expanding. </w:t>
      </w:r>
      <w:r>
        <w:t>IBEF reports ICRA's FY26 hotel-revenue outlook of 9–12%; IBEF also cites JLL data showing 64% of branded inventory added in 2025 was in tier-II and tier-III cities.</w:t>
      </w:r>
    </w:p>
    <w:p>
      <w:r>
        <w:rPr>
          <w:b/>
          <w:color w:val="16314D"/>
        </w:rPr>
        <w:t xml:space="preserve">Travel is broadening beyond the room. </w:t>
      </w:r>
      <w:r>
        <w:t>Major platforms increasingly combine accommodation with attractions, restaurants, activities, experiences and other travel services.</w:t>
      </w:r>
    </w:p>
    <w:p>
      <w:r>
        <w:br w:type="page"/>
      </w:r>
    </w:p>
    <w:p>
      <w:pPr>
        <w:pStyle w:val="Heading1"/>
      </w:pPr>
      <w:r>
        <w:t>4. Traveler Behavior and Opportunity Signals</w:t>
      </w:r>
    </w:p>
    <w:tbl>
      <w:tblPr>
        <w:tblW w:type="auto" w:w="0"/>
        <w:jc w:val="center"/>
        <w:tblLook w:firstColumn="1" w:firstRow="1" w:lastColumn="0" w:lastRow="0" w:noHBand="0" w:noVBand="1" w:val="04A0"/>
      </w:tblPr>
      <w:tblGrid>
        <w:gridCol w:w="3465"/>
        <w:gridCol w:w="3465"/>
        <w:gridCol w:w="3465"/>
      </w:tblGrid>
      <w:tr>
        <w:trPr>
          <w:tblHeader w:val="true"/>
        </w:trPr>
        <w:tc>
          <w:tcPr>
            <w:tcW w:type="dxa" w:w="3465"/>
            <w:shd w:fill="16314D"/>
            <w:tcBorders>
              <w:top w:val="single" w:sz="5" w:color="16314D"/>
              <w:left w:val="single" w:sz="5" w:color="16314D"/>
              <w:bottom w:val="single" w:sz="5" w:color="16314D"/>
              <w:right w:val="single" w:sz="5" w:color="16314D"/>
            </w:tcBorders>
          </w:tcPr>
          <w:p>
            <w:r>
              <w:rPr>
                <w:b/>
                <w:color w:val="FFFFFF"/>
                <w:sz w:val="16"/>
              </w:rPr>
              <w:t>Signal</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Research evidence</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Vistara implication</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Personalization</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Airbnb/YouGov's 2026 India Gen Z study reported 95% said trips should feel personal and unique; 92% said the destination or stay should reflect personal taste.</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Supports personalized recommendations.</w:t>
            </w:r>
          </w:p>
        </w:tc>
      </w:tr>
      <w:tr>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Accommodation importance</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The same study reported accommodation was very or extremely important for 82% of respondents.</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Stay selection deserves focused design.</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Discovery</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The same study reported 90% were likely to seek places that had not been widely recommended or gone viral.</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Explore can support discovery beyond popularity.</w:t>
            </w:r>
          </w:p>
        </w:tc>
      </w:tr>
      <w:tr>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AI assistance</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Booking.com's 2026 Travel Predictions, based on 29,733 travelers across 33 markets, described strong openness to AI-powered suggestions.</w:t>
            </w:r>
          </w:p>
        </w:tc>
        <w:tc>
          <w:tcPr>
            <w:tcW w:type="dxa" w:w="3465"/>
            <w:shd w:fill="EDF4F8"/>
            <w:tcBorders>
              <w:top w:val="single" w:sz="4" w:color="CCD8E2"/>
              <w:left w:val="single" w:sz="4" w:color="CCD8E2"/>
              <w:bottom w:val="single" w:sz="4" w:color="CCD8E2"/>
              <w:right w:val="single" w:sz="4" w:color="CCD8E2"/>
            </w:tcBorders>
            <w:vAlign w:val="top"/>
          </w:tcPr>
          <w:p>
            <w:r>
              <w:rPr>
                <w:color w:val="263238"/>
                <w:sz w:val="15"/>
              </w:rPr>
              <w:t>Supports AI-assisted discovery with user control.</w:t>
            </w:r>
          </w:p>
        </w:tc>
      </w:tr>
      <w:tr>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AI trust</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Booking.com's 2025 Global AI Sentiment Report found 89% wanted AI in future travel planning, while 6% fully trusted AI and 12% were comfortable with AI making decisions independently.</w:t>
            </w:r>
          </w:p>
        </w:tc>
        <w:tc>
          <w:tcPr>
            <w:tcW w:type="dxa" w:w="3465"/>
            <w:shd w:fill="FFFFFF"/>
            <w:tcBorders>
              <w:top w:val="single" w:sz="4" w:color="CCD8E2"/>
              <w:left w:val="single" w:sz="4" w:color="CCD8E2"/>
              <w:bottom w:val="single" w:sz="4" w:color="CCD8E2"/>
              <w:right w:val="single" w:sz="4" w:color="CCD8E2"/>
            </w:tcBorders>
            <w:vAlign w:val="top"/>
          </w:tcPr>
          <w:p>
            <w:r>
              <w:rPr>
                <w:color w:val="263238"/>
                <w:sz w:val="15"/>
              </w:rPr>
              <w:t>Reasons and control matter.</w:t>
            </w:r>
          </w:p>
        </w:tc>
      </w:tr>
    </w:tbl>
    <w:p>
      <w:pPr>
        <w:pStyle w:val="Heading1"/>
      </w:pPr>
      <w:r>
        <w:t>5. Relevant Market Segments</w:t>
      </w:r>
    </w:p>
    <w:tbl>
      <w:tblPr>
        <w:tblW w:type="auto" w:w="0"/>
        <w:jc w:val="center"/>
        <w:tblLook w:firstColumn="1" w:firstRow="1" w:lastColumn="0" w:lastRow="0" w:noHBand="0" w:noVBand="1" w:val="04A0"/>
      </w:tblPr>
      <w:tblGrid>
        <w:gridCol w:w="5198"/>
        <w:gridCol w:w="5198"/>
      </w:tblGrid>
      <w:tr>
        <w:trPr>
          <w:tblHeader w:val="true"/>
        </w:trPr>
        <w:tc>
          <w:tcPr>
            <w:tcW w:type="dxa" w:w="5198"/>
            <w:shd w:fill="16314D"/>
            <w:tcBorders>
              <w:top w:val="single" w:sz="5" w:color="16314D"/>
              <w:left w:val="single" w:sz="5" w:color="16314D"/>
              <w:bottom w:val="single" w:sz="5" w:color="16314D"/>
              <w:right w:val="single" w:sz="5" w:color="16314D"/>
            </w:tcBorders>
          </w:tcPr>
          <w:p>
            <w:r>
              <w:rPr>
                <w:b/>
                <w:color w:val="FFFFFF"/>
                <w:sz w:val="16"/>
              </w:rPr>
              <w:t>Segment</w:t>
            </w:r>
          </w:p>
        </w:tc>
        <w:tc>
          <w:tcPr>
            <w:tcW w:type="dxa" w:w="5198"/>
            <w:shd w:fill="16314D"/>
            <w:tcBorders>
              <w:top w:val="single" w:sz="5" w:color="16314D"/>
              <w:left w:val="single" w:sz="5" w:color="16314D"/>
              <w:bottom w:val="single" w:sz="5" w:color="16314D"/>
              <w:right w:val="single" w:sz="5" w:color="16314D"/>
            </w:tcBorders>
          </w:tcPr>
          <w:p>
            <w:r>
              <w:rPr>
                <w:b/>
                <w:color w:val="FFFFFF"/>
                <w:sz w:val="16"/>
              </w:rPr>
              <w:t>Potential need</w:t>
            </w:r>
          </w:p>
        </w:tc>
      </w:tr>
      <w:tr>
        <w:tc>
          <w:tcPr>
            <w:tcW w:type="dxa" w:w="5198"/>
            <w:shd w:fill="FFFFFF"/>
            <w:tcBorders>
              <w:top w:val="single" w:sz="4" w:color="CCD8E2"/>
              <w:left w:val="single" w:sz="4" w:color="CCD8E2"/>
              <w:bottom w:val="single" w:sz="4" w:color="CCD8E2"/>
              <w:right w:val="single" w:sz="4" w:color="CCD8E2"/>
            </w:tcBorders>
          </w:tcPr>
          <w:p>
            <w:r>
              <w:rPr>
                <w:sz w:val="16"/>
              </w:rPr>
              <w:t>Budget / student travelers</w:t>
            </w:r>
          </w:p>
        </w:tc>
        <w:tc>
          <w:tcPr>
            <w:tcW w:type="dxa" w:w="5198"/>
            <w:shd w:fill="FFFFFF"/>
            <w:tcBorders>
              <w:top w:val="single" w:sz="4" w:color="CCD8E2"/>
              <w:left w:val="single" w:sz="4" w:color="CCD8E2"/>
              <w:bottom w:val="single" w:sz="4" w:color="CCD8E2"/>
              <w:right w:val="single" w:sz="4" w:color="CCD8E2"/>
            </w:tcBorders>
          </w:tcPr>
          <w:p>
            <w:r>
              <w:rPr>
                <w:sz w:val="16"/>
              </w:rPr>
              <w:t>Affordable stays, practical filters, convenient locations and simple discovery.</w:t>
            </w:r>
          </w:p>
        </w:tc>
      </w:tr>
      <w:tr>
        <w:tc>
          <w:tcPr>
            <w:tcW w:type="dxa" w:w="5198"/>
            <w:shd w:fill="EDF4F8"/>
            <w:tcBorders>
              <w:top w:val="single" w:sz="4" w:color="CCD8E2"/>
              <w:left w:val="single" w:sz="4" w:color="CCD8E2"/>
              <w:bottom w:val="single" w:sz="4" w:color="CCD8E2"/>
              <w:right w:val="single" w:sz="4" w:color="CCD8E2"/>
            </w:tcBorders>
          </w:tcPr>
          <w:p>
            <w:r>
              <w:rPr>
                <w:sz w:val="16"/>
              </w:rPr>
              <w:t>Leisure travelers</w:t>
            </w:r>
          </w:p>
        </w:tc>
        <w:tc>
          <w:tcPr>
            <w:tcW w:type="dxa" w:w="5198"/>
            <w:shd w:fill="EDF4F8"/>
            <w:tcBorders>
              <w:top w:val="single" w:sz="4" w:color="CCD8E2"/>
              <w:left w:val="single" w:sz="4" w:color="CCD8E2"/>
              <w:bottom w:val="single" w:sz="4" w:color="CCD8E2"/>
              <w:right w:val="single" w:sz="4" w:color="CCD8E2"/>
            </w:tcBorders>
          </w:tcPr>
          <w:p>
            <w:r>
              <w:rPr>
                <w:sz w:val="16"/>
              </w:rPr>
              <w:t>Accommodation plus ideas for what to do at the destination.</w:t>
            </w:r>
          </w:p>
        </w:tc>
      </w:tr>
      <w:tr>
        <w:tc>
          <w:tcPr>
            <w:tcW w:type="dxa" w:w="5198"/>
            <w:shd w:fill="FFFFFF"/>
            <w:tcBorders>
              <w:top w:val="single" w:sz="4" w:color="CCD8E2"/>
              <w:left w:val="single" w:sz="4" w:color="CCD8E2"/>
              <w:bottom w:val="single" w:sz="4" w:color="CCD8E2"/>
              <w:right w:val="single" w:sz="4" w:color="CCD8E2"/>
            </w:tcBorders>
          </w:tcPr>
          <w:p>
            <w:r>
              <w:rPr>
                <w:sz w:val="16"/>
              </w:rPr>
              <w:t>First-time visitors</w:t>
            </w:r>
          </w:p>
        </w:tc>
        <w:tc>
          <w:tcPr>
            <w:tcW w:type="dxa" w:w="5198"/>
            <w:shd w:fill="FFFFFF"/>
            <w:tcBorders>
              <w:top w:val="single" w:sz="4" w:color="CCD8E2"/>
              <w:left w:val="single" w:sz="4" w:color="CCD8E2"/>
              <w:bottom w:val="single" w:sz="4" w:color="CCD8E2"/>
              <w:right w:val="single" w:sz="4" w:color="CCD8E2"/>
            </w:tcBorders>
          </w:tcPr>
          <w:p>
            <w:r>
              <w:rPr>
                <w:sz w:val="16"/>
              </w:rPr>
              <w:t>Trust signals, useful reviews and local guidance.</w:t>
            </w:r>
          </w:p>
        </w:tc>
      </w:tr>
      <w:tr>
        <w:tc>
          <w:tcPr>
            <w:tcW w:type="dxa" w:w="5198"/>
            <w:shd w:fill="EDF4F8"/>
            <w:tcBorders>
              <w:top w:val="single" w:sz="4" w:color="CCD8E2"/>
              <w:left w:val="single" w:sz="4" w:color="CCD8E2"/>
              <w:bottom w:val="single" w:sz="4" w:color="CCD8E2"/>
              <w:right w:val="single" w:sz="4" w:color="CCD8E2"/>
            </w:tcBorders>
          </w:tcPr>
          <w:p>
            <w:r>
              <w:rPr>
                <w:sz w:val="16"/>
              </w:rPr>
              <w:t>Frequent travelers</w:t>
            </w:r>
          </w:p>
        </w:tc>
        <w:tc>
          <w:tcPr>
            <w:tcW w:type="dxa" w:w="5198"/>
            <w:shd w:fill="EDF4F8"/>
            <w:tcBorders>
              <w:top w:val="single" w:sz="4" w:color="CCD8E2"/>
              <w:left w:val="single" w:sz="4" w:color="CCD8E2"/>
              <w:bottom w:val="single" w:sz="4" w:color="CCD8E2"/>
              <w:right w:val="single" w:sz="4" w:color="CCD8E2"/>
            </w:tcBorders>
          </w:tcPr>
          <w:p>
            <w:r>
              <w:rPr>
                <w:sz w:val="16"/>
              </w:rPr>
              <w:t>Faster search, remembered preferences and relevant ranking.</w:t>
            </w:r>
          </w:p>
        </w:tc>
      </w:tr>
      <w:tr>
        <w:tc>
          <w:tcPr>
            <w:tcW w:type="dxa" w:w="5198"/>
            <w:shd w:fill="FFFFFF"/>
            <w:tcBorders>
              <w:top w:val="single" w:sz="4" w:color="CCD8E2"/>
              <w:left w:val="single" w:sz="4" w:color="CCD8E2"/>
              <w:bottom w:val="single" w:sz="4" w:color="CCD8E2"/>
              <w:right w:val="single" w:sz="4" w:color="CCD8E2"/>
            </w:tcBorders>
          </w:tcPr>
          <w:p>
            <w:r>
              <w:rPr>
                <w:sz w:val="16"/>
              </w:rPr>
              <w:t>Tier-II / Tier-III destination travelers</w:t>
            </w:r>
          </w:p>
        </w:tc>
        <w:tc>
          <w:tcPr>
            <w:tcW w:type="dxa" w:w="5198"/>
            <w:shd w:fill="FFFFFF"/>
            <w:tcBorders>
              <w:top w:val="single" w:sz="4" w:color="CCD8E2"/>
              <w:left w:val="single" w:sz="4" w:color="CCD8E2"/>
              <w:bottom w:val="single" w:sz="4" w:color="CCD8E2"/>
              <w:right w:val="single" w:sz="4" w:color="CCD8E2"/>
            </w:tcBorders>
          </w:tcPr>
          <w:p>
            <w:r>
              <w:rPr>
                <w:sz w:val="16"/>
              </w:rPr>
              <w:t>Relevant as hotel supply and demand expand beyond major metros.</w:t>
            </w:r>
          </w:p>
        </w:tc>
      </w:tr>
    </w:tbl>
    <w:p>
      <w:pPr>
        <w:pStyle w:val="Heading1"/>
      </w:pPr>
      <w:r>
        <w:t>6. Market Implications</w:t>
      </w:r>
    </w:p>
    <w:p>
      <w:r>
        <w:rPr>
          <w:b/>
          <w:color w:val="16314D"/>
        </w:rPr>
        <w:t xml:space="preserve">1. Reduce decision effort. </w:t>
      </w:r>
      <w:r>
        <w:t>Users have many choices; Vistara can use a transparent smart match.</w:t>
      </w:r>
    </w:p>
    <w:p>
      <w:r>
        <w:rPr>
          <w:b/>
          <w:color w:val="16314D"/>
        </w:rPr>
        <w:t xml:space="preserve">2. Put trust near the decision. </w:t>
      </w:r>
      <w:r>
        <w:t>Property verification should be visible alongside stay information.</w:t>
      </w:r>
    </w:p>
    <w:p>
      <w:r>
        <w:rPr>
          <w:b/>
          <w:color w:val="16314D"/>
        </w:rPr>
        <w:t xml:space="preserve">3. Explain AI. </w:t>
      </w:r>
      <w:r>
        <w:t>Show why a property was recommended and keep users in control.</w:t>
      </w:r>
    </w:p>
    <w:p>
      <w:r>
        <w:rPr>
          <w:b/>
          <w:color w:val="16314D"/>
        </w:rPr>
        <w:t xml:space="preserve">4. Connect the trip. </w:t>
      </w:r>
      <w:r>
        <w:t>Explore should follow the selected stay and surface relevant destination options.</w:t>
      </w:r>
    </w:p>
    <w:p>
      <w:r>
        <w:br w:type="page"/>
      </w:r>
    </w:p>
    <w:p>
      <w:pPr>
        <w:pStyle w:val="Heading1"/>
      </w:pPr>
      <w:r>
        <w:t>7. Market Gaps Relevant to the Prototype</w:t>
      </w:r>
    </w:p>
    <w:p>
      <w:r>
        <w:t>These are product inferences from the market evidence and competitor research. They should be validated further with direct user research.</w:t>
      </w:r>
    </w:p>
    <w:tbl>
      <w:tblPr>
        <w:tblW w:type="auto" w:w="0"/>
        <w:jc w:val="center"/>
        <w:tblLook w:firstColumn="1" w:firstRow="1" w:lastColumn="0" w:lastRow="0" w:noHBand="0" w:noVBand="1" w:val="04A0"/>
      </w:tblPr>
      <w:tblGrid>
        <w:gridCol w:w="3465"/>
        <w:gridCol w:w="3465"/>
        <w:gridCol w:w="3465"/>
      </w:tblGrid>
      <w:tr>
        <w:trPr>
          <w:tblHeader w:val="true"/>
        </w:trPr>
        <w:tc>
          <w:tcPr>
            <w:tcW w:type="dxa" w:w="3465"/>
            <w:shd w:fill="16314D"/>
            <w:tcBorders>
              <w:top w:val="single" w:sz="5" w:color="16314D"/>
              <w:left w:val="single" w:sz="5" w:color="16314D"/>
              <w:bottom w:val="single" w:sz="5" w:color="16314D"/>
              <w:right w:val="single" w:sz="5" w:color="16314D"/>
            </w:tcBorders>
          </w:tcPr>
          <w:p>
            <w:r>
              <w:rPr>
                <w:b/>
                <w:color w:val="FFFFFF"/>
                <w:sz w:val="16"/>
              </w:rPr>
              <w:t>Gap</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What the market shows</w:t>
            </w:r>
          </w:p>
        </w:tc>
        <w:tc>
          <w:tcPr>
            <w:tcW w:type="dxa" w:w="3465"/>
            <w:shd w:fill="16314D"/>
            <w:tcBorders>
              <w:top w:val="single" w:sz="5" w:color="16314D"/>
              <w:left w:val="single" w:sz="5" w:color="16314D"/>
              <w:bottom w:val="single" w:sz="5" w:color="16314D"/>
              <w:right w:val="single" w:sz="5" w:color="16314D"/>
            </w:tcBorders>
          </w:tcPr>
          <w:p>
            <w:r>
              <w:rPr>
                <w:b/>
                <w:color w:val="FFFFFF"/>
                <w:sz w:val="16"/>
              </w:rPr>
              <w:t>Vistara response</w:t>
            </w:r>
          </w:p>
        </w:tc>
      </w:tr>
      <w:tr>
        <w:tc>
          <w:tcPr>
            <w:tcW w:type="dxa" w:w="3465"/>
            <w:shd w:fill="FFFFFF"/>
            <w:tcBorders>
              <w:top w:val="single" w:sz="4" w:color="CCD8E2"/>
              <w:left w:val="single" w:sz="4" w:color="CCD8E2"/>
              <w:bottom w:val="single" w:sz="4" w:color="CCD8E2"/>
              <w:right w:val="single" w:sz="4" w:color="CCD8E2"/>
            </w:tcBorders>
            <w:vAlign w:val="top"/>
          </w:tcPr>
          <w:p>
            <w:r>
              <w:rPr>
                <w:sz w:val="16"/>
              </w:rPr>
              <w:t>Choice overload</w:t>
            </w:r>
          </w:p>
        </w:tc>
        <w:tc>
          <w:tcPr>
            <w:tcW w:type="dxa" w:w="3465"/>
            <w:shd w:fill="FFFFFF"/>
            <w:tcBorders>
              <w:top w:val="single" w:sz="4" w:color="CCD8E2"/>
              <w:left w:val="single" w:sz="4" w:color="CCD8E2"/>
              <w:bottom w:val="single" w:sz="4" w:color="CCD8E2"/>
              <w:right w:val="single" w:sz="4" w:color="CCD8E2"/>
            </w:tcBorders>
            <w:vAlign w:val="top"/>
          </w:tcPr>
          <w:p>
            <w:r>
              <w:rPr>
                <w:sz w:val="16"/>
              </w:rPr>
              <w:t>Large inventories and filters can still leave users comparing many similar properties.</w:t>
            </w:r>
          </w:p>
        </w:tc>
        <w:tc>
          <w:tcPr>
            <w:tcW w:type="dxa" w:w="3465"/>
            <w:shd w:fill="FFFFFF"/>
            <w:tcBorders>
              <w:top w:val="single" w:sz="4" w:color="CCD8E2"/>
              <w:left w:val="single" w:sz="4" w:color="CCD8E2"/>
              <w:bottom w:val="single" w:sz="4" w:color="CCD8E2"/>
              <w:right w:val="single" w:sz="4" w:color="CCD8E2"/>
            </w:tcBorders>
            <w:vAlign w:val="top"/>
          </w:tcPr>
          <w:p>
            <w:r>
              <w:rPr>
                <w:sz w:val="16"/>
              </w:rPr>
              <w:t>Transparent smart match.</w:t>
            </w:r>
          </w:p>
        </w:tc>
      </w:tr>
      <w:tr>
        <w:tc>
          <w:tcPr>
            <w:tcW w:type="dxa" w:w="3465"/>
            <w:shd w:fill="EDF4F8"/>
            <w:tcBorders>
              <w:top w:val="single" w:sz="4" w:color="CCD8E2"/>
              <w:left w:val="single" w:sz="4" w:color="CCD8E2"/>
              <w:bottom w:val="single" w:sz="4" w:color="CCD8E2"/>
              <w:right w:val="single" w:sz="4" w:color="CCD8E2"/>
            </w:tcBorders>
            <w:vAlign w:val="top"/>
          </w:tcPr>
          <w:p>
            <w:r>
              <w:rPr>
                <w:sz w:val="16"/>
              </w:rPr>
              <w:t>Trust at decision time</w:t>
            </w:r>
          </w:p>
        </w:tc>
        <w:tc>
          <w:tcPr>
            <w:tcW w:type="dxa" w:w="3465"/>
            <w:shd w:fill="EDF4F8"/>
            <w:tcBorders>
              <w:top w:val="single" w:sz="4" w:color="CCD8E2"/>
              <w:left w:val="single" w:sz="4" w:color="CCD8E2"/>
              <w:bottom w:val="single" w:sz="4" w:color="CCD8E2"/>
              <w:right w:val="single" w:sz="4" w:color="CCD8E2"/>
            </w:tcBorders>
            <w:vAlign w:val="top"/>
          </w:tcPr>
          <w:p>
            <w:r>
              <w:rPr>
                <w:sz w:val="16"/>
              </w:rPr>
              <w:t>Reviews and verification exist, but users still need quick credibility signals.</w:t>
            </w:r>
          </w:p>
        </w:tc>
        <w:tc>
          <w:tcPr>
            <w:tcW w:type="dxa" w:w="3465"/>
            <w:shd w:fill="EDF4F8"/>
            <w:tcBorders>
              <w:top w:val="single" w:sz="4" w:color="CCD8E2"/>
              <w:left w:val="single" w:sz="4" w:color="CCD8E2"/>
              <w:bottom w:val="single" w:sz="4" w:color="CCD8E2"/>
              <w:right w:val="single" w:sz="4" w:color="CCD8E2"/>
            </w:tcBorders>
            <w:vAlign w:val="top"/>
          </w:tcPr>
          <w:p>
            <w:r>
              <w:rPr>
                <w:sz w:val="16"/>
              </w:rPr>
              <w:t>Clear property verification status.</w:t>
            </w:r>
          </w:p>
        </w:tc>
      </w:tr>
      <w:tr>
        <w:tc>
          <w:tcPr>
            <w:tcW w:type="dxa" w:w="3465"/>
            <w:shd w:fill="FFFFFF"/>
            <w:tcBorders>
              <w:top w:val="single" w:sz="4" w:color="CCD8E2"/>
              <w:left w:val="single" w:sz="4" w:color="CCD8E2"/>
              <w:bottom w:val="single" w:sz="4" w:color="CCD8E2"/>
              <w:right w:val="single" w:sz="4" w:color="CCD8E2"/>
            </w:tcBorders>
            <w:vAlign w:val="top"/>
          </w:tcPr>
          <w:p>
            <w:r>
              <w:rPr>
                <w:sz w:val="16"/>
              </w:rPr>
              <w:t>Black-box recommendations</w:t>
            </w:r>
          </w:p>
        </w:tc>
        <w:tc>
          <w:tcPr>
            <w:tcW w:type="dxa" w:w="3465"/>
            <w:shd w:fill="FFFFFF"/>
            <w:tcBorders>
              <w:top w:val="single" w:sz="4" w:color="CCD8E2"/>
              <w:left w:val="single" w:sz="4" w:color="CCD8E2"/>
              <w:bottom w:val="single" w:sz="4" w:color="CCD8E2"/>
              <w:right w:val="single" w:sz="4" w:color="CCD8E2"/>
            </w:tcBorders>
            <w:vAlign w:val="top"/>
          </w:tcPr>
          <w:p>
            <w:r>
              <w:rPr>
                <w:sz w:val="16"/>
              </w:rPr>
              <w:t>AI is attractive, but full autonomous AI trust is limited.</w:t>
            </w:r>
          </w:p>
        </w:tc>
        <w:tc>
          <w:tcPr>
            <w:tcW w:type="dxa" w:w="3465"/>
            <w:shd w:fill="FFFFFF"/>
            <w:tcBorders>
              <w:top w:val="single" w:sz="4" w:color="CCD8E2"/>
              <w:left w:val="single" w:sz="4" w:color="CCD8E2"/>
              <w:bottom w:val="single" w:sz="4" w:color="CCD8E2"/>
              <w:right w:val="single" w:sz="4" w:color="CCD8E2"/>
            </w:tcBorders>
            <w:vAlign w:val="top"/>
          </w:tcPr>
          <w:p>
            <w:r>
              <w:rPr>
                <w:sz w:val="16"/>
              </w:rPr>
              <w:t>Visible reasons + user controls.</w:t>
            </w:r>
          </w:p>
        </w:tc>
      </w:tr>
      <w:tr>
        <w:tc>
          <w:tcPr>
            <w:tcW w:type="dxa" w:w="3465"/>
            <w:shd w:fill="EDF4F8"/>
            <w:tcBorders>
              <w:top w:val="single" w:sz="4" w:color="CCD8E2"/>
              <w:left w:val="single" w:sz="4" w:color="CCD8E2"/>
              <w:bottom w:val="single" w:sz="4" w:color="CCD8E2"/>
              <w:right w:val="single" w:sz="4" w:color="CCD8E2"/>
            </w:tcBorders>
            <w:vAlign w:val="top"/>
          </w:tcPr>
          <w:p>
            <w:r>
              <w:rPr>
                <w:sz w:val="16"/>
              </w:rPr>
              <w:t>Fragmented destination planning</w:t>
            </w:r>
          </w:p>
        </w:tc>
        <w:tc>
          <w:tcPr>
            <w:tcW w:type="dxa" w:w="3465"/>
            <w:shd w:fill="EDF4F8"/>
            <w:tcBorders>
              <w:top w:val="single" w:sz="4" w:color="CCD8E2"/>
              <w:left w:val="single" w:sz="4" w:color="CCD8E2"/>
              <w:bottom w:val="single" w:sz="4" w:color="CCD8E2"/>
              <w:right w:val="single" w:sz="4" w:color="CCD8E2"/>
            </w:tcBorders>
            <w:vAlign w:val="top"/>
          </w:tcPr>
          <w:p>
            <w:r>
              <w:rPr>
                <w:sz w:val="16"/>
              </w:rPr>
              <w:t>Accommodation, attractions, food and experiences may be separate product areas.</w:t>
            </w:r>
          </w:p>
        </w:tc>
        <w:tc>
          <w:tcPr>
            <w:tcW w:type="dxa" w:w="3465"/>
            <w:shd w:fill="EDF4F8"/>
            <w:tcBorders>
              <w:top w:val="single" w:sz="4" w:color="CCD8E2"/>
              <w:left w:val="single" w:sz="4" w:color="CCD8E2"/>
              <w:bottom w:val="single" w:sz="4" w:color="CCD8E2"/>
              <w:right w:val="single" w:sz="4" w:color="CCD8E2"/>
            </w:tcBorders>
            <w:vAlign w:val="top"/>
          </w:tcPr>
          <w:p>
            <w:r>
              <w:rPr>
                <w:sz w:val="16"/>
              </w:rPr>
              <w:t>Explore connects stay + nearby options.</w:t>
            </w:r>
          </w:p>
        </w:tc>
      </w:tr>
      <w:tr>
        <w:tc>
          <w:tcPr>
            <w:tcW w:type="dxa" w:w="3465"/>
            <w:shd w:fill="FFFFFF"/>
            <w:tcBorders>
              <w:top w:val="single" w:sz="4" w:color="CCD8E2"/>
              <w:left w:val="single" w:sz="4" w:color="CCD8E2"/>
              <w:bottom w:val="single" w:sz="4" w:color="CCD8E2"/>
              <w:right w:val="single" w:sz="4" w:color="CCD8E2"/>
            </w:tcBorders>
            <w:vAlign w:val="top"/>
          </w:tcPr>
          <w:p>
            <w:r>
              <w:rPr>
                <w:sz w:val="16"/>
              </w:rPr>
              <w:t>Local guidance discoverability</w:t>
            </w:r>
          </w:p>
        </w:tc>
        <w:tc>
          <w:tcPr>
            <w:tcW w:type="dxa" w:w="3465"/>
            <w:shd w:fill="FFFFFF"/>
            <w:tcBorders>
              <w:top w:val="single" w:sz="4" w:color="CCD8E2"/>
              <w:left w:val="single" w:sz="4" w:color="CCD8E2"/>
              <w:bottom w:val="single" w:sz="4" w:color="CCD8E2"/>
              <w:right w:val="single" w:sz="4" w:color="CCD8E2"/>
            </w:tcBorders>
            <w:vAlign w:val="top"/>
          </w:tcPr>
          <w:p>
            <w:r>
              <w:rPr>
                <w:sz w:val="16"/>
              </w:rPr>
              <w:t>Guides and local content exist but can feel separate.</w:t>
            </w:r>
          </w:p>
        </w:tc>
        <w:tc>
          <w:tcPr>
            <w:tcW w:type="dxa" w:w="3465"/>
            <w:shd w:fill="FFFFFF"/>
            <w:tcBorders>
              <w:top w:val="single" w:sz="4" w:color="CCD8E2"/>
              <w:left w:val="single" w:sz="4" w:color="CCD8E2"/>
              <w:bottom w:val="single" w:sz="4" w:color="CCD8E2"/>
              <w:right w:val="single" w:sz="4" w:color="CCD8E2"/>
            </w:tcBorders>
            <w:vAlign w:val="top"/>
          </w:tcPr>
          <w:p>
            <w:r>
              <w:rPr>
                <w:sz w:val="16"/>
              </w:rPr>
              <w:t>Keep Local Guidance inside Explore.</w:t>
            </w:r>
          </w:p>
        </w:tc>
      </w:tr>
    </w:tbl>
    <w:p>
      <w:pPr>
        <w:pStyle w:val="Heading1"/>
      </w:pPr>
      <w:r>
        <w:t>8. Why the Market Supports Vistara</w:t>
      </w:r>
    </w:p>
    <w:p>
      <w:pPr>
        <w:pStyle w:val="ListBullet"/>
      </w:pPr>
      <w:r>
        <w:t>India has a very large domestic travel base.</w:t>
      </w:r>
    </w:p>
    <w:p>
      <w:pPr>
        <w:pStyle w:val="ListBullet"/>
      </w:pPr>
      <w:r>
        <w:t>Digital and mobile-first travel booking is established and continuing to expand.</w:t>
      </w:r>
    </w:p>
    <w:p>
      <w:pPr>
        <w:pStyle w:val="ListBullet"/>
      </w:pPr>
      <w:r>
        <w:t>Accommodation remains a major part of the travel ecosystem.</w:t>
      </w:r>
    </w:p>
    <w:p>
      <w:pPr>
        <w:pStyle w:val="ListBullet"/>
      </w:pPr>
      <w:r>
        <w:t>Travelers show interest in personalization and discovery.</w:t>
      </w:r>
    </w:p>
    <w:p>
      <w:pPr>
        <w:pStyle w:val="ListBullet"/>
      </w:pPr>
      <w:r>
        <w:t>Trust and transparency matter when making travel decisions.</w:t>
      </w:r>
    </w:p>
    <w:p>
      <w:pPr>
        <w:pStyle w:val="Heading1"/>
      </w:pPr>
      <w:r>
        <w:t>9. Market Opportunity Statement</w:t>
      </w:r>
    </w:p>
    <w:tbl>
      <w:tblPr>
        <w:tblW w:type="auto" w:w="0"/>
        <w:tblLook w:firstColumn="1" w:firstRow="1" w:lastColumn="0" w:lastRow="0" w:noHBand="0" w:noVBand="1" w:val="04A0"/>
      </w:tblPr>
      <w:tblGrid>
        <w:gridCol w:w="10396"/>
      </w:tblGrid>
      <w:tr>
        <w:tc>
          <w:tcPr>
            <w:tcW w:type="dxa" w:w="10396"/>
            <w:shd w:fill="EDF4F8"/>
            <w:tcBorders>
              <w:top w:val="single" w:sz="8" w:color="16314D"/>
              <w:left w:val="single" w:sz="8" w:color="16314D"/>
              <w:bottom w:val="single" w:sz="8" w:color="16314D"/>
              <w:right w:val="single" w:sz="8" w:color="16314D"/>
            </w:tcBorders>
          </w:tcPr>
          <w:p>
            <w:r>
              <w:rPr>
                <w:b/>
                <w:color w:val="16314D"/>
                <w:sz w:val="20"/>
              </w:rPr>
              <w:t>VISTARA OPPORTUNITY</w:t>
            </w:r>
            <w:r>
              <w:rPr>
                <w:b/>
                <w:color w:val="263238"/>
                <w:sz w:val="20"/>
              </w:rPr>
              <w:br/>
              <w:t>Build a mobile-friendly travel experience that helps users choose a suitable stay, understand why it is recommended, see the property's verification status, and continue into destination discovery.</w:t>
            </w:r>
          </w:p>
        </w:tc>
      </w:tr>
    </w:tbl>
    <w:p>
      <w:pPr>
        <w:pStyle w:val="Heading1"/>
      </w:pPr>
      <w:r>
        <w:t>10. Market Research Limitations</w:t>
      </w:r>
    </w:p>
    <w:p>
      <w:r>
        <w:t>Market-size figures differ by definition, source and methodology. Some cover the total travel market, some online travel, and some hotels. Use them as directional evidence for the ideathon rather than as a precise Vistara revenue forecast.</w:t>
      </w:r>
    </w:p>
    <w:p>
      <w:r>
        <w:br w:type="page"/>
      </w:r>
    </w:p>
    <w:p>
      <w:pPr>
        <w:pStyle w:val="Heading1"/>
      </w:pPr>
      <w:r>
        <w:t>11. Key Sources</w:t>
      </w:r>
    </w:p>
    <w:p>
      <w:r>
        <w:rPr>
          <w:b/>
          <w:color w:val="16314D"/>
        </w:rPr>
        <w:t xml:space="preserve">Ministry of Tourism, Government of India — </w:t>
      </w:r>
      <w:r>
        <w:t>India Tourism Data Compendium 2025 / Tourism Data Portal.</w:t>
      </w:r>
    </w:p>
    <w:p>
      <w:r>
        <w:rPr>
          <w:b/>
          <w:color w:val="16314D"/>
        </w:rPr>
        <w:t xml:space="preserve">WTTC — </w:t>
      </w:r>
      <w:r>
        <w:t>India Travel &amp; Tourism Economic Impact Research, 2026.</w:t>
      </w:r>
    </w:p>
    <w:p>
      <w:r>
        <w:rPr>
          <w:b/>
          <w:color w:val="16314D"/>
        </w:rPr>
        <w:t xml:space="preserve">Phocuswright — </w:t>
      </w:r>
      <w:r>
        <w:t>India Travel Market Essentials 2026.</w:t>
      </w:r>
    </w:p>
    <w:p>
      <w:r>
        <w:rPr>
          <w:b/>
          <w:color w:val="16314D"/>
        </w:rPr>
        <w:t xml:space="preserve">IBEF — </w:t>
      </w:r>
      <w:r>
        <w:t>Tourism &amp; Hospitality Industry in India; ICRA/JLL-derived updates.</w:t>
      </w:r>
    </w:p>
    <w:p>
      <w:r>
        <w:rPr>
          <w:b/>
          <w:color w:val="16314D"/>
        </w:rPr>
        <w:t xml:space="preserve">Mordor Intelligence — </w:t>
      </w:r>
      <w:r>
        <w:t>India Online Travel Market 2025–2031.</w:t>
      </w:r>
    </w:p>
    <w:p>
      <w:r>
        <w:rPr>
          <w:b/>
          <w:color w:val="16314D"/>
        </w:rPr>
        <w:t xml:space="preserve">Airbnb / YouGov — </w:t>
      </w:r>
      <w:r>
        <w:t>Never the Same: The New Rules of Gen Z Travel in India (2026).</w:t>
      </w:r>
    </w:p>
    <w:p>
      <w:r>
        <w:rPr>
          <w:b/>
          <w:color w:val="16314D"/>
        </w:rPr>
        <w:t xml:space="preserve">Booking.com — </w:t>
      </w:r>
      <w:r>
        <w:t>The Era of YOU: Travel Predictions 2026.</w:t>
      </w:r>
    </w:p>
    <w:p>
      <w:r>
        <w:rPr>
          <w:b/>
          <w:color w:val="16314D"/>
        </w:rPr>
        <w:t xml:space="preserve">Booking.com — </w:t>
      </w:r>
      <w:r>
        <w:t>Global AI Sentiment Report (2025).</w:t>
      </w:r>
    </w:p>
    <w:p>
      <w:pPr>
        <w:pStyle w:val="Heading1"/>
      </w:pPr>
      <w:r>
        <w:t>12. Final Research Takeaway</w:t>
      </w:r>
    </w:p>
    <w:tbl>
      <w:tblPr>
        <w:tblW w:type="auto" w:w="0"/>
        <w:tblLook w:firstColumn="1" w:firstRow="1" w:lastColumn="0" w:lastRow="0" w:noHBand="0" w:noVBand="1" w:val="04A0"/>
      </w:tblPr>
      <w:tblGrid>
        <w:gridCol w:w="10396"/>
      </w:tblGrid>
      <w:tr>
        <w:tc>
          <w:tcPr>
            <w:tcW w:type="dxa" w:w="10396"/>
            <w:shd w:fill="EDF4F8"/>
            <w:tcBorders>
              <w:top w:val="single" w:sz="8" w:color="16314D"/>
              <w:left w:val="single" w:sz="8" w:color="16314D"/>
              <w:bottom w:val="single" w:sz="8" w:color="16314D"/>
              <w:right w:val="single" w:sz="8" w:color="16314D"/>
            </w:tcBorders>
          </w:tcPr>
          <w:p>
            <w:r>
              <w:rPr>
                <w:b/>
                <w:color w:val="16314D"/>
                <w:sz w:val="20"/>
              </w:rPr>
              <w:t>MARKET DIRECTION</w:t>
            </w:r>
            <w:r>
              <w:rPr>
                <w:b/>
                <w:sz w:val="20"/>
              </w:rPr>
              <w:br/>
              <w:t>Large domestic travel demand + digital/mobile booking + growing accommodation activity + interest in personalization and discovery create a credible market context for the Vistara prototype.</w:t>
            </w:r>
          </w:p>
        </w:tc>
      </w:tr>
    </w:tbl>
    <w:sectPr w:rsidR="00FC693F" w:rsidRPr="0006063C" w:rsidSect="00034616">
      <w:footerReference w:type="default" r:id="rId9"/>
      <w:pgSz w:w="12240" w:h="15840"/>
      <w:pgMar w:top="893" w:right="922" w:bottom="893"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D"/>
        <w:sz w:val="16"/>
      </w:rPr>
      <w:t>Vistara | INNOVERSE Market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14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1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1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