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Kiln User Manual</w:t>
      </w:r>
    </w:p>
    <w:p>
      <w:r>
        <w:t xml:space="preserve">Generated from the working implementation on </w:t>
      </w:r>
      <w:r>
        <w:rPr>
          <w:b/>
        </w:rPr>
        <w:t>2026-09-28</w:t>
      </w:r>
      <w:r>
        <w:t>.</w:t>
      </w:r>
    </w:p>
    <w:p>
      <w:r>
        <w:t>Kiln is a local terminal workspace for building, researching and comparing ideas with an AI operator. One operator conversation can use tools, delegate scoped work, review returned artifacts and continue after interruption. The operator's final message is a report: inspect its checks and remaining work before treating the task as verified.</w:t>
      </w:r>
    </w:p>
    <w:p>
      <w:pPr>
        <w:pStyle w:val="Heading1"/>
      </w:pPr>
      <w:r>
        <w:t>1 Install and open</w:t>
      </w:r>
    </w:p>
    <w:p>
      <w:r>
        <w:t>You need Git and Bun 1.3.14 or newer. Keep the checkout and dependencies downloaded locally; cloud-evicted files can delay startup.</w:t>
      </w:r>
    </w:p>
    <w:p>
      <w:pPr>
        <w:pStyle w:val="Command"/>
        <w:keepLines/>
      </w:pPr>
      <w:r>
        <w:t>git clone https://github.com/vkalipat/kiln.git</w:t>
        <w:br/>
        <w:t>cd kiln</w:t>
        <w:br/>
        <w:t>bun install --frozen-lockfile</w:t>
        <w:br/>
        <w:t>bun link</w:t>
        <w:br/>
        <w:t>kiln</w:t>
      </w:r>
    </w:p>
    <w:p>
      <w:r>
        <w:t xml:space="preserve">Without linking, run </w:t>
      </w:r>
      <w:r>
        <w:rPr>
          <w:rFonts w:ascii="Courier New" w:hAnsi="Courier New"/>
          <w:sz w:val="18"/>
        </w:rPr>
        <w:t>bun run kiln</w:t>
      </w:r>
      <w:r>
        <w:t xml:space="preserve"> from the repository. Installation applies the tracked patch for Kiln's local OAuth callback page. Keep </w:t>
      </w:r>
      <w:r>
        <w:rPr>
          <w:rFonts w:ascii="Courier New" w:hAnsi="Courier New"/>
          <w:sz w:val="18"/>
        </w:rPr>
        <w:t>patches/</w:t>
      </w:r>
      <w:r>
        <w:t xml:space="preserve">, </w:t>
      </w:r>
      <w:r>
        <w:rPr>
          <w:rFonts w:ascii="Courier New" w:hAnsi="Courier New"/>
          <w:sz w:val="18"/>
        </w:rPr>
        <w:t>package.json</w:t>
      </w:r>
      <w:r>
        <w:t xml:space="preserve"> and </w:t>
      </w:r>
      <w:r>
        <w:rPr>
          <w:rFonts w:ascii="Courier New" w:hAnsi="Courier New"/>
          <w:sz w:val="18"/>
        </w:rPr>
        <w:t>bun.lock</w:t>
      </w:r>
      <w:r>
        <w:t xml:space="preserve"> together when updating or distributing the checkout.</w:t>
      </w:r>
    </w:p>
    <w:p>
      <w:r>
        <w:t xml:space="preserve">Kiln stores its state in </w:t>
      </w:r>
      <w:r>
        <w:rPr>
          <w:rFonts w:ascii="Courier New" w:hAnsi="Courier New"/>
          <w:sz w:val="18"/>
        </w:rPr>
        <w:t>~/.kiln</w:t>
      </w:r>
      <w:r>
        <w:t xml:space="preserve"> by default. </w:t>
      </w:r>
      <w:r>
        <w:rPr>
          <w:rFonts w:ascii="Courier New" w:hAnsi="Courier New"/>
          <w:sz w:val="18"/>
        </w:rPr>
        <w:t>KILN_HOME</w:t>
      </w:r>
      <w:r>
        <w:t xml:space="preserve"> or the supported </w:t>
      </w:r>
      <w:r>
        <w:rPr>
          <w:rFonts w:ascii="Courier New" w:hAnsi="Courier New"/>
          <w:sz w:val="18"/>
        </w:rPr>
        <w:t>--home DIR</w:t>
      </w:r>
      <w:r>
        <w:t xml:space="preserve"> command flag selects a different home. Run artifacts, credential storage and the working repository are separate: a task's </w:t>
      </w:r>
      <w:r>
        <w:rPr>
          <w:rFonts w:ascii="Courier New" w:hAnsi="Courier New"/>
          <w:sz w:val="18"/>
        </w:rPr>
        <w:t>--cwd</w:t>
      </w:r>
      <w:r>
        <w:t xml:space="preserve"> identifies the repository it works on.</w:t>
      </w:r>
    </w:p>
    <w:p>
      <w:r>
        <w:t xml:space="preserve">Opening the TUI does not call a model. A plain greeting such as </w:t>
      </w:r>
      <w:r>
        <w:rPr>
          <w:rFonts w:ascii="Courier New" w:hAnsi="Courier New"/>
          <w:sz w:val="18"/>
        </w:rPr>
        <w:t>hello</w:t>
      </w:r>
      <w:r>
        <w:t xml:space="preserve"> or </w:t>
      </w:r>
      <w:r>
        <w:rPr>
          <w:rFonts w:ascii="Courier New" w:hAnsi="Courier New"/>
          <w:sz w:val="18"/>
        </w:rPr>
        <w:t>hi Kiln</w:t>
      </w:r>
      <w:r>
        <w:t>, or a simple getting-started question, receives a local response. A greeting followed by an actual task still starts that task. For a real task, type the outcome you want and press Enter. If a provider is not connected, Kiln opens its chooser and retains your task.</w:t>
      </w:r>
    </w:p>
    <w:p>
      <w:pPr>
        <w:pStyle w:val="Heading1"/>
      </w:pPr>
      <w:r>
        <w:t>2 Connect your models</w:t>
      </w:r>
    </w:p>
    <w:p>
      <w:r>
        <w:t xml:space="preserve">Use the TUI's </w:t>
      </w:r>
      <w:r>
        <w:rPr>
          <w:rFonts w:ascii="Courier New" w:hAnsi="Courier New"/>
          <w:sz w:val="18"/>
        </w:rPr>
        <w:t>/login</w:t>
      </w:r>
      <w:r>
        <w:t>, or run:</w:t>
      </w:r>
    </w:p>
    <w:p>
      <w:pPr>
        <w:pStyle w:val="Command"/>
        <w:keepLines/>
      </w:pPr>
      <w:r>
        <w:t>kiln auth login</w:t>
        <w:br/>
        <w:t>kiln auth login anthropic</w:t>
        <w:br/>
        <w:t>kiln auth login openai</w:t>
      </w:r>
    </w:p>
    <w:p>
      <w:r>
        <w:t xml:space="preserve">The chooser distinguishes subscription sign-in from API-key billing. Browser sign-in uses your provider's authentication service. The local return page is branded Kiln and says </w:t>
      </w:r>
      <w:r>
        <w:rPr>
          <w:b/>
        </w:rPr>
        <w:t>Authorization received</w:t>
      </w:r>
      <w:r>
        <w:t>; the terminal confirms connection after token exchange completes. Provider-hosted consent continues to identify the actual registered OAuth application. Kiln does not rewrite that identity.</w:t>
      </w:r>
    </w:p>
    <w:p>
      <w:r>
        <w:t>Kiln owns its prompts and local page while reusing the native protocol engine. Fully Kiln-named provider-hosted consent would require a Kiln-owned OAuth application registration, any required provider approval and matching client configuration; that registration has not been completed, and this patch does not spoof an application's identity.</w:t>
      </w:r>
    </w:p>
    <w:p>
      <w:r>
        <w:t>If the browser callback is unavailable:</w:t>
      </w:r>
    </w:p>
    <w:p>
      <w:pPr>
        <w:pStyle w:val="Command"/>
        <w:keepLines/>
      </w:pPr>
      <w:r>
        <w:t>kiln auth login openai --device</w:t>
        <w:br/>
        <w:t>kiln auth login openai --no-browser</w:t>
      </w:r>
    </w:p>
    <w:p>
      <w:r>
        <w:t>The flow also retains a masked prompt for a redirect URL or authorization code. API keys use a separate masked prompt:</w:t>
      </w:r>
    </w:p>
    <w:p>
      <w:pPr>
        <w:pStyle w:val="Command"/>
        <w:keepLines/>
      </w:pPr>
      <w:r>
        <w:t>kiln auth key anthropic</w:t>
        <w:br/>
        <w:t>kiln auth key openai</w:t>
        <w:br/>
        <w:t>kiln auth status</w:t>
        <w:br/>
        <w:t>kiln auth status --json</w:t>
      </w:r>
    </w:p>
    <w:p>
      <w:r>
        <w:t xml:space="preserve">For automation, pipe a key from your secret manager to </w:t>
      </w:r>
      <w:r>
        <w:rPr>
          <w:rFonts w:ascii="Courier New" w:hAnsi="Courier New"/>
          <w:sz w:val="18"/>
        </w:rPr>
        <w:t>kiln auth key openai --api-key-stdin</w:t>
      </w:r>
      <w:r>
        <w:t xml:space="preserve">. Avoid placing actual secrets in command arguments or checked-in files. Existing provider environment variables, including </w:t>
      </w:r>
      <w:r>
        <w:rPr>
          <w:rFonts w:ascii="Courier New" w:hAnsi="Courier New"/>
          <w:sz w:val="18"/>
        </w:rPr>
        <w:t>ANTHROPIC_API_KEY</w:t>
      </w:r>
      <w:r>
        <w:t xml:space="preserve"> and </w:t>
      </w:r>
      <w:r>
        <w:rPr>
          <w:rFonts w:ascii="Courier New" w:hAnsi="Courier New"/>
          <w:sz w:val="18"/>
        </w:rPr>
        <w:t>OPENAI_API_KEY</w:t>
      </w:r>
      <w:r>
        <w:t>, can be used without copying their values into Kiln's credential file. Saving a key does not prove that the provider accepts it. Status is local credential discovery, not a live connection test.</w:t>
      </w:r>
    </w:p>
    <w:p>
      <w:pPr>
        <w:pStyle w:val="Command"/>
        <w:keepLines/>
      </w:pPr>
      <w:r>
        <w:t>kiln auth logout openai</w:t>
        <w:br/>
        <w:t>kiln auth logout all</w:t>
      </w:r>
    </w:p>
    <w:p>
      <w:r>
        <w:t xml:space="preserve">Logout removes stored credentials; an environment variable can still provide access. Inside the TUI, </w:t>
      </w:r>
      <w:r>
        <w:rPr>
          <w:rFonts w:ascii="Courier New" w:hAnsi="Courier New"/>
          <w:sz w:val="18"/>
        </w:rPr>
        <w:t>/auth</w:t>
      </w:r>
      <w:r>
        <w:t xml:space="preserve"> shows sources, </w:t>
      </w:r>
      <w:r>
        <w:rPr>
          <w:rFonts w:ascii="Courier New" w:hAnsi="Courier New"/>
          <w:sz w:val="18"/>
        </w:rPr>
        <w:t>/login openai device</w:t>
      </w:r>
      <w:r>
        <w:t xml:space="preserve"> uses device authorization, </w:t>
      </w:r>
      <w:r>
        <w:rPr>
          <w:rFonts w:ascii="Courier New" w:hAnsi="Courier New"/>
          <w:sz w:val="18"/>
        </w:rPr>
        <w:t>/login openai key</w:t>
      </w:r>
      <w:r>
        <w:t xml:space="preserve"> uses an API key, and </w:t>
      </w:r>
      <w:r>
        <w:rPr>
          <w:rFonts w:ascii="Courier New" w:hAnsi="Courier New"/>
          <w:sz w:val="18"/>
        </w:rPr>
        <w:t>/logout openai</w:t>
      </w:r>
      <w:r>
        <w:t xml:space="preserve"> removes stored OpenAI credentials.</w:t>
      </w:r>
    </w:p>
    <w:p>
      <w:pPr>
        <w:pStyle w:val="Heading1"/>
      </w:pPr>
      <w:r>
        <w:t>3 Work in the terminal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shd w:fill="E5E7EB"/>
            <w:tcMar>
              <w:top w:w="90" w:type="dxa"/>
              <w:left w:w="90" w:type="dxa"/>
              <w:bottom w:w="90" w:type="dxa"/>
              <w:right w:w="90" w:type="dxa"/>
            </w:tcMar>
          </w:tcPr>
          <w:p>
            <w:pPr>
              <w:spacing w:after="40"/>
            </w:pPr>
            <w:r>
              <w:rPr>
                <w:b/>
                <w:sz w:val="18"/>
              </w:rPr>
              <w:t>Control</w:t>
            </w:r>
          </w:p>
        </w:tc>
        <w:tc>
          <w:tcPr>
            <w:tcW w:type="dxa" w:w="7776"/>
            <w:vAlign w:val="center"/>
            <w:shd w:fill="E5E7EB"/>
            <w:tcMar>
              <w:top w:w="90" w:type="dxa"/>
              <w:left w:w="90" w:type="dxa"/>
              <w:bottom w:w="90" w:type="dxa"/>
              <w:right w:w="90" w:type="dxa"/>
            </w:tcMar>
          </w:tcPr>
          <w:p>
            <w:pPr>
              <w:spacing w:after="40"/>
            </w:pPr>
            <w:r>
              <w:rPr>
                <w:b/>
                <w:sz w:val="18"/>
              </w:rPr>
              <w:t>Result</w:t>
            </w:r>
          </w:p>
        </w:tc>
      </w:tr>
      <w:tr>
        <w:trPr>
          <w:cantSplit/>
        </w:trPr>
        <w:tc>
          <w:tcPr>
            <w:tcW w:type="dxa" w:w="2304"/>
            <w:vAlign w:val="center"/>
            <w:shd w:fill="FFFFFF"/>
            <w:tcMar>
              <w:top w:w="90" w:type="dxa"/>
              <w:left w:w="90" w:type="dxa"/>
              <w:bottom w:w="90" w:type="dxa"/>
              <w:right w:w="90" w:type="dxa"/>
            </w:tcMar>
          </w:tcPr>
          <w:p>
            <w:pPr>
              <w:spacing w:after="40"/>
            </w:pPr>
            <w:r>
              <w:rPr>
                <w:b w:val="0"/>
                <w:sz w:val="18"/>
              </w:rPr>
              <w:t>Enter</w:t>
            </w:r>
          </w:p>
        </w:tc>
        <w:tc>
          <w:tcPr>
            <w:tcW w:type="dxa" w:w="7776"/>
            <w:vAlign w:val="center"/>
            <w:shd w:fill="FFFFFF"/>
            <w:tcMar>
              <w:top w:w="90" w:type="dxa"/>
              <w:left w:w="90" w:type="dxa"/>
              <w:bottom w:w="90" w:type="dxa"/>
              <w:right w:w="90" w:type="dxa"/>
            </w:tcMar>
          </w:tcPr>
          <w:p>
            <w:pPr>
              <w:spacing w:after="40"/>
            </w:pPr>
            <w:r>
              <w:rPr>
                <w:b w:val="0"/>
                <w:sz w:val="18"/>
              </w:rPr>
              <w:t>Submit the prompt</w:t>
            </w:r>
          </w:p>
        </w:tc>
      </w:tr>
      <w:tr>
        <w:trPr>
          <w:cantSplit/>
        </w:trPr>
        <w:tc>
          <w:tcPr>
            <w:tcW w:type="dxa" w:w="2304"/>
            <w:vAlign w:val="center"/>
            <w:shd w:fill="FFFFFF"/>
            <w:tcMar>
              <w:top w:w="90" w:type="dxa"/>
              <w:left w:w="90" w:type="dxa"/>
              <w:bottom w:w="90" w:type="dxa"/>
              <w:right w:w="90" w:type="dxa"/>
            </w:tcMar>
          </w:tcPr>
          <w:p>
            <w:pPr>
              <w:spacing w:after="40"/>
            </w:pPr>
            <w:r>
              <w:rPr>
                <w:b w:val="0"/>
                <w:sz w:val="18"/>
              </w:rPr>
              <w:t>Ctrl+O</w:t>
            </w:r>
          </w:p>
        </w:tc>
        <w:tc>
          <w:tcPr>
            <w:tcW w:type="dxa" w:w="7776"/>
            <w:vAlign w:val="center"/>
            <w:shd w:fill="FFFFFF"/>
            <w:tcMar>
              <w:top w:w="90" w:type="dxa"/>
              <w:left w:w="90" w:type="dxa"/>
              <w:bottom w:w="90" w:type="dxa"/>
              <w:right w:w="90" w:type="dxa"/>
            </w:tcMar>
          </w:tcPr>
          <w:p>
            <w:pPr>
              <w:spacing w:after="40"/>
            </w:pPr>
            <w:r>
              <w:rPr>
                <w:b w:val="0"/>
                <w:sz w:val="18"/>
              </w:rPr>
              <w:t>Open the command palette</w:t>
            </w:r>
          </w:p>
        </w:tc>
      </w:tr>
      <w:tr>
        <w:trPr>
          <w:cantSplit/>
        </w:trPr>
        <w:tc>
          <w:tcPr>
            <w:tcW w:type="dxa" w:w="2304"/>
            <w:vAlign w:val="center"/>
            <w:shd w:fill="FFFFFF"/>
            <w:tcMar>
              <w:top w:w="90" w:type="dxa"/>
              <w:left w:w="90" w:type="dxa"/>
              <w:bottom w:w="90" w:type="dxa"/>
              <w:right w:w="90" w:type="dxa"/>
            </w:tcMar>
          </w:tcPr>
          <w:p>
            <w:pPr>
              <w:spacing w:after="40"/>
            </w:pPr>
            <w:r>
              <w:rPr>
                <w:b w:val="0"/>
                <w:sz w:val="18"/>
              </w:rPr>
              <w:t>Ctrl+S</w:t>
            </w:r>
          </w:p>
        </w:tc>
        <w:tc>
          <w:tcPr>
            <w:tcW w:type="dxa" w:w="7776"/>
            <w:vAlign w:val="center"/>
            <w:shd w:fill="FFFFFF"/>
            <w:tcMar>
              <w:top w:w="90" w:type="dxa"/>
              <w:left w:w="90" w:type="dxa"/>
              <w:bottom w:w="90" w:type="dxa"/>
              <w:right w:w="90" w:type="dxa"/>
            </w:tcMar>
          </w:tcPr>
          <w:p>
            <w:pPr>
              <w:spacing w:after="40"/>
            </w:pPr>
            <w:r>
              <w:rPr>
                <w:b w:val="0"/>
                <w:sz w:val="18"/>
              </w:rPr>
              <w:t>Change reasoning effort</w:t>
            </w:r>
          </w:p>
        </w:tc>
      </w:tr>
      <w:tr>
        <w:trPr>
          <w:cantSplit/>
        </w:trPr>
        <w:tc>
          <w:tcPr>
            <w:tcW w:type="dxa" w:w="2304"/>
            <w:vAlign w:val="center"/>
            <w:shd w:fill="FFFFFF"/>
            <w:tcMar>
              <w:top w:w="90" w:type="dxa"/>
              <w:left w:w="90" w:type="dxa"/>
              <w:bottom w:w="90" w:type="dxa"/>
              <w:right w:w="90" w:type="dxa"/>
            </w:tcMar>
          </w:tcPr>
          <w:p>
            <w:pPr>
              <w:spacing w:after="40"/>
            </w:pPr>
            <w:r>
              <w:rPr>
                <w:b w:val="0"/>
                <w:sz w:val="18"/>
              </w:rPr>
              <w:t>Alt+T</w:t>
            </w:r>
          </w:p>
        </w:tc>
        <w:tc>
          <w:tcPr>
            <w:tcW w:type="dxa" w:w="7776"/>
            <w:vAlign w:val="center"/>
            <w:shd w:fill="FFFFFF"/>
            <w:tcMar>
              <w:top w:w="90" w:type="dxa"/>
              <w:left w:w="90" w:type="dxa"/>
              <w:bottom w:w="90" w:type="dxa"/>
              <w:right w:w="90" w:type="dxa"/>
            </w:tcMar>
          </w:tcPr>
          <w:p>
            <w:pPr>
              <w:spacing w:after="40"/>
            </w:pPr>
            <w:r>
              <w:rPr>
                <w:b w:val="0"/>
                <w:sz w:val="18"/>
              </w:rPr>
              <w:t>Expand or collapse tool details</w:t>
            </w:r>
          </w:p>
        </w:tc>
      </w:tr>
      <w:tr>
        <w:trPr>
          <w:cantSplit/>
        </w:trPr>
        <w:tc>
          <w:tcPr>
            <w:tcW w:type="dxa" w:w="2304"/>
            <w:vAlign w:val="center"/>
            <w:shd w:fill="FFFFFF"/>
            <w:tcMar>
              <w:top w:w="90" w:type="dxa"/>
              <w:left w:w="90" w:type="dxa"/>
              <w:bottom w:w="90" w:type="dxa"/>
              <w:right w:w="90" w:type="dxa"/>
            </w:tcMar>
          </w:tcPr>
          <w:p>
            <w:pPr>
              <w:spacing w:after="40"/>
            </w:pPr>
            <w:r>
              <w:rPr>
                <w:b w:val="0"/>
                <w:sz w:val="18"/>
              </w:rPr>
              <w:t>Esc</w:t>
            </w:r>
          </w:p>
        </w:tc>
        <w:tc>
          <w:tcPr>
            <w:tcW w:type="dxa" w:w="7776"/>
            <w:vAlign w:val="center"/>
            <w:shd w:fill="FFFFFF"/>
            <w:tcMar>
              <w:top w:w="90" w:type="dxa"/>
              <w:left w:w="90" w:type="dxa"/>
              <w:bottom w:w="90" w:type="dxa"/>
              <w:right w:w="90" w:type="dxa"/>
            </w:tcMar>
          </w:tcPr>
          <w:p>
            <w:pPr>
              <w:spacing w:after="40"/>
            </w:pPr>
            <w:r>
              <w:rPr>
                <w:b w:val="0"/>
                <w:sz w:val="18"/>
              </w:rPr>
              <w:t>Pause the active step</w:t>
            </w:r>
          </w:p>
        </w:tc>
      </w:tr>
      <w:tr>
        <w:trPr>
          <w:cantSplit/>
        </w:trPr>
        <w:tc>
          <w:tcPr>
            <w:tcW w:type="dxa" w:w="2304"/>
            <w:vAlign w:val="center"/>
            <w:shd w:fill="FFFFFF"/>
            <w:tcMar>
              <w:top w:w="90" w:type="dxa"/>
              <w:left w:w="90" w:type="dxa"/>
              <w:bottom w:w="90" w:type="dxa"/>
              <w:right w:w="90" w:type="dxa"/>
            </w:tcMar>
          </w:tcPr>
          <w:p>
            <w:pPr>
              <w:spacing w:after="40"/>
            </w:pPr>
            <w:r>
              <w:rPr>
                <w:b w:val="0"/>
                <w:sz w:val="18"/>
              </w:rPr>
              <w:t>Ctrl+C</w:t>
            </w:r>
          </w:p>
        </w:tc>
        <w:tc>
          <w:tcPr>
            <w:tcW w:type="dxa" w:w="7776"/>
            <w:vAlign w:val="center"/>
            <w:shd w:fill="FFFFFF"/>
            <w:tcMar>
              <w:top w:w="90" w:type="dxa"/>
              <w:left w:w="90" w:type="dxa"/>
              <w:bottom w:w="90" w:type="dxa"/>
              <w:right w:w="90" w:type="dxa"/>
            </w:tcMar>
          </w:tcPr>
          <w:p>
            <w:pPr>
              <w:spacing w:after="40"/>
            </w:pPr>
            <w:r>
              <w:rPr>
                <w:b w:val="0"/>
                <w:sz w:val="18"/>
              </w:rPr>
              <w:t>Exit</w:t>
            </w:r>
          </w:p>
        </w:tc>
      </w:tr>
    </w:tbl>
    <w:p>
      <w:pPr>
        <w:spacing w:after="20"/>
      </w:pPr>
    </w:p>
    <w:p>
      <w:r>
        <w:rPr>
          <w:rFonts w:ascii="Courier New" w:hAnsi="Courier New"/>
          <w:sz w:val="18"/>
        </w:rPr>
        <w:t>NO_ANIMATION=1 kiln</w:t>
      </w:r>
      <w:r>
        <w:t xml:space="preserve"> keeps the welcome artwork static. Narrow terminals use a smaller layout. The conversation view stays stable after work begins.</w:t>
      </w:r>
    </w:p>
    <w:p>
      <w:r>
        <w:t>The status area shows activity, cost, work type, model, effort and directory. A worker's route or a reviewer recommendation does not replace the main operator's model display. A failed switch is not presented as an applied route.</w:t>
      </w:r>
    </w:p>
    <w:p>
      <w:r>
        <w:t>During a running turn, another message steers the current work. After the turn settles, another message continues the same operator session. Give concrete acceptance conditions: what should exist, how to check it, and which decisions require your input.</w:t>
      </w:r>
    </w:p>
    <w:p>
      <w:r>
        <w:t>A scriptable equivalent is:</w:t>
      </w:r>
    </w:p>
    <w:p>
      <w:pPr>
        <w:pStyle w:val="Command"/>
        <w:keepLines/>
      </w:pPr>
      <w:r>
        <w:t>kiln task "Implement the CSV importer and check malformed input handling" --cwd . --budget 10 --wall-seconds 900</w:t>
        <w:br/>
        <w:t>kiln task resume RUN_ID "Continue with the remaining checks"</w:t>
        <w:br/>
        <w:t>kiln --run RUN_ID</w:t>
      </w:r>
    </w:p>
    <w:p>
      <w:r>
        <w:t xml:space="preserve">Copy </w:t>
      </w:r>
      <w:r>
        <w:rPr>
          <w:rFonts w:ascii="Courier New" w:hAnsi="Courier New"/>
          <w:sz w:val="18"/>
        </w:rPr>
        <w:t>RUN_ID</w:t>
      </w:r>
      <w:r>
        <w:t xml:space="preserve"> from the run output. </w:t>
      </w:r>
      <w:r>
        <w:rPr>
          <w:rFonts w:ascii="Courier New" w:hAnsi="Courier New"/>
          <w:sz w:val="18"/>
        </w:rPr>
        <w:t>kiln task resume RUN_ID</w:t>
      </w:r>
      <w:r>
        <w:t xml:space="preserve"> without a message reports the retained session instead of dispatching more work. Resume uses its saved scope and allocations; it is not a new free budget. Use </w:t>
      </w:r>
      <w:r>
        <w:rPr>
          <w:rFonts w:ascii="Courier New" w:hAnsi="Courier New"/>
          <w:sz w:val="18"/>
        </w:rPr>
        <w:t>--seed-file PATH</w:t>
      </w:r>
      <w:r>
        <w:t xml:space="preserve"> instead of inline task text when exact file contents should be the request. </w:t>
      </w:r>
      <w:r>
        <w:rPr>
          <w:rFonts w:ascii="Courier New" w:hAnsi="Courier New"/>
          <w:sz w:val="18"/>
        </w:rPr>
        <w:t>--json</w:t>
      </w:r>
      <w:r>
        <w:t xml:space="preserve"> produces a structured final report for scripts.</w:t>
      </w:r>
    </w:p>
    <w:p>
      <w:r>
        <w:t>Budget is an allocation, not an absolute invoice cap: an admitted in-flight request can finish after crossing its target. Paid provider work consumes API budget or subscription allowance. A resumed task preserves recorded spending. Do not describe an agent turn ending as proof that all acceptance conditions passed.</w:t>
      </w:r>
    </w:p>
    <w:p>
      <w:pPr>
        <w:pStyle w:val="Heading1"/>
      </w:pPr>
      <w:r>
        <w:t>4 Ask for parallel feature work</w:t>
      </w:r>
    </w:p>
    <w:p>
      <w:r>
        <w:t>For independent features, describe the scope and required checks, for example:</w:t>
      </w:r>
    </w:p>
    <w:p>
      <w:r>
        <w:t>Implement import validation and the results panel in parallel. Give each worker disjoint files, define the interface first, and have the parent recheck both handoffs before integration.</w:t>
      </w:r>
    </w:p>
    <w:p>
      <w:r>
        <w:t xml:space="preserve">Kiln's </w:t>
      </w:r>
      <w:r>
        <w:rPr>
          <w:rFonts w:ascii="Courier New" w:hAnsi="Courier New"/>
          <w:sz w:val="18"/>
        </w:rPr>
        <w:t>team</w:t>
      </w:r>
      <w:r>
        <w:t xml:space="preserve"> tool records the plan; native </w:t>
      </w:r>
      <w:r>
        <w:rPr>
          <w:rFonts w:ascii="Courier New" w:hAnsi="Courier New"/>
          <w:sz w:val="18"/>
        </w:rPr>
        <w:t>task</w:t>
      </w:r>
      <w:r>
        <w:t xml:space="preserve"> starts workers and </w:t>
      </w:r>
      <w:r>
        <w:rPr>
          <w:rFonts w:ascii="Courier New" w:hAnsi="Courier New"/>
          <w:sz w:val="18"/>
        </w:rPr>
        <w:t>hub</w:t>
      </w:r>
      <w:r>
        <w:t xml:space="preserve"> coordinates them. The parent defines each feature's objective, literal relative file or directory scopes, dependencies and acceptance criteria. Workers query the latest revision, claim a ready feature, work in their assigned scope and return artifact hashes plus check reports. Stale revisions, overlapping active scopes and unmet dependencies are rejected.</w:t>
      </w:r>
    </w:p>
    <w:p>
      <w:r>
        <w:t>Only the real parent operator can plan, accept or reopen features. Handoffs remain unverified claims until parent review. Acceptance records the parent's assessment and checks artifact identity; it does not independently prove a command ran. A failed feature can be reopened with a reason, preserving the old handoff history. Dependency artifacts are checked before downstream claims and acceptance.</w:t>
      </w:r>
    </w:p>
    <w:p>
      <w:r>
        <w:t xml:space="preserve">Ask the operator to call </w:t>
      </w:r>
      <w:r>
        <w:rPr>
          <w:rFonts w:ascii="Courier New" w:hAnsi="Courier New"/>
          <w:sz w:val="18"/>
        </w:rPr>
        <w:t>team</w:t>
      </w:r>
      <w:r>
        <w:t xml:space="preserve"> with </w:t>
      </w:r>
      <w:r>
        <w:rPr>
          <w:rFonts w:ascii="Courier New" w:hAnsi="Courier New"/>
          <w:sz w:val="18"/>
        </w:rPr>
        <w:t>action: "review_packet"</w:t>
      </w:r>
      <w:r>
        <w:t xml:space="preserve"> and the feature </w:t>
      </w:r>
      <w:r>
        <w:rPr>
          <w:rFonts w:ascii="Courier New" w:hAnsi="Courier New"/>
          <w:sz w:val="18"/>
        </w:rPr>
        <w:t>id</w:t>
      </w:r>
      <w:r>
        <w:t xml:space="preserve"> to see every stable acceptance-criterion ID, worker-declared artifact/check mappings and current artifact identity. Workers can include </w:t>
      </w:r>
      <w:r>
        <w:rPr>
          <w:rFonts w:ascii="Courier New" w:hAnsi="Courier New"/>
          <w:sz w:val="18"/>
        </w:rPr>
        <w:t>coverage</w:t>
      </w:r>
      <w:r>
        <w:t xml:space="preserve"> in handoffs, mapping each </w:t>
      </w:r>
      <w:r>
        <w:rPr>
          <w:rFonts w:ascii="Courier New" w:hAnsi="Courier New"/>
          <w:sz w:val="18"/>
        </w:rPr>
        <w:t>criterionId</w:t>
      </w:r>
      <w:r>
        <w:t xml:space="preserve"> to exact artifacts and zero-based </w:t>
      </w:r>
      <w:r>
        <w:rPr>
          <w:rFonts w:ascii="Courier New" w:hAnsi="Courier New"/>
          <w:sz w:val="18"/>
        </w:rPr>
        <w:t>checkIndices</w:t>
      </w:r>
      <w:r>
        <w:t>. Unmapped requirements remain visible. This is deterministic organization with no Jev call; check text remains an unverified claim and the parent must still review completeness and run appropriate checks.</w:t>
      </w:r>
    </w:p>
    <w:p>
      <w:r>
        <w:t xml:space="preserve">The ledger is </w:t>
      </w:r>
      <w:r>
        <w:rPr>
          <w:rFonts w:ascii="Courier New" w:hAnsi="Courier New"/>
          <w:sz w:val="18"/>
        </w:rPr>
        <w:t>team.json</w:t>
      </w:r>
      <w:r>
        <w:t xml:space="preserve"> in the run directory. It coordinates collaborators but does not sandbox their tools. The parent remains responsible for integration checks and the original requirements.</w:t>
      </w:r>
    </w:p>
    <w:p>
      <w:pPr>
        <w:pStyle w:val="Heading1"/>
      </w:pPr>
      <w:r>
        <w:t>5 Models effort and idea search</w:t>
      </w:r>
    </w:p>
    <w:p>
      <w:r>
        <w:t>Model choice and reasoning effort are separate. Roles describe jobs; effort controls how an eligible model reasons. Inspect the actual configuration and routing evidence:</w:t>
      </w:r>
    </w:p>
    <w:p>
      <w:pPr>
        <w:pStyle w:val="Command"/>
        <w:keepLines/>
      </w:pPr>
      <w:r>
        <w:t>kiln model roles --json</w:t>
        <w:br/>
        <w:t>kiln model routing</w:t>
        <w:br/>
        <w:t>kiln model plan "Build a tested data import tool" --json</w:t>
        <w:br/>
        <w:t>kiln model benchmarks show --json</w:t>
        <w:br/>
        <w:t>kiln mode show</w:t>
        <w:br/>
        <w:t>kiln mode set high</w:t>
        <w:br/>
        <w:t>kiln mode set auto</w:t>
      </w:r>
    </w:p>
    <w:p>
      <w:r>
        <w:rPr>
          <w:rFonts w:ascii="Courier New" w:hAnsi="Courier New"/>
          <w:sz w:val="18"/>
        </w:rPr>
        <w:t>kiln model routing adaptive</w:t>
      </w:r>
      <w:r>
        <w:t xml:space="preserve"> enables adaptive planning; </w:t>
      </w:r>
      <w:r>
        <w:rPr>
          <w:rFonts w:ascii="Courier New" w:hAnsi="Courier New"/>
          <w:sz w:val="18"/>
        </w:rPr>
        <w:t>manual</w:t>
      </w:r>
      <w:r>
        <w:t xml:space="preserve"> keeps configured role routing. Fresh homes use adaptive defaults; existing choices are preserved. </w:t>
      </w:r>
      <w:r>
        <w:rPr>
          <w:rFonts w:ascii="Courier New" w:hAnsi="Courier New"/>
          <w:sz w:val="18"/>
        </w:rPr>
        <w:t>mode set auto</w:t>
      </w:r>
      <w:r>
        <w:t xml:space="preserve"> restores role effort defaults. The TUI label </w:t>
      </w:r>
      <w:r>
        <w:rPr>
          <w:rFonts w:ascii="Courier New" w:hAnsi="Courier New"/>
          <w:sz w:val="18"/>
        </w:rPr>
        <w:t>ultra</w:t>
      </w:r>
      <w:r>
        <w:t xml:space="preserve"> maps to stored </w:t>
      </w:r>
      <w:r>
        <w:rPr>
          <w:rFonts w:ascii="Courier New" w:hAnsi="Courier New"/>
          <w:sz w:val="18"/>
        </w:rPr>
        <w:t>xhigh</w:t>
      </w:r>
      <w:r>
        <w:t>; it is not a different model. Effort changes during work apply at the next turn.</w:t>
      </w:r>
    </w:p>
    <w:p>
      <w:r>
        <w:t>Adaptive routing filters candidates through configured access and compatibility, then uses the available role evidence. A benchmark snapshot has a source and date; it is not live proof that a model is best for your task. An explicit benchmark import requires a reviewed snapshot and does not independently verify its claims.</w:t>
      </w:r>
    </w:p>
    <w:p>
      <w:r>
        <w:t xml:space="preserve">For an open-ended question, the operator can call </w:t>
      </w:r>
      <w:r>
        <w:rPr>
          <w:rFonts w:ascii="Courier New" w:hAnsi="Courier New"/>
          <w:sz w:val="18"/>
        </w:rPr>
        <w:t>ideate</w:t>
      </w:r>
      <w:r>
        <w:t>: research, distinct candidate generation, prior-art assessment, assigned probes and order-swapped pairwise comparisons produce inspectable artifacts and evidence gaps. It is more than a prose brainstorming prompt, but its output is still not experimental validation. Inadequate research stays unknown. A simple implementation task need not run competitive ideation.</w:t>
      </w:r>
    </w:p>
    <w:p>
      <w:pPr>
        <w:pStyle w:val="Heading1"/>
      </w:pPr>
      <w:r>
        <w:t>6 Explicit workflow runs</w:t>
      </w:r>
    </w:p>
    <w:p>
      <w:r>
        <w:t xml:space="preserve">Use </w:t>
      </w:r>
      <w:r>
        <w:rPr>
          <w:rFonts w:ascii="Courier New" w:hAnsi="Courier New"/>
          <w:sz w:val="18"/>
        </w:rPr>
        <w:t>task</w:t>
      </w:r>
      <w:r>
        <w:t xml:space="preserve"> for the persistent operator. Use </w:t>
      </w:r>
      <w:r>
        <w:rPr>
          <w:rFonts w:ascii="Courier New" w:hAnsi="Courier New"/>
          <w:sz w:val="18"/>
        </w:rPr>
        <w:t>run new</w:t>
      </w:r>
      <w:r>
        <w:t xml:space="preserve"> when you want the explicit phase workflow and checkpoint controls:</w:t>
      </w:r>
    </w:p>
    <w:p>
      <w:pPr>
        <w:pStyle w:val="Command"/>
        <w:keepLines/>
      </w:pPr>
      <w:r>
        <w:t>kiln run new "Explore ways to compare household energy use" --through checkpoint</w:t>
        <w:br/>
        <w:t>kiln ideas frontier RUN_ID --json</w:t>
        <w:br/>
        <w:t>kiln ideas pick RUN_ID IDEA_ID</w:t>
        <w:br/>
        <w:t>kiln project form RUN_ID</w:t>
        <w:br/>
        <w:t>kiln project build RUN_ID --yes</w:t>
        <w:br/>
        <w:t>kiln run resume RUN_ID --through reflect</w:t>
      </w:r>
    </w:p>
    <w:p>
      <w:r>
        <w:t xml:space="preserve">The phases are frame, discover, ideate, checkpoint, form, build and reflect. The adaptive route can omit unnecessary research or competitive ideation. </w:t>
      </w:r>
      <w:r>
        <w:rPr>
          <w:rFonts w:ascii="Courier New" w:hAnsi="Courier New"/>
          <w:sz w:val="18"/>
        </w:rPr>
        <w:t>--through</w:t>
      </w:r>
      <w:r>
        <w:t xml:space="preserve"> controls this invocation. Opening an existing phase run in the TUI preserves that workflow rather than converting it to an operator session.</w:t>
      </w:r>
    </w:p>
    <w:p>
      <w:pPr>
        <w:pStyle w:val="Command"/>
        <w:keepLines/>
      </w:pPr>
      <w:r>
        <w:t>kiln run list</w:t>
        <w:br/>
        <w:t>kiln run show RUN_ID</w:t>
        <w:br/>
        <w:t>kiln run record RUN_ID</w:t>
        <w:br/>
        <w:t>kiln project status RUN_ID --json</w:t>
        <w:br/>
        <w:t>kiln project audit RUN_ID --json</w:t>
        <w:br/>
        <w:t>kiln build pause RUN_ID</w:t>
      </w:r>
    </w:p>
    <w:p>
      <w:r>
        <w:t xml:space="preserve">After a transient discovery outage, inspect the diagnostic and use </w:t>
      </w:r>
      <w:r>
        <w:rPr>
          <w:rFonts w:ascii="Courier New" w:hAnsi="Courier New"/>
          <w:sz w:val="18"/>
        </w:rPr>
        <w:t>kiln run resume RUN_ID</w:t>
      </w:r>
      <w:r>
        <w:t xml:space="preserve"> when connectivity returns. Do not bypass integrity failures: inspect changed artifacts before considering explicit </w:t>
      </w:r>
      <w:r>
        <w:rPr>
          <w:rFonts w:ascii="Courier New" w:hAnsi="Courier New"/>
          <w:sz w:val="18"/>
        </w:rPr>
        <w:t>kiln project relock RUN_ID --confirm</w:t>
      </w:r>
      <w:r>
        <w:t xml:space="preserve">. See </w:t>
      </w:r>
      <w:hyperlink r:id="rId10">
        <w:r>
          <w:rPr>
            <w:color w:val="1155AA"/>
          </w:rPr>
          <w:t>detailed lifecycle and recovery</w:t>
        </w:r>
      </w:hyperlink>
      <w:r>
        <w:t>.</w:t>
      </w:r>
    </w:p>
    <w:p>
      <w:pPr>
        <w:pStyle w:val="Heading1"/>
      </w:pPr>
      <w:r>
        <w:t>7 Optional integrations</w:t>
      </w:r>
    </w:p>
    <w:p>
      <w:r>
        <w:rPr>
          <w:b/>
        </w:rPr>
        <w:t>Jev:</w:t>
      </w:r>
      <w:r>
        <w:t xml:space="preserve"> with </w:t>
      </w:r>
      <w:r>
        <w:rPr>
          <w:rFonts w:ascii="Courier New" w:hAnsi="Courier New"/>
          <w:sz w:val="18"/>
        </w:rPr>
        <w:t>TYPESAFE_API_KEY</w:t>
      </w:r>
      <w:r>
        <w:t xml:space="preserve"> supplied through your secret manager, new operator runs can classify ambiguous work transitions through </w:t>
      </w:r>
      <w:r>
        <w:rPr>
          <w:rFonts w:ascii="Courier New" w:hAnsi="Courier New"/>
          <w:sz w:val="18"/>
        </w:rPr>
        <w:t>route_step auto</w:t>
      </w:r>
      <w:r>
        <w:t xml:space="preserve">. Ordinary prompts keep their current role without a routing request. Explicit roles bypass Jev. Old Jev runs retain their saved per-prompt behavior on resume; changing mode requires a new run. </w:t>
      </w:r>
      <w:r>
        <w:rPr>
          <w:rFonts w:ascii="Courier New" w:hAnsi="Courier New"/>
          <w:sz w:val="18"/>
        </w:rPr>
        <w:t>KILN_JEV_ENABLED=0 kiln</w:t>
      </w:r>
      <w:r>
        <w:t xml:space="preserve"> disables external classification. No key means local routing.</w:t>
      </w:r>
    </w:p>
    <w:p>
      <w:pPr>
        <w:pStyle w:val="Command"/>
        <w:keepLines/>
      </w:pPr>
      <w:r>
        <w:t>kiln model suggest "Implement and test the parser" --step implement --json</w:t>
        <w:br/>
        <w:t>kiln model suggest "Compare candidate approaches" --step synthesize --jev --json</w:t>
      </w:r>
    </w:p>
    <w:p>
      <w:r>
        <w:t>The first is local; the second explicitly calls Jev. Neither dispatches a model or changes a live session.</w:t>
      </w:r>
    </w:p>
    <w:p>
      <w:pPr>
        <w:pStyle w:val="Heading2"/>
      </w:pPr>
      <w:r>
        <w:t>Experimental browser and research workflows</w:t>
      </w:r>
    </w:p>
    <w:p>
      <w:r>
        <w:t>With the TypeSafe key already configured externally, start a new run:</w:t>
      </w:r>
    </w:p>
    <w:p>
      <w:pPr>
        <w:pStyle w:val="Command"/>
        <w:keepLines/>
      </w:pPr>
      <w:r>
        <w:t>KILN_JEV_WORKFLOWS=1 kiln</w:t>
      </w:r>
    </w:p>
    <w:p>
      <w:r>
        <w:t xml:space="preserve">Ask the operator to use </w:t>
      </w:r>
      <w:r>
        <w:rPr>
          <w:rFonts w:ascii="Courier New" w:hAnsi="Courier New"/>
          <w:sz w:val="18"/>
        </w:rPr>
        <w:t>browser_task</w:t>
      </w:r>
      <w:r>
        <w:t xml:space="preserve"> on its existing owned tab. For example: “Use the existing search tab, fill the field labeled Search with kiln, click Search, and check that the results contain kiln.” The operator calls the tool directly outside </w:t>
      </w:r>
      <w:r>
        <w:rPr>
          <w:rFonts w:ascii="Courier New" w:hAnsi="Courier New"/>
          <w:sz w:val="18"/>
        </w:rPr>
        <w:t>eval</w:t>
      </w:r>
      <w:r>
        <w:t>, supplying exact allowed action labels, literal field values and fresh checks. Supported actions are click, fill, select, scroll and wait. It runs at most eight decisions over 30 seconds, returning when done, unsupported, stale, ambiguous or interrupted. It does not open a second browser. Uncertain inputs are not automatically repeated. A stale target can be reobserved within the same limits only when the executor proves no input occurred; completion checks and their observation are captured together.</w:t>
      </w:r>
    </w:p>
    <w:p>
      <w:r>
        <w:t xml:space="preserve">A browser receipt marked </w:t>
      </w:r>
      <w:r>
        <w:rPr>
          <w:rFonts w:ascii="Courier New" w:hAnsi="Courier New"/>
          <w:sz w:val="18"/>
        </w:rPr>
        <w:t>verified</w:t>
      </w:r>
      <w:r>
        <w:t xml:space="preserve"> means its specified URL/text/field checks passed; it still reports </w:t>
      </w:r>
      <w:r>
        <w:rPr>
          <w:rFonts w:ascii="Courier New" w:hAnsi="Courier New"/>
          <w:sz w:val="18"/>
        </w:rPr>
        <w:t>taskQualityValidated: false</w:t>
      </w:r>
      <w:r>
        <w:t>. Review whether the checks establish your actual objective. Authentication, recognized consequential controls and unsupported page structures need native handling.</w:t>
      </w:r>
    </w:p>
    <w:p>
      <w:r>
        <w:t>For research, ask for named evidence fields and explicit source hosts: “Use research_task to collect the context limit and pricing from https://docs.typesafe.ai/models, allowing docs.typesafe.ai; show the captured passages and unresolved fields.” The tool can search/fetch allowed HTTPS sources and return captured artifacts, citation locations, hashes, contradictions and unknowns. Labels are not verified facts. Defaults are six sources, three concurrent fetches and a 30-second deadline. Dynamic pages that fail to fetch remain gaps; browser work is a separate tool call, not an automatic fallback.</w:t>
      </w:r>
    </w:p>
    <w:p>
      <w:r>
        <w:t xml:space="preserve">The two tools share a maximum of four active workflows, 64 Jev requests and one million input-token exposure per run, subordinate to its money budget and cancellation. Each request conservatively reserves 64,000 input tokens; unknown usage retains that exposure. </w:t>
      </w:r>
      <w:r>
        <w:rPr>
          <w:rFonts w:ascii="Courier New" w:hAnsi="Courier New"/>
          <w:sz w:val="18"/>
        </w:rPr>
        <w:t>KILN_JEV_WORKFLOWS=0</w:t>
      </w:r>
      <w:r>
        <w:t xml:space="preserve"> removes these tools for the current invocation, including resume; it does not erase an enabled saved policy. Removing the override later can restore that policy. </w:t>
      </w:r>
      <w:r>
        <w:rPr>
          <w:rFonts w:ascii="Courier New" w:hAnsi="Courier New"/>
          <w:sz w:val="18"/>
        </w:rPr>
        <w:t>KILN_JEV_ENABLED=0</w:t>
      </w:r>
      <w:r>
        <w:t xml:space="preserve"> disables Jev decisions without removing workflow tools. Old runs do not gain workflows merely by resuming with the enable flag. Identical decisions can share a request or an accepted in-memory result without another charge; usage survives resume, cached answers do not.</w:t>
      </w:r>
    </w:p>
    <w:p>
      <w:r>
        <w:t xml:space="preserve">Kiln now vendors the pinned jev-ultrafast snapshot and adapts its operation/target decisions to the native browser. It does not run the separate Python agent or launch another Chrome process. Supported browser observations and research passages are sent to TypeSafe for classification. These workflows remain experimental: live performance was not measured because no TypeSafe key was configured. See </w:t>
      </w:r>
      <w:hyperlink r:id="rId11">
        <w:r>
          <w:rPr>
            <w:color w:val="1155AA"/>
          </w:rPr>
          <w:t>optional integrations</w:t>
        </w:r>
      </w:hyperlink>
      <w:r>
        <w:t xml:space="preserve"> for exact bounds and data handling.</w:t>
      </w:r>
    </w:p>
    <w:p>
      <w:r>
        <w:rPr>
          <w:b/>
        </w:rPr>
        <w:t>Hindsight:</w:t>
      </w:r>
      <w:r>
        <w:t xml:space="preserve"> supply an existing server and project bank. Kiln does not provision them, retain conversations automatically or insert recalled material into arbitrary sessions.</w:t>
      </w:r>
    </w:p>
    <w:p>
      <w:pPr>
        <w:pStyle w:val="Command"/>
        <w:keepLines/>
      </w:pPr>
      <w:r>
        <w:t>kiln memory status --url http://127.0.0.1:8888 --bank example-project</w:t>
        <w:br/>
        <w:t>kiln memory retain --file ./verified-project-notes.md --url http://127.0.0.1:8888 --bank example-project</w:t>
        <w:br/>
        <w:t>kiln memory recall "Which checks caught regressions?" --url http://127.0.0.1:8888 --bank example-project --max-tokens 2048</w:t>
      </w:r>
    </w:p>
    <w:p>
      <w:r>
        <w:t xml:space="preserve">Only run </w:t>
      </w:r>
      <w:r>
        <w:rPr>
          <w:rFonts w:ascii="Courier New" w:hAnsi="Courier New"/>
          <w:sz w:val="18"/>
        </w:rPr>
        <w:t>retain</w:t>
      </w:r>
      <w:r>
        <w:t xml:space="preserve"> with the curated file you intend to send. </w:t>
      </w:r>
      <w:r>
        <w:rPr>
          <w:rFonts w:ascii="Courier New" w:hAnsi="Courier New"/>
          <w:sz w:val="18"/>
        </w:rPr>
        <w:t>status</w:t>
      </w:r>
      <w:r>
        <w:t xml:space="preserve"> is offline. Recall returns untrusted JSON with provenance; review it against current artifacts. </w:t>
      </w:r>
      <w:r>
        <w:rPr>
          <w:rFonts w:ascii="Courier New" w:hAnsi="Courier New"/>
          <w:sz w:val="18"/>
        </w:rPr>
        <w:t>KILN_HINDSIGHT_URL</w:t>
      </w:r>
      <w:r>
        <w:t xml:space="preserve"> and </w:t>
      </w:r>
      <w:r>
        <w:rPr>
          <w:rFonts w:ascii="Courier New" w:hAnsi="Courier New"/>
          <w:sz w:val="18"/>
        </w:rPr>
        <w:t>KILN_HINDSIGHT_BANK</w:t>
      </w:r>
      <w:r>
        <w:t xml:space="preserve"> replace flags; </w:t>
      </w:r>
      <w:r>
        <w:rPr>
          <w:rFonts w:ascii="Courier New" w:hAnsi="Courier New"/>
          <w:sz w:val="18"/>
        </w:rPr>
        <w:t>HINDSIGHT_API_KEY</w:t>
      </w:r>
      <w:r>
        <w:t xml:space="preserve"> is environment-only. Full bounds and examples are in </w:t>
      </w:r>
      <w:hyperlink r:id="rId11">
        <w:r>
          <w:rPr>
            <w:color w:val="1155AA"/>
          </w:rPr>
          <w:t>optional integrations</w:t>
        </w:r>
      </w:hyperlink>
      <w:r>
        <w:t>.</w:t>
      </w:r>
    </w:p>
    <w:p>
      <w:pPr>
        <w:pStyle w:val="Heading1"/>
      </w:pPr>
      <w:r>
        <w:t>8 Keep the installation current</w:t>
      </w:r>
    </w:p>
    <w:p>
      <w:pPr>
        <w:pStyle w:val="Command"/>
        <w:keepLines/>
      </w:pPr>
      <w:r>
        <w:t>kiln model catalog status --json</w:t>
        <w:br/>
        <w:t>kiln model catalog check --json</w:t>
        <w:br/>
        <w:t>kiln model catalog check --snapshot models.json --json</w:t>
        <w:br/>
        <w:t>bun scripts/frontier-update.ts --check</w:t>
      </w:r>
    </w:p>
    <w:p>
      <w:r>
        <w:t xml:space="preserve">Catalog status inspects installed metadata. Catalog check fetches public upstream metadata unless given a local snapshot. The frontier script's </w:t>
      </w:r>
      <w:r>
        <w:rPr>
          <w:rFonts w:ascii="Courier New" w:hAnsi="Courier New"/>
          <w:sz w:val="18"/>
        </w:rPr>
        <w:t>--check</w:t>
      </w:r>
      <w:r>
        <w:t xml:space="preserve"> inspects published native package versions without installing an update. Run that script from the Kiln checkout. None of these commands changes roles or proves current account availability. A local snapshot is explicitly not proof of upstream freshness.</w:t>
      </w:r>
    </w:p>
    <w:p>
      <w:r>
        <w:t xml:space="preserve">The </w:t>
      </w:r>
      <w:hyperlink r:id="rId12">
        <w:r>
          <w:rPr>
            <w:color w:val="1155AA"/>
          </w:rPr>
          <w:t>six-hour frontier-update workflow</w:t>
        </w:r>
      </w:hyperlink>
      <w:r>
        <w:t xml:space="preserve"> prepares validated, exact-pin dependency changes as draft pull requests for review. It is not operational merely because its files exist: it must be merged and enabled in GitHub Actions. It does not auto-merge or hot-swap running sessions. Patches, type checking, tests, evaluation verification and leak checks must survive the proposed update. Review before merging, and restart using the validated installation. See </w:t>
      </w:r>
      <w:hyperlink r:id="rId13">
        <w:r>
          <w:rPr>
            <w:color w:val="1155AA"/>
          </w:rPr>
          <w:t>catalog maintenance</w:t>
        </w:r>
      </w:hyperlink>
      <w:r>
        <w:t>.</w:t>
      </w:r>
    </w:p>
    <w:p>
      <w:r>
        <w:t>New operator runs fingerprint their admitted model definitions and selected role references. Resume rejects changed model API, cost, tool, token, reasoning or selection metadata before dispatch. Restore the original dependencies or start a reviewed new run. Older runs without a fingerprint establish their baseline on first resume; the fingerprint detects drift but cannot reconstruct old definitions.</w:t>
      </w:r>
    </w:p>
    <w:p>
      <w:pPr>
        <w:pStyle w:val="Heading1"/>
      </w:pPr>
      <w:r>
        <w:t>9 What is verified and what remains your responsibility</w:t>
      </w:r>
    </w:p>
    <w:p>
      <w:r>
        <w:t xml:space="preserve">The current toolkit is detailed in </w:t>
      </w:r>
      <w:hyperlink r:id="rId14">
        <w:r>
          <w:rPr>
            <w:color w:val="1155AA"/>
          </w:rPr>
          <w:t>architecture and integrations</w:t>
        </w:r>
      </w:hyperlink>
      <w:r>
        <w:t>. Shell and file tools run locally without a host sandbox. Authorize the actual task and external actions you intend; tool availability is not permission to publish, contact others or spend outside that task. Use an appropriate isolated environment for untrusted work.</w:t>
      </w:r>
    </w:p>
    <w:p>
      <w:r>
        <w:t>Provider-free checks can be run with:</w:t>
      </w:r>
    </w:p>
    <w:p>
      <w:pPr>
        <w:pStyle w:val="Command"/>
        <w:keepLines/>
      </w:pPr>
      <w:r>
        <w:t>bun test</w:t>
        <w:br/>
        <w:t>bun run typecheck</w:t>
        <w:br/>
        <w:t>kiln evals verify --home /path/to/kiln-home --json</w:t>
        <w:br/>
        <w:t>kiln evals leakcheck --home /path/to/kiln-home --json</w:t>
      </w:r>
    </w:p>
    <w:p>
      <w:r>
        <w:t>These establish software behavior within their tested boundaries. They do not establish live provider access, biological validity, improved model quality, or reduced end-to-end cost. Paid evaluations require an explicit budget; comparative performance remains unqualified until representative live experiments are completed and reviewed.</w:t>
      </w:r>
    </w:p>
    <w:p>
      <w:pPr>
        <w:pStyle w:val="Heading1"/>
      </w:pPr>
      <w:r>
        <w:t>Appendix Architecture and integrations</w:t>
      </w:r>
    </w:p>
    <w:p>
      <w:r>
        <w:t xml:space="preserve">Verified against the working implementation on </w:t>
      </w:r>
      <w:r>
        <w:rPr>
          <w:b/>
        </w:rPr>
        <w:t>2026-09-28</w:t>
      </w:r>
      <w:r>
        <w:t xml:space="preserve">. This document distinguishes installed runtime behavior from design inspiration and pending operational qualification. For commands and daily use, see the </w:t>
      </w:r>
      <w:hyperlink r:id="rId15">
        <w:r>
          <w:rPr>
            <w:color w:val="1155AA"/>
          </w:rPr>
          <w:t>user manual</w:t>
        </w:r>
      </w:hyperlink>
      <w:r>
        <w:t>.</w:t>
      </w:r>
    </w:p>
    <w:p>
      <w:pPr>
        <w:pStyle w:val="Heading2"/>
      </w:pPr>
      <w:r>
        <w:t>One operator explicit responsibilities</w:t>
      </w:r>
    </w:p>
    <w:p>
      <w:r>
        <w:t>Kiln embeds the pinned OMP coding session rather than wrapping another autonomous loop around it. The native session owns tool execution, worker sessions, messaging and conversational continuity. Kiln supplies durable task state, original-request preservation, shared context, role/model admission, effort selection, budget accounting, scoped team contracts and an optional research/ideation pipeline.</w:t>
      </w:r>
    </w:p>
    <w:p>
      <w:r>
        <w:t xml:space="preserve">The TUI and </w:t>
      </w:r>
      <w:r>
        <w:rPr>
          <w:rFonts w:ascii="Courier New" w:hAnsi="Courier New"/>
          <w:sz w:val="18"/>
        </w:rPr>
        <w:t>kiln task</w:t>
      </w:r>
      <w:r>
        <w:t xml:space="preserve"> use the same persistent operator. Messages received during a turn steer that work; follow-ups continue the same session. </w:t>
      </w:r>
      <w:r>
        <w:rPr>
          <w:rFonts w:ascii="Courier New" w:hAnsi="Courier New"/>
          <w:sz w:val="18"/>
        </w:rPr>
        <w:t>kiln run new</w:t>
      </w:r>
      <w:r>
        <w:t xml:space="preserve"> instead exposes the explicit frame → discover → ideate → checkpoint → form → build → reflect pipeline, with adaptive omissions and checkpoint controls. These are related entry points, not interchangeable resume formats.</w:t>
      </w:r>
    </w:p>
    <w:p>
      <w:r>
        <w:t>A role is a responsibility; a model is the admitted provider/model implementation; effort is a supported reasoning setting. Adaptive evidence helps rank eligible choices but does not bypass credentials, tool compatibility or the saved run's constraints. A catalog fingerprint detects changed admitted definitions and selected role references on resume. It blocks drift rather than reconstructing a historical catalog. Older runs establish their baseline on first resume.</w:t>
      </w:r>
    </w:p>
    <w:p>
      <w:pPr>
        <w:pStyle w:val="Heading2"/>
      </w:pPr>
      <w:r>
        <w:t>The current toolkit</w:t>
      </w:r>
    </w:p>
    <w:p>
      <w:r>
        <w:t xml:space="preserve">A provider-free audit instantiated both </w:t>
      </w:r>
      <w:r>
        <w:rPr>
          <w:rFonts w:ascii="Courier New" w:hAnsi="Courier New"/>
          <w:sz w:val="18"/>
        </w:rPr>
        <w:t>createOmpSession</w:t>
      </w:r>
      <w:r>
        <w:t xml:space="preserve"> and the full </w:t>
      </w:r>
      <w:r>
        <w:rPr>
          <w:rFonts w:ascii="Courier New" w:hAnsi="Courier New"/>
          <w:sz w:val="18"/>
        </w:rPr>
        <w:t>createOperatorRuntime</w:t>
      </w:r>
      <w:r>
        <w:t xml:space="preserve"> with a synthetic model in a temporary home. With experimental workflows disabled, it confirmed the following </w:t>
      </w:r>
      <w:r>
        <w:rPr>
          <w:b/>
        </w:rPr>
        <w:t>19 enabled tools</w:t>
      </w:r>
      <w:r>
        <w:t>; discoverable tools need not appear as individual top-level model tools.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320"/>
      </w:tblGrid>
      <w:tr>
        <w:trPr>
          <w:cantSplit/>
          <w:tblHeader/>
        </w:trPr>
        <w:tc>
          <w:tcPr>
            <w:tcW w:type="dxa" w:w="1872"/>
            <w:vAlign w:val="center"/>
            <w:shd w:fill="E5E7EB"/>
            <w:tcMar>
              <w:top w:w="90" w:type="dxa"/>
              <w:left w:w="90" w:type="dxa"/>
              <w:bottom w:w="90" w:type="dxa"/>
              <w:right w:w="90" w:type="dxa"/>
            </w:tcMar>
          </w:tcPr>
          <w:p>
            <w:pPr>
              <w:spacing w:after="40"/>
            </w:pPr>
            <w:r>
              <w:rPr>
                <w:b/>
                <w:sz w:val="18"/>
              </w:rPr>
              <w:t>Surface</w:t>
            </w:r>
          </w:p>
        </w:tc>
        <w:tc>
          <w:tcPr>
            <w:tcW w:type="dxa" w:w="3888"/>
            <w:vAlign w:val="center"/>
            <w:shd w:fill="E5E7EB"/>
            <w:tcMar>
              <w:top w:w="90" w:type="dxa"/>
              <w:left w:w="90" w:type="dxa"/>
              <w:bottom w:w="90" w:type="dxa"/>
              <w:right w:w="90" w:type="dxa"/>
            </w:tcMar>
          </w:tcPr>
          <w:p>
            <w:pPr>
              <w:spacing w:after="40"/>
            </w:pPr>
            <w:r>
              <w:rPr>
                <w:b/>
                <w:sz w:val="18"/>
              </w:rPr>
              <w:t>Tools</w:t>
            </w:r>
          </w:p>
        </w:tc>
        <w:tc>
          <w:tcPr>
            <w:tcW w:type="dxa" w:w="4320"/>
            <w:vAlign w:val="center"/>
            <w:shd w:fill="E5E7EB"/>
            <w:tcMar>
              <w:top w:w="90" w:type="dxa"/>
              <w:left w:w="90" w:type="dxa"/>
              <w:bottom w:w="90" w:type="dxa"/>
              <w:right w:w="90" w:type="dxa"/>
            </w:tcMar>
          </w:tcPr>
          <w:p>
            <w:pPr>
              <w:spacing w:after="40"/>
            </w:pPr>
            <w:r>
              <w:rPr>
                <w:b/>
                <w:sz w:val="18"/>
              </w:rPr>
              <w:t>Purpose</w:t>
            </w:r>
          </w:p>
        </w:tc>
      </w:tr>
      <w:tr>
        <w:trPr>
          <w:cantSplit/>
        </w:trPr>
        <w:tc>
          <w:tcPr>
            <w:tcW w:type="dxa" w:w="1872"/>
            <w:vAlign w:val="center"/>
            <w:shd w:fill="FFFFFF"/>
            <w:tcMar>
              <w:top w:w="90" w:type="dxa"/>
              <w:left w:w="90" w:type="dxa"/>
              <w:bottom w:w="90" w:type="dxa"/>
              <w:right w:w="90" w:type="dxa"/>
            </w:tcMar>
          </w:tcPr>
          <w:p>
            <w:pPr>
              <w:spacing w:after="40"/>
            </w:pPr>
            <w:r>
              <w:rPr>
                <w:b w:val="0"/>
                <w:sz w:val="18"/>
              </w:rPr>
              <w:t>Direct filesystem</w:t>
            </w:r>
          </w:p>
        </w:tc>
        <w:tc>
          <w:tcPr>
            <w:tcW w:type="dxa" w:w="3888"/>
            <w:vAlign w:val="center"/>
            <w:shd w:fill="FFFFFF"/>
            <w:tcMar>
              <w:top w:w="90" w:type="dxa"/>
              <w:left w:w="90" w:type="dxa"/>
              <w:bottom w:w="90" w:type="dxa"/>
              <w:right w:w="90" w:type="dxa"/>
            </w:tcMar>
          </w:tcPr>
          <w:p>
            <w:pPr>
              <w:spacing w:after="40"/>
            </w:pPr>
            <w:r>
              <w:rPr>
                <w:rFonts w:ascii="Courier New" w:hAnsi="Courier New"/>
                <w:b w:val="0"/>
                <w:sz w:val="18"/>
              </w:rPr>
              <w:t>read</w:t>
            </w:r>
            <w:r>
              <w:rPr>
                <w:b w:val="0"/>
                <w:sz w:val="18"/>
              </w:rPr>
              <w:t xml:space="preserve">, </w:t>
            </w:r>
            <w:r>
              <w:rPr>
                <w:rFonts w:ascii="Courier New" w:hAnsi="Courier New"/>
                <w:b w:val="0"/>
                <w:sz w:val="18"/>
              </w:rPr>
              <w:t>write</w:t>
            </w:r>
            <w:r>
              <w:rPr>
                <w:b w:val="0"/>
                <w:sz w:val="18"/>
              </w:rPr>
              <w:t xml:space="preserve">, </w:t>
            </w:r>
            <w:r>
              <w:rPr>
                <w:rFonts w:ascii="Courier New" w:hAnsi="Courier New"/>
                <w:b w:val="0"/>
                <w:sz w:val="18"/>
              </w:rPr>
              <w:t>edit</w:t>
            </w:r>
            <w:r>
              <w:rPr>
                <w:b w:val="0"/>
                <w:sz w:val="18"/>
              </w:rPr>
              <w:t xml:space="preserve">, </w:t>
            </w:r>
            <w:r>
              <w:rPr>
                <w:rFonts w:ascii="Courier New" w:hAnsi="Courier New"/>
                <w:b w:val="0"/>
                <w:sz w:val="18"/>
              </w:rPr>
              <w:t>glob</w:t>
            </w:r>
            <w:r>
              <w:rPr>
                <w:b w:val="0"/>
                <w:sz w:val="18"/>
              </w:rPr>
              <w:t xml:space="preserve">, </w:t>
            </w:r>
            <w:r>
              <w:rPr>
                <w:rFonts w:ascii="Courier New" w:hAnsi="Courier New"/>
                <w:b w:val="0"/>
                <w:sz w:val="18"/>
              </w:rPr>
              <w:t>grep</w:t>
            </w:r>
          </w:p>
        </w:tc>
        <w:tc>
          <w:tcPr>
            <w:tcW w:type="dxa" w:w="4320"/>
            <w:vAlign w:val="center"/>
            <w:shd w:fill="FFFFFF"/>
            <w:tcMar>
              <w:top w:w="90" w:type="dxa"/>
              <w:left w:w="90" w:type="dxa"/>
              <w:bottom w:w="90" w:type="dxa"/>
              <w:right w:w="90" w:type="dxa"/>
            </w:tcMar>
          </w:tcPr>
          <w:p>
            <w:pPr>
              <w:spacing w:after="40"/>
            </w:pPr>
            <w:r>
              <w:rPr>
                <w:b w:val="0"/>
                <w:sz w:val="18"/>
              </w:rPr>
              <w:t>Inspect, search and change scoped artifacts</w:t>
            </w:r>
          </w:p>
        </w:tc>
      </w:tr>
      <w:tr>
        <w:trPr>
          <w:cantSplit/>
        </w:trPr>
        <w:tc>
          <w:tcPr>
            <w:tcW w:type="dxa" w:w="1872"/>
            <w:vAlign w:val="center"/>
            <w:shd w:fill="FFFFFF"/>
            <w:tcMar>
              <w:top w:w="90" w:type="dxa"/>
              <w:left w:w="90" w:type="dxa"/>
              <w:bottom w:w="90" w:type="dxa"/>
              <w:right w:w="90" w:type="dxa"/>
            </w:tcMar>
          </w:tcPr>
          <w:p>
            <w:pPr>
              <w:spacing w:after="40"/>
            </w:pPr>
            <w:r>
              <w:rPr>
                <w:b w:val="0"/>
                <w:sz w:val="18"/>
              </w:rPr>
              <w:t>Direct execution</w:t>
            </w:r>
          </w:p>
        </w:tc>
        <w:tc>
          <w:tcPr>
            <w:tcW w:type="dxa" w:w="3888"/>
            <w:vAlign w:val="center"/>
            <w:shd w:fill="FFFFFF"/>
            <w:tcMar>
              <w:top w:w="90" w:type="dxa"/>
              <w:left w:w="90" w:type="dxa"/>
              <w:bottom w:w="90" w:type="dxa"/>
              <w:right w:w="90" w:type="dxa"/>
            </w:tcMar>
          </w:tcPr>
          <w:p>
            <w:pPr>
              <w:spacing w:after="40"/>
            </w:pPr>
            <w:r>
              <w:rPr>
                <w:rFonts w:ascii="Courier New" w:hAnsi="Courier New"/>
                <w:b w:val="0"/>
                <w:sz w:val="18"/>
              </w:rPr>
              <w:t>bash</w:t>
            </w:r>
            <w:r>
              <w:rPr>
                <w:b w:val="0"/>
                <w:sz w:val="18"/>
              </w:rPr>
              <w:t xml:space="preserve">, </w:t>
            </w:r>
            <w:r>
              <w:rPr>
                <w:rFonts w:ascii="Courier New" w:hAnsi="Courier New"/>
                <w:b w:val="0"/>
                <w:sz w:val="18"/>
              </w:rPr>
              <w:t>eval</w:t>
            </w:r>
          </w:p>
        </w:tc>
        <w:tc>
          <w:tcPr>
            <w:tcW w:type="dxa" w:w="4320"/>
            <w:vAlign w:val="center"/>
            <w:shd w:fill="FFFFFF"/>
            <w:tcMar>
              <w:top w:w="90" w:type="dxa"/>
              <w:left w:w="90" w:type="dxa"/>
              <w:bottom w:w="90" w:type="dxa"/>
              <w:right w:w="90" w:type="dxa"/>
            </w:tcMar>
          </w:tcPr>
          <w:p>
            <w:pPr>
              <w:spacing w:after="40"/>
            </w:pPr>
            <w:r>
              <w:rPr>
                <w:b w:val="0"/>
                <w:sz w:val="18"/>
              </w:rPr>
              <w:t>Shell commands and persistent code evaluation</w:t>
            </w:r>
          </w:p>
        </w:tc>
      </w:tr>
      <w:tr>
        <w:trPr>
          <w:cantSplit/>
        </w:trPr>
        <w:tc>
          <w:tcPr>
            <w:tcW w:type="dxa" w:w="1872"/>
            <w:vAlign w:val="center"/>
            <w:shd w:fill="FFFFFF"/>
            <w:tcMar>
              <w:top w:w="90" w:type="dxa"/>
              <w:left w:w="90" w:type="dxa"/>
              <w:bottom w:w="90" w:type="dxa"/>
              <w:right w:w="90" w:type="dxa"/>
            </w:tcMar>
          </w:tcPr>
          <w:p>
            <w:pPr>
              <w:spacing w:after="40"/>
            </w:pPr>
            <w:r>
              <w:rPr>
                <w:b w:val="0"/>
                <w:sz w:val="18"/>
              </w:rPr>
              <w:t>Direct coordination</w:t>
            </w:r>
          </w:p>
        </w:tc>
        <w:tc>
          <w:tcPr>
            <w:tcW w:type="dxa" w:w="3888"/>
            <w:vAlign w:val="center"/>
            <w:shd w:fill="FFFFFF"/>
            <w:tcMar>
              <w:top w:w="90" w:type="dxa"/>
              <w:left w:w="90" w:type="dxa"/>
              <w:bottom w:w="90" w:type="dxa"/>
              <w:right w:w="90" w:type="dxa"/>
            </w:tcMar>
          </w:tcPr>
          <w:p>
            <w:pPr>
              <w:spacing w:after="40"/>
            </w:pPr>
            <w:r>
              <w:rPr>
                <w:rFonts w:ascii="Courier New" w:hAnsi="Courier New"/>
                <w:b w:val="0"/>
                <w:sz w:val="18"/>
              </w:rPr>
              <w:t>task</w:t>
            </w:r>
            <w:r>
              <w:rPr>
                <w:b w:val="0"/>
                <w:sz w:val="18"/>
              </w:rPr>
              <w:t xml:space="preserve">, </w:t>
            </w:r>
            <w:r>
              <w:rPr>
                <w:rFonts w:ascii="Courier New" w:hAnsi="Courier New"/>
                <w:b w:val="0"/>
                <w:sz w:val="18"/>
              </w:rPr>
              <w:t>hub</w:t>
            </w:r>
            <w:r>
              <w:rPr>
                <w:b w:val="0"/>
                <w:sz w:val="18"/>
              </w:rPr>
              <w:t xml:space="preserve">, </w:t>
            </w:r>
            <w:r>
              <w:rPr>
                <w:rFonts w:ascii="Courier New" w:hAnsi="Courier New"/>
                <w:b w:val="0"/>
                <w:sz w:val="18"/>
              </w:rPr>
              <w:t>todo</w:t>
            </w:r>
          </w:p>
        </w:tc>
        <w:tc>
          <w:tcPr>
            <w:tcW w:type="dxa" w:w="4320"/>
            <w:vAlign w:val="center"/>
            <w:shd w:fill="FFFFFF"/>
            <w:tcMar>
              <w:top w:w="90" w:type="dxa"/>
              <w:left w:w="90" w:type="dxa"/>
              <w:bottom w:w="90" w:type="dxa"/>
              <w:right w:w="90" w:type="dxa"/>
            </w:tcMar>
          </w:tcPr>
          <w:p>
            <w:pPr>
              <w:spacing w:after="40"/>
            </w:pPr>
            <w:r>
              <w:rPr>
                <w:b w:val="0"/>
                <w:sz w:val="18"/>
              </w:rPr>
              <w:t>Native workers, messages/processes, task tracking</w:t>
            </w:r>
          </w:p>
        </w:tc>
      </w:tr>
      <w:tr>
        <w:trPr>
          <w:cantSplit/>
        </w:trPr>
        <w:tc>
          <w:tcPr>
            <w:tcW w:type="dxa" w:w="1872"/>
            <w:vAlign w:val="center"/>
            <w:shd w:fill="FFFFFF"/>
            <w:tcMar>
              <w:top w:w="90" w:type="dxa"/>
              <w:left w:w="90" w:type="dxa"/>
              <w:bottom w:w="90" w:type="dxa"/>
              <w:right w:w="90" w:type="dxa"/>
            </w:tcMar>
          </w:tcPr>
          <w:p>
            <w:pPr>
              <w:spacing w:after="40"/>
            </w:pPr>
            <w:r>
              <w:rPr>
                <w:b w:val="0"/>
                <w:sz w:val="18"/>
              </w:rPr>
              <w:t>Direct research</w:t>
            </w:r>
          </w:p>
        </w:tc>
        <w:tc>
          <w:tcPr>
            <w:tcW w:type="dxa" w:w="3888"/>
            <w:vAlign w:val="center"/>
            <w:shd w:fill="FFFFFF"/>
            <w:tcMar>
              <w:top w:w="90" w:type="dxa"/>
              <w:left w:w="90" w:type="dxa"/>
              <w:bottom w:w="90" w:type="dxa"/>
              <w:right w:w="90" w:type="dxa"/>
            </w:tcMar>
          </w:tcPr>
          <w:p>
            <w:pPr>
              <w:spacing w:after="40"/>
            </w:pPr>
            <w:r>
              <w:rPr>
                <w:rFonts w:ascii="Courier New" w:hAnsi="Courier New"/>
                <w:b w:val="0"/>
                <w:sz w:val="18"/>
              </w:rPr>
              <w:t>web_search</w:t>
            </w:r>
          </w:p>
        </w:tc>
        <w:tc>
          <w:tcPr>
            <w:tcW w:type="dxa" w:w="4320"/>
            <w:vAlign w:val="center"/>
            <w:shd w:fill="FFFFFF"/>
            <w:tcMar>
              <w:top w:w="90" w:type="dxa"/>
              <w:left w:w="90" w:type="dxa"/>
              <w:bottom w:w="90" w:type="dxa"/>
              <w:right w:w="90" w:type="dxa"/>
            </w:tcMar>
          </w:tcPr>
          <w:p>
            <w:pPr>
              <w:spacing w:after="40"/>
            </w:pPr>
            <w:r>
              <w:rPr>
                <w:b w:val="0"/>
                <w:sz w:val="18"/>
              </w:rPr>
              <w:t>Search access subject to the configured provider/environment</w:t>
            </w:r>
          </w:p>
        </w:tc>
      </w:tr>
      <w:tr>
        <w:trPr>
          <w:cantSplit/>
        </w:trPr>
        <w:tc>
          <w:tcPr>
            <w:tcW w:type="dxa" w:w="1872"/>
            <w:vAlign w:val="center"/>
            <w:shd w:fill="FFFFFF"/>
            <w:tcMar>
              <w:top w:w="90" w:type="dxa"/>
              <w:left w:w="90" w:type="dxa"/>
              <w:bottom w:w="90" w:type="dxa"/>
              <w:right w:w="90" w:type="dxa"/>
            </w:tcMar>
          </w:tcPr>
          <w:p>
            <w:pPr>
              <w:spacing w:after="40"/>
            </w:pPr>
            <w:r>
              <w:rPr>
                <w:b w:val="0"/>
                <w:sz w:val="18"/>
              </w:rPr>
              <w:t>Discoverable native</w:t>
            </w:r>
          </w:p>
        </w:tc>
        <w:tc>
          <w:tcPr>
            <w:tcW w:type="dxa" w:w="3888"/>
            <w:vAlign w:val="center"/>
            <w:shd w:fill="FFFFFF"/>
            <w:tcMar>
              <w:top w:w="90" w:type="dxa"/>
              <w:left w:w="90" w:type="dxa"/>
              <w:bottom w:w="90" w:type="dxa"/>
              <w:right w:w="90" w:type="dxa"/>
            </w:tcMar>
          </w:tcPr>
          <w:p>
            <w:pPr>
              <w:spacing w:after="40"/>
            </w:pPr>
            <w:r>
              <w:rPr>
                <w:rFonts w:ascii="Courier New" w:hAnsi="Courier New"/>
                <w:b w:val="0"/>
                <w:sz w:val="18"/>
              </w:rPr>
              <w:t>ast_edit</w:t>
            </w:r>
            <w:r>
              <w:rPr>
                <w:b w:val="0"/>
                <w:sz w:val="18"/>
              </w:rPr>
              <w:t xml:space="preserve">, </w:t>
            </w:r>
            <w:r>
              <w:rPr>
                <w:rFonts w:ascii="Courier New" w:hAnsi="Courier New"/>
                <w:b w:val="0"/>
                <w:sz w:val="18"/>
              </w:rPr>
              <w:t>debug</w:t>
            </w:r>
          </w:p>
        </w:tc>
        <w:tc>
          <w:tcPr>
            <w:tcW w:type="dxa" w:w="4320"/>
            <w:vAlign w:val="center"/>
            <w:shd w:fill="FFFFFF"/>
            <w:tcMar>
              <w:top w:w="90" w:type="dxa"/>
              <w:left w:w="90" w:type="dxa"/>
              <w:bottom w:w="90" w:type="dxa"/>
              <w:right w:w="90" w:type="dxa"/>
            </w:tcMar>
          </w:tcPr>
          <w:p>
            <w:pPr>
              <w:spacing w:after="40"/>
            </w:pPr>
            <w:r>
              <w:rPr>
                <w:b w:val="0"/>
                <w:sz w:val="18"/>
              </w:rPr>
              <w:t>Structural editing and debugging</w:t>
            </w:r>
          </w:p>
        </w:tc>
      </w:tr>
      <w:tr>
        <w:trPr>
          <w:cantSplit/>
        </w:trPr>
        <w:tc>
          <w:tcPr>
            <w:tcW w:type="dxa" w:w="1872"/>
            <w:vAlign w:val="center"/>
            <w:shd w:fill="FFFFFF"/>
            <w:tcMar>
              <w:top w:w="90" w:type="dxa"/>
              <w:left w:w="90" w:type="dxa"/>
              <w:bottom w:w="90" w:type="dxa"/>
              <w:right w:w="90" w:type="dxa"/>
            </w:tcMar>
          </w:tcPr>
          <w:p>
            <w:pPr>
              <w:spacing w:after="40"/>
            </w:pPr>
            <w:r>
              <w:rPr>
                <w:b w:val="0"/>
                <w:sz w:val="18"/>
              </w:rPr>
              <w:t>Discoverable Kiln</w:t>
            </w:r>
          </w:p>
        </w:tc>
        <w:tc>
          <w:tcPr>
            <w:tcW w:type="dxa" w:w="3888"/>
            <w:vAlign w:val="center"/>
            <w:shd w:fill="FFFFFF"/>
            <w:tcMar>
              <w:top w:w="90" w:type="dxa"/>
              <w:left w:w="90" w:type="dxa"/>
              <w:bottom w:w="90" w:type="dxa"/>
              <w:right w:w="90" w:type="dxa"/>
            </w:tcMar>
          </w:tcPr>
          <w:p>
            <w:pPr>
              <w:spacing w:after="40"/>
            </w:pPr>
            <w:r>
              <w:rPr>
                <w:rFonts w:ascii="Courier New" w:hAnsi="Courier New"/>
                <w:b w:val="0"/>
                <w:sz w:val="18"/>
              </w:rPr>
              <w:t>team</w:t>
            </w:r>
            <w:r>
              <w:rPr>
                <w:b w:val="0"/>
                <w:sz w:val="18"/>
              </w:rPr>
              <w:t xml:space="preserve">, </w:t>
            </w:r>
            <w:r>
              <w:rPr>
                <w:rFonts w:ascii="Courier New" w:hAnsi="Courier New"/>
                <w:b w:val="0"/>
                <w:sz w:val="18"/>
              </w:rPr>
              <w:t>context_publish</w:t>
            </w:r>
            <w:r>
              <w:rPr>
                <w:b w:val="0"/>
                <w:sz w:val="18"/>
              </w:rPr>
              <w:t xml:space="preserve">, </w:t>
            </w:r>
            <w:r>
              <w:rPr>
                <w:rFonts w:ascii="Courier New" w:hAnsi="Courier New"/>
                <w:b w:val="0"/>
                <w:sz w:val="18"/>
              </w:rPr>
              <w:t>context_query</w:t>
            </w:r>
            <w:r>
              <w:rPr>
                <w:b w:val="0"/>
                <w:sz w:val="18"/>
              </w:rPr>
              <w:t xml:space="preserve">, </w:t>
            </w:r>
            <w:r>
              <w:rPr>
                <w:rFonts w:ascii="Courier New" w:hAnsi="Courier New"/>
                <w:b w:val="0"/>
                <w:sz w:val="18"/>
              </w:rPr>
              <w:t>route_step</w:t>
            </w:r>
            <w:r>
              <w:rPr>
                <w:b w:val="0"/>
                <w:sz w:val="18"/>
              </w:rPr>
              <w:t xml:space="preserve">, </w:t>
            </w:r>
            <w:r>
              <w:rPr>
                <w:rFonts w:ascii="Courier New" w:hAnsi="Courier New"/>
                <w:b w:val="0"/>
                <w:sz w:val="18"/>
              </w:rPr>
              <w:t>ideate</w:t>
            </w:r>
            <w:r>
              <w:rPr>
                <w:b w:val="0"/>
                <w:sz w:val="18"/>
              </w:rPr>
              <w:t xml:space="preserve">, </w:t>
            </w:r>
            <w:r>
              <w:rPr>
                <w:rFonts w:ascii="Courier New" w:hAnsi="Courier New"/>
                <w:b w:val="0"/>
                <w:sz w:val="18"/>
              </w:rPr>
              <w:t>ask_user</w:t>
            </w:r>
          </w:p>
        </w:tc>
        <w:tc>
          <w:tcPr>
            <w:tcW w:type="dxa" w:w="4320"/>
            <w:vAlign w:val="center"/>
            <w:shd w:fill="FFFFFF"/>
            <w:tcMar>
              <w:top w:w="90" w:type="dxa"/>
              <w:left w:w="90" w:type="dxa"/>
              <w:bottom w:w="90" w:type="dxa"/>
              <w:right w:w="90" w:type="dxa"/>
            </w:tcMar>
          </w:tcPr>
          <w:p>
            <w:pPr>
              <w:spacing w:after="40"/>
            </w:pPr>
            <w:r>
              <w:rPr>
                <w:b w:val="0"/>
                <w:sz w:val="18"/>
              </w:rPr>
              <w:t>Scoped ownership, bounded evidence sharing, routing, idea search and missing-information questions</w:t>
            </w:r>
          </w:p>
        </w:tc>
      </w:tr>
    </w:tbl>
    <w:p>
      <w:pPr>
        <w:spacing w:after="20"/>
      </w:pPr>
    </w:p>
    <w:p>
      <w:r>
        <w:t xml:space="preserve">The built-in Chromium browser capability is enabled through the </w:t>
      </w:r>
      <w:r>
        <w:rPr>
          <w:rFonts w:ascii="Courier New" w:hAnsi="Courier New"/>
          <w:sz w:val="18"/>
        </w:rPr>
        <w:t>browser</w:t>
      </w:r>
      <w:r>
        <w:t xml:space="preserve"> API inside </w:t>
      </w:r>
      <w:r>
        <w:rPr>
          <w:rFonts w:ascii="Courier New" w:hAnsi="Courier New"/>
          <w:sz w:val="18"/>
        </w:rPr>
        <w:t>eval</w:t>
      </w:r>
      <w:r>
        <w:t xml:space="preserve">, not a standalone </w:t>
      </w:r>
      <w:r>
        <w:rPr>
          <w:rFonts w:ascii="Courier New" w:hAnsi="Courier New"/>
          <w:sz w:val="18"/>
        </w:rPr>
        <w:t>browser</w:t>
      </w:r>
      <w:r>
        <w:t xml:space="preserve"> tool. The opt-in </w:t>
      </w:r>
      <w:r>
        <w:rPr>
          <w:rFonts w:ascii="Courier New" w:hAnsi="Courier New"/>
          <w:sz w:val="18"/>
        </w:rPr>
        <w:t>browser_task</w:t>
      </w:r>
      <w:r>
        <w:t xml:space="preserve"> tool now adapts jev-ultrafast decisions to the existing native browser; ordinary native browser access remains available. Computer control is disabled. MCP and LSP are disabled in this embedded session; skill/rule/prompt/slash-command discovery is explicitly empty. Native automatic memory is off. Goal and autoresearch tools are registered but inactive in the audited ordinary session.</w:t>
      </w:r>
    </w:p>
    <w:p>
      <w:r>
        <w:t>Instantiation confirms that the tools are available, not that every external backend works. The audit did not authenticate a provider, launch a browser, execute a task tool or qualify web-search access. Local shell/file tools are not a filesystem sandbox. Scope claims coordinate cooperating agents, and external actions still require task authorization.</w:t>
      </w:r>
    </w:p>
    <w:p>
      <w:pPr>
        <w:pStyle w:val="Heading2"/>
      </w:pPr>
      <w:r>
        <w:t>Parallel teams and evidence</w:t>
      </w:r>
    </w:p>
    <w:p>
      <w:r>
        <w:t xml:space="preserve">The parent fixes interfaces, objectives, literal file/directory ownership, dependencies and acceptance criteria before native worker dispatch. </w:t>
      </w:r>
      <w:r>
        <w:rPr>
          <w:rFonts w:ascii="Courier New" w:hAnsi="Courier New"/>
          <w:sz w:val="18"/>
        </w:rPr>
        <w:t>team</w:t>
      </w:r>
      <w:r>
        <w:t xml:space="preserve"> maintains a revisioned ledger and rejects stale updates, overlapping active claims and unmet dependencies. Only the actual parent can plan, accept or reopen; workers claim and hand off. Failed work can be reopened with preserved history.</w:t>
      </w:r>
    </w:p>
    <w:p>
      <w:r>
        <w:t xml:space="preserve">Worker reports remain </w:t>
      </w:r>
      <w:r>
        <w:rPr>
          <w:rFonts w:ascii="Courier New" w:hAnsi="Courier New"/>
          <w:sz w:val="18"/>
        </w:rPr>
        <w:t>unverified_claim</w:t>
      </w:r>
      <w:r>
        <w:t xml:space="preserve">. Artifact hashes identify the bytes reported or reviewed. Parent acceptance changes the assessment to </w:t>
      </w:r>
      <w:r>
        <w:rPr>
          <w:rFonts w:ascii="Courier New" w:hAnsi="Courier New"/>
          <w:sz w:val="18"/>
        </w:rPr>
        <w:t>parent_reviewed</w:t>
      </w:r>
      <w:r>
        <w:t>; it is not machine proof that a command executed or that an English requirement was satisfied. Dependencies are rechecked before downstream work. Native tools remain capable of accessing the host, so a lease is not isolation.</w:t>
      </w:r>
    </w:p>
    <w:p>
      <w:r>
        <w:rPr>
          <w:rFonts w:ascii="Courier New" w:hAnsi="Courier New"/>
          <w:sz w:val="18"/>
        </w:rPr>
        <w:t>team review_packet</w:t>
      </w:r>
      <w:r>
        <w:t xml:space="preserve"> (the </w:t>
      </w:r>
      <w:r>
        <w:rPr>
          <w:rFonts w:ascii="Courier New" w:hAnsi="Courier New"/>
          <w:sz w:val="18"/>
        </w:rPr>
        <w:t>team</w:t>
      </w:r>
      <w:r>
        <w:t xml:space="preserve"> tool's </w:t>
      </w:r>
      <w:r>
        <w:rPr>
          <w:rFonts w:ascii="Courier New" w:hAnsi="Courier New"/>
          <w:sz w:val="18"/>
        </w:rPr>
        <w:t>review_packet</w:t>
      </w:r>
      <w:r>
        <w:t xml:space="preserve"> action with a feature ID) returns all stable criterion IDs and optional worker-declared </w:t>
      </w:r>
      <w:r>
        <w:rPr>
          <w:rFonts w:ascii="Courier New" w:hAnsi="Courier New"/>
          <w:sz w:val="18"/>
        </w:rPr>
        <w:t>coverage</w:t>
      </w:r>
      <w:r>
        <w:t xml:space="preserve"> mappings to exact handoff artifacts and zero-based check indices. It checks current artifact/dependency identity without changing the ledger or accepting work. Unmapped criteria remain explicit; requirement completeness and criterion proof stay </w:t>
      </w:r>
      <w:r>
        <w:rPr>
          <w:rFonts w:ascii="Courier New" w:hAnsi="Courier New"/>
          <w:sz w:val="18"/>
        </w:rPr>
        <w:t>not_established</w:t>
      </w:r>
      <w:r>
        <w:t xml:space="preserve">, and </w:t>
      </w:r>
      <w:r>
        <w:rPr>
          <w:rFonts w:ascii="Courier New" w:hAnsi="Courier New"/>
          <w:sz w:val="18"/>
        </w:rPr>
        <w:t>taskQualityValidated</w:t>
      </w:r>
      <w:r>
        <w:t xml:space="preserve"> remains false. This read-only action needs no </w:t>
      </w:r>
      <w:r>
        <w:rPr>
          <w:rFonts w:ascii="Courier New" w:hAnsi="Courier New"/>
          <w:sz w:val="18"/>
        </w:rPr>
        <w:t>expectedRevision</w:t>
      </w:r>
      <w:r>
        <w:t xml:space="preserve"> and works before handoff. It supports at most 64 criteria/mappings and 64 artifact/check references per mapping. Reopening clears current mappings while preserving history and stable criterion IDs. This deterministic preparation makes no model call.</w:t>
      </w:r>
    </w:p>
    <w:p>
      <w:r>
        <w:t>The ideation tool runs research, separate candidate generation, prior-art review, assigned probes and order-swapped pairwise comparison. It preserves artifacts, unknowns and provenance. Missing or inadequate coverage is not a clean prior-art result. Selected ideas and model judgments remain hypotheses until the relevant real-world validation occurs. No fixed accuracy, speed or cost improvement is claimed from this architecture alone.</w:t>
      </w:r>
    </w:p>
    <w:p>
      <w:pPr>
        <w:pStyle w:val="Heading2"/>
      </w:pPr>
      <w:r>
        <w:t>What each of the four linked projects contributes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320"/>
      </w:tblGrid>
      <w:tr>
        <w:trPr>
          <w:cantSplit/>
          <w:tblHeader/>
        </w:trPr>
        <w:tc>
          <w:tcPr>
            <w:tcW w:type="dxa" w:w="1872"/>
            <w:vAlign w:val="center"/>
            <w:shd w:fill="E5E7EB"/>
            <w:tcMar>
              <w:top w:w="90" w:type="dxa"/>
              <w:left w:w="90" w:type="dxa"/>
              <w:bottom w:w="90" w:type="dxa"/>
              <w:right w:w="90" w:type="dxa"/>
            </w:tcMar>
          </w:tcPr>
          <w:p>
            <w:pPr>
              <w:spacing w:after="40"/>
            </w:pPr>
            <w:r>
              <w:rPr>
                <w:b/>
                <w:sz w:val="18"/>
              </w:rPr>
              <w:t>Link</w:t>
            </w:r>
          </w:p>
        </w:tc>
        <w:tc>
          <w:tcPr>
            <w:tcW w:type="dxa" w:w="3888"/>
            <w:vAlign w:val="center"/>
            <w:shd w:fill="E5E7EB"/>
            <w:tcMar>
              <w:top w:w="90" w:type="dxa"/>
              <w:left w:w="90" w:type="dxa"/>
              <w:bottom w:w="90" w:type="dxa"/>
              <w:right w:w="90" w:type="dxa"/>
            </w:tcMar>
          </w:tcPr>
          <w:p>
            <w:pPr>
              <w:spacing w:after="40"/>
            </w:pPr>
            <w:r>
              <w:rPr>
                <w:b/>
                <w:sz w:val="18"/>
              </w:rPr>
              <w:t>Actual Kiln integration</w:t>
            </w:r>
          </w:p>
        </w:tc>
        <w:tc>
          <w:tcPr>
            <w:tcW w:type="dxa" w:w="4320"/>
            <w:vAlign w:val="center"/>
            <w:shd w:fill="E5E7EB"/>
            <w:tcMar>
              <w:top w:w="90" w:type="dxa"/>
              <w:left w:w="90" w:type="dxa"/>
              <w:bottom w:w="90" w:type="dxa"/>
              <w:right w:w="90" w:type="dxa"/>
            </w:tcMar>
          </w:tcPr>
          <w:p>
            <w:pPr>
              <w:spacing w:after="40"/>
            </w:pPr>
            <w:r>
              <w:rPr>
                <w:b/>
                <w:sz w:val="18"/>
              </w:rPr>
              <w:t>Boundary</w:t>
            </w:r>
          </w:p>
        </w:tc>
      </w:tr>
      <w:tr>
        <w:trPr>
          <w:cantSplit/>
        </w:trPr>
        <w:tc>
          <w:tcPr>
            <w:tcW w:type="dxa" w:w="1872"/>
            <w:vAlign w:val="center"/>
            <w:shd w:fill="FFFFFF"/>
            <w:tcMar>
              <w:top w:w="90" w:type="dxa"/>
              <w:left w:w="90" w:type="dxa"/>
              <w:bottom w:w="90" w:type="dxa"/>
              <w:right w:w="90" w:type="dxa"/>
            </w:tcMar>
          </w:tcPr>
          <w:p>
            <w:pPr>
              <w:spacing w:after="40"/>
            </w:pPr>
            <w:hyperlink r:id="rId16">
              <w:r>
                <w:rPr>
                  <w:color w:val="1155AA"/>
                </w:rPr>
                <w:t>browser-use/jev-ultrafast</w:t>
              </w:r>
            </w:hyperlink>
          </w:p>
        </w:tc>
        <w:tc>
          <w:tcPr>
            <w:tcW w:type="dxa" w:w="3888"/>
            <w:vAlign w:val="center"/>
            <w:shd w:fill="FFFFFF"/>
            <w:tcMar>
              <w:top w:w="90" w:type="dxa"/>
              <w:left w:w="90" w:type="dxa"/>
              <w:bottom w:w="90" w:type="dxa"/>
              <w:right w:w="90" w:type="dxa"/>
            </w:tcMar>
          </w:tcPr>
          <w:p>
            <w:pPr>
              <w:spacing w:after="40"/>
            </w:pPr>
            <w:r>
              <w:rPr>
                <w:b w:val="0"/>
                <w:sz w:val="18"/>
              </w:rPr>
              <w:t>Pinned MIT snapshot vendored; batched operation/target decisions adapted into opt-in native browser execution</w:t>
            </w:r>
          </w:p>
        </w:tc>
        <w:tc>
          <w:tcPr>
            <w:tcW w:type="dxa" w:w="4320"/>
            <w:vAlign w:val="center"/>
            <w:shd w:fill="FFFFFF"/>
            <w:tcMar>
              <w:top w:w="90" w:type="dxa"/>
              <w:left w:w="90" w:type="dxa"/>
              <w:bottom w:w="90" w:type="dxa"/>
              <w:right w:w="90" w:type="dxa"/>
            </w:tcMar>
          </w:tcPr>
          <w:p>
            <w:pPr>
              <w:spacing w:after="40"/>
            </w:pPr>
            <w:r>
              <w:rPr>
                <w:b w:val="0"/>
                <w:sz w:val="18"/>
              </w:rPr>
              <w:t>No upstream Python agent, daemon or second Chrome process; live performance unqualified</w:t>
            </w:r>
          </w:p>
        </w:tc>
      </w:tr>
      <w:tr>
        <w:trPr>
          <w:cantSplit/>
        </w:trPr>
        <w:tc>
          <w:tcPr>
            <w:tcW w:type="dxa" w:w="1872"/>
            <w:vAlign w:val="center"/>
            <w:shd w:fill="FFFFFF"/>
            <w:tcMar>
              <w:top w:w="90" w:type="dxa"/>
              <w:left w:w="90" w:type="dxa"/>
              <w:bottom w:w="90" w:type="dxa"/>
              <w:right w:w="90" w:type="dxa"/>
            </w:tcMar>
          </w:tcPr>
          <w:p>
            <w:pPr>
              <w:spacing w:after="40"/>
            </w:pPr>
            <w:hyperlink r:id="rId17">
              <w:r>
                <w:rPr>
                  <w:color w:val="1155AA"/>
                </w:rPr>
                <w:t>vectorize-io/hindsight</w:t>
              </w:r>
            </w:hyperlink>
          </w:p>
        </w:tc>
        <w:tc>
          <w:tcPr>
            <w:tcW w:type="dxa" w:w="3888"/>
            <w:vAlign w:val="center"/>
            <w:shd w:fill="FFFFFF"/>
            <w:tcMar>
              <w:top w:w="90" w:type="dxa"/>
              <w:left w:w="90" w:type="dxa"/>
              <w:bottom w:w="90" w:type="dxa"/>
              <w:right w:w="90" w:type="dxa"/>
            </w:tcMar>
          </w:tcPr>
          <w:p>
            <w:pPr>
              <w:spacing w:after="40"/>
            </w:pPr>
            <w:r>
              <w:rPr>
                <w:b w:val="0"/>
                <w:sz w:val="18"/>
              </w:rPr>
              <w:t xml:space="preserve">Explicit </w:t>
            </w:r>
            <w:r>
              <w:rPr>
                <w:rFonts w:ascii="Courier New" w:hAnsi="Courier New"/>
                <w:b w:val="0"/>
                <w:sz w:val="18"/>
              </w:rPr>
              <w:t>kiln memory status</w:t>
            </w:r>
            <w:r>
              <w:rPr>
                <w:b w:val="0"/>
                <w:sz w:val="18"/>
              </w:rPr>
              <w:t xml:space="preserve">, </w:t>
            </w:r>
            <w:r>
              <w:rPr>
                <w:rFonts w:ascii="Courier New" w:hAnsi="Courier New"/>
                <w:b w:val="0"/>
                <w:sz w:val="18"/>
              </w:rPr>
              <w:t>retain</w:t>
            </w:r>
            <w:r>
              <w:rPr>
                <w:b w:val="0"/>
                <w:sz w:val="18"/>
              </w:rPr>
              <w:t xml:space="preserve">, </w:t>
            </w:r>
            <w:r>
              <w:rPr>
                <w:rFonts w:ascii="Courier New" w:hAnsi="Courier New"/>
                <w:b w:val="0"/>
                <w:sz w:val="18"/>
              </w:rPr>
              <w:t>recall</w:t>
            </w:r>
            <w:r>
              <w:rPr>
                <w:b w:val="0"/>
                <w:sz w:val="18"/>
              </w:rPr>
              <w:t xml:space="preserve"> HTTP adapter</w:t>
            </w:r>
          </w:p>
        </w:tc>
        <w:tc>
          <w:tcPr>
            <w:tcW w:type="dxa" w:w="4320"/>
            <w:vAlign w:val="center"/>
            <w:shd w:fill="FFFFFF"/>
            <w:tcMar>
              <w:top w:w="90" w:type="dxa"/>
              <w:left w:w="90" w:type="dxa"/>
              <w:bottom w:w="90" w:type="dxa"/>
              <w:right w:w="90" w:type="dxa"/>
            </w:tcMar>
          </w:tcPr>
          <w:p>
            <w:pPr>
              <w:spacing w:after="40"/>
            </w:pPr>
            <w:r>
              <w:rPr>
                <w:b w:val="0"/>
                <w:sz w:val="18"/>
              </w:rPr>
              <w:t>Requires an existing server and project bank; no automatic conversation retention or session injection</w:t>
            </w:r>
          </w:p>
        </w:tc>
      </w:tr>
      <w:tr>
        <w:trPr>
          <w:cantSplit/>
        </w:trPr>
        <w:tc>
          <w:tcPr>
            <w:tcW w:type="dxa" w:w="1872"/>
            <w:vAlign w:val="center"/>
            <w:shd w:fill="FFFFFF"/>
            <w:tcMar>
              <w:top w:w="90" w:type="dxa"/>
              <w:left w:w="90" w:type="dxa"/>
              <w:bottom w:w="90" w:type="dxa"/>
              <w:right w:w="90" w:type="dxa"/>
            </w:tcMar>
          </w:tcPr>
          <w:p>
            <w:pPr>
              <w:spacing w:after="40"/>
            </w:pPr>
            <w:hyperlink r:id="rId18">
              <w:r>
                <w:rPr>
                  <w:color w:val="1155AA"/>
                </w:rPr>
                <w:t>LangChain: Building a Harness with Jev</w:t>
              </w:r>
            </w:hyperlink>
          </w:p>
        </w:tc>
        <w:tc>
          <w:tcPr>
            <w:tcW w:type="dxa" w:w="3888"/>
            <w:vAlign w:val="center"/>
            <w:shd w:fill="FFFFFF"/>
            <w:tcMar>
              <w:top w:w="90" w:type="dxa"/>
              <w:left w:w="90" w:type="dxa"/>
              <w:bottom w:w="90" w:type="dxa"/>
              <w:right w:w="90" w:type="dxa"/>
            </w:tcMar>
          </w:tcPr>
          <w:p>
            <w:pPr>
              <w:spacing w:after="40"/>
            </w:pPr>
            <w:r>
              <w:rPr>
                <w:b w:val="0"/>
                <w:sz w:val="18"/>
              </w:rPr>
              <w:t>Separation of typed decisions from generation informs Jev routing</w:t>
            </w:r>
          </w:p>
        </w:tc>
        <w:tc>
          <w:tcPr>
            <w:tcW w:type="dxa" w:w="4320"/>
            <w:vAlign w:val="center"/>
            <w:shd w:fill="FFFFFF"/>
            <w:tcMar>
              <w:top w:w="90" w:type="dxa"/>
              <w:left w:w="90" w:type="dxa"/>
              <w:bottom w:w="90" w:type="dxa"/>
              <w:right w:w="90" w:type="dxa"/>
            </w:tcMar>
          </w:tcPr>
          <w:p>
            <w:pPr>
              <w:spacing w:after="40"/>
            </w:pPr>
            <w:r>
              <w:rPr>
                <w:b w:val="0"/>
                <w:sz w:val="18"/>
              </w:rPr>
              <w:t>No LangChain dependency or second runtime was added</w:t>
            </w:r>
          </w:p>
        </w:tc>
      </w:tr>
      <w:tr>
        <w:trPr>
          <w:cantSplit/>
        </w:trPr>
        <w:tc>
          <w:tcPr>
            <w:tcW w:type="dxa" w:w="1872"/>
            <w:vAlign w:val="center"/>
            <w:shd w:fill="FFFFFF"/>
            <w:tcMar>
              <w:top w:w="90" w:type="dxa"/>
              <w:left w:w="90" w:type="dxa"/>
              <w:bottom w:w="90" w:type="dxa"/>
              <w:right w:w="90" w:type="dxa"/>
            </w:tcMar>
          </w:tcPr>
          <w:p>
            <w:pPr>
              <w:spacing w:after="40"/>
            </w:pPr>
            <w:hyperlink r:id="rId19">
              <w:r>
                <w:rPr>
                  <w:color w:val="1155AA"/>
                </w:rPr>
                <w:t>Leonxlnx/unlazy</w:t>
              </w:r>
            </w:hyperlink>
          </w:p>
        </w:tc>
        <w:tc>
          <w:tcPr>
            <w:tcW w:type="dxa" w:w="3888"/>
            <w:vAlign w:val="center"/>
            <w:shd w:fill="FFFFFF"/>
            <w:tcMar>
              <w:top w:w="90" w:type="dxa"/>
              <w:left w:w="90" w:type="dxa"/>
              <w:bottom w:w="90" w:type="dxa"/>
              <w:right w:w="90" w:type="dxa"/>
            </w:tcMar>
          </w:tcPr>
          <w:p>
            <w:pPr>
              <w:spacing w:after="40"/>
            </w:pPr>
            <w:r>
              <w:rPr>
                <w:b w:val="0"/>
                <w:sz w:val="18"/>
              </w:rPr>
              <w:t>Scoped ownership, acceptance conditions, parent reverification and visible incomplete handoffs inform Kiln's native ledger</w:t>
            </w:r>
          </w:p>
        </w:tc>
        <w:tc>
          <w:tcPr>
            <w:tcW w:type="dxa" w:w="4320"/>
            <w:vAlign w:val="center"/>
            <w:shd w:fill="FFFFFF"/>
            <w:tcMar>
              <w:top w:w="90" w:type="dxa"/>
              <w:left w:w="90" w:type="dxa"/>
              <w:bottom w:w="90" w:type="dxa"/>
              <w:right w:w="90" w:type="dxa"/>
            </w:tcMar>
          </w:tcPr>
          <w:p>
            <w:pPr>
              <w:spacing w:after="40"/>
            </w:pPr>
            <w:r>
              <w:rPr>
                <w:b w:val="0"/>
                <w:sz w:val="18"/>
              </w:rPr>
              <w:t>No installed unlazy orchestrator/hooks and no exponential task-budget multiplication</w:t>
            </w:r>
          </w:p>
        </w:tc>
      </w:tr>
    </w:tbl>
    <w:p>
      <w:pPr>
        <w:spacing w:after="20"/>
      </w:pPr>
    </w:p>
    <w:p>
      <w:pPr>
        <w:pStyle w:val="Heading3"/>
      </w:pPr>
      <w:r>
        <w:t>Jev fast classification not the coding model</w:t>
      </w:r>
    </w:p>
    <w:p>
      <w:r>
        <w:t xml:space="preserve">Jev answers typed questions; it does not generate code or replace the main reasoning model. Kiln calls the </w:t>
      </w:r>
      <w:hyperlink r:id="rId20">
        <w:r>
          <w:rPr>
            <w:color w:val="1155AA"/>
          </w:rPr>
          <w:t>TypeSafe HTTP API</w:t>
        </w:r>
      </w:hyperlink>
      <w:r>
        <w:t xml:space="preserve"> directly. A constrained choice selects research, ideation, implementation or synthesis. Kiln then chooses a model and effort from its admitted pool. Independent review is deliberately separate: a reviewer needs a fresh worker and actual producer identity.</w:t>
      </w:r>
    </w:p>
    <w:p>
      <w:r>
        <w:t xml:space="preserve">With </w:t>
      </w:r>
      <w:r>
        <w:rPr>
          <w:rFonts w:ascii="Courier New" w:hAnsi="Courier New"/>
          <w:sz w:val="18"/>
        </w:rPr>
        <w:t>TYPESAFE_API_KEY</w:t>
      </w:r>
      <w:r>
        <w:t xml:space="preserve"> in the environment, new operator runs classify at explicit boundaries: ordinary prompts make no routing request; </w:t>
      </w:r>
      <w:r>
        <w:rPr>
          <w:rFonts w:ascii="Courier New" w:hAnsi="Courier New"/>
          <w:sz w:val="18"/>
        </w:rPr>
        <w:t>route_step</w:t>
      </w:r>
      <w:r>
        <w:t xml:space="preserve"> with </w:t>
      </w:r>
      <w:r>
        <w:rPr>
          <w:rFonts w:ascii="Courier New" w:hAnsi="Courier New"/>
          <w:sz w:val="18"/>
        </w:rPr>
        <w:t>kind: "auto"</w:t>
      </w:r>
      <w:r>
        <w:t xml:space="preserve"> can classify an ambiguous transition. </w:t>
      </w:r>
      <w:r>
        <w:rPr>
          <w:rFonts w:ascii="Courier New" w:hAnsi="Courier New"/>
          <w:sz w:val="18"/>
        </w:rPr>
        <w:t>KILN_JEV_ENABLED=0</w:t>
      </w:r>
      <w:r>
        <w:t xml:space="preserve"> disables external classification. Missing keys keep routing local. Explicit work types bypass Jev. Routing policy is frozen per run. Saved Jev policies without a mode retain legacy </w:t>
      </w:r>
      <w:r>
        <w:rPr>
          <w:rFonts w:ascii="Courier New" w:hAnsi="Courier New"/>
          <w:sz w:val="18"/>
        </w:rPr>
        <w:t>per_prompt</w:t>
      </w:r>
      <w:r>
        <w:t xml:space="preserve"> behavior; pre-Jev runs retain local behavior. The programmatic runtime supports explicitly selecting </w:t>
      </w:r>
      <w:r>
        <w:rPr>
          <w:rFonts w:ascii="Courier New" w:hAnsi="Courier New"/>
          <w:sz w:val="18"/>
        </w:rPr>
        <w:t>per_prompt</w:t>
      </w:r>
      <w:r>
        <w:t xml:space="preserve"> for a new run; resume cannot silently change modes.</w:t>
      </w:r>
    </w:p>
    <w:p>
      <w:r>
        <w:t>For explicit advisory routing:</w:t>
      </w:r>
    </w:p>
    <w:p>
      <w:pPr>
        <w:pStyle w:val="Command"/>
        <w:keepLines/>
      </w:pPr>
      <w:r>
        <w:t>kiln model suggest "Compare candidate approaches" --jev --json</w:t>
      </w:r>
    </w:p>
    <w:p>
      <w:r>
        <w:t xml:space="preserve">Omitting </w:t>
      </w:r>
      <w:r>
        <w:rPr>
          <w:rFonts w:ascii="Courier New" w:hAnsi="Courier New"/>
          <w:sz w:val="18"/>
        </w:rPr>
        <w:t>--jev</w:t>
      </w:r>
      <w:r>
        <w:t xml:space="preserve"> keeps this command local.</w:t>
      </w:r>
    </w:p>
    <w:p>
      <w:r>
        <w:t xml:space="preserve">The runtime policy is frozen per run: </w:t>
      </w:r>
      <w:r>
        <w:rPr>
          <w:rFonts w:ascii="Courier New" w:hAnsi="Courier New"/>
          <w:sz w:val="18"/>
        </w:rPr>
        <w:t>jev-1.13.0</w:t>
      </w:r>
      <w:r>
        <w:t>, confidence threshold 0.8, 1,500 ms deadline covering transport/body processing, 64 attempts and an observed 100,000-token allowance. Identical accepted or low-confidence classifications use an in-memory cache; failed transports are not cached. Call and token counters survive resume; cached decisions do not. A final request can cross the observed token allowance. Payloads and responses are size-bounded, redirects and automatic retries are disabled, and returned models, choices and probability distributions are validated.</w:t>
      </w:r>
    </w:p>
    <w:p>
      <w:r>
        <w:t>Missing access, malformed output, low confidence, timeout, outage or exhausted allocation preserves the existing model/effort. Cancellation prevents the main model dispatch. The journal records decision provenance, input hash, confidence, latency, usage, caching and fallback reason. It does not duplicate the classifier's input summary.</w:t>
      </w:r>
    </w:p>
    <w:p>
      <w:r>
        <w:t>The classifier receives bounded redacted task/request excerpts or an agent-provided concise handoff description, not the full transcript, repository or auth store. Redaction is not a guarantee that arbitrary private text is removed. Supplying the key enables this external processing; use the disable switch when it is inappropriate.</w:t>
      </w:r>
    </w:p>
    <w:p>
      <w:r>
        <w:t xml:space="preserve">Accounting reserves the full 64k context exposure before transport and settles validated input usage at the pinned price: </w:t>
      </w:r>
      <w:r>
        <w:rPr>
          <w:b/>
        </w:rPr>
        <w:t>$0.042 per million input tokens, output free</w:t>
      </w:r>
      <w:r>
        <w:t xml:space="preserve">, verified on 2026-09-28 against </w:t>
      </w:r>
      <w:hyperlink r:id="rId21">
        <w:r>
          <w:rPr>
            <w:color w:val="1155AA"/>
          </w:rPr>
          <w:t>TypeSafe's model documentation</w:t>
        </w:r>
      </w:hyperlink>
      <w:r>
        <w:t xml:space="preserve">. Unknown usage retains the reservation. The reservation is conservative accounting, not a provider billing guarantee. Numeric calculations, budgets and date comparisons stay in code; the provider itself documents </w:t>
      </w:r>
      <w:hyperlink r:id="rId22">
        <w:r>
          <w:rPr>
            <w:color w:val="1155AA"/>
          </w:rPr>
          <w:t>Jev's limitations</w:t>
        </w:r>
      </w:hyperlink>
      <w:r>
        <w:t>.</w:t>
      </w:r>
    </w:p>
    <w:p>
      <w:pPr>
        <w:pStyle w:val="Heading3"/>
      </w:pPr>
      <w:r>
        <w:t>Opt in execution workflows</w:t>
      </w:r>
    </w:p>
    <w:p>
      <w:r>
        <w:rPr>
          <w:rFonts w:ascii="Courier New" w:hAnsi="Courier New"/>
          <w:sz w:val="18"/>
        </w:rPr>
        <w:t>KILN_JEV_WORKFLOWS=1</w:t>
      </w:r>
      <w:r>
        <w:t xml:space="preserve"> on a new run registers </w:t>
      </w:r>
      <w:r>
        <w:rPr>
          <w:rFonts w:ascii="Courier New" w:hAnsi="Courier New"/>
          <w:sz w:val="18"/>
        </w:rPr>
        <w:t>browser_task</w:t>
      </w:r>
      <w:r>
        <w:t xml:space="preserve">, </w:t>
      </w:r>
      <w:r>
        <w:rPr>
          <w:rFonts w:ascii="Courier New" w:hAnsi="Courier New"/>
          <w:sz w:val="18"/>
        </w:rPr>
        <w:t>research_task</w:t>
      </w:r>
      <w:r>
        <w:t xml:space="preserve"> and internal </w:t>
      </w:r>
      <w:r>
        <w:rPr>
          <w:rFonts w:ascii="Courier New" w:hAnsi="Courier New"/>
          <w:sz w:val="18"/>
        </w:rPr>
        <w:t>kiln_browser_decide</w:t>
      </w:r>
      <w:r>
        <w:t>. The native operator and workers share four active workflow slots, 64 workflow Jev calls and a one-million-input-token exposure cap. Every request reserves 64,000 tokens and its dollar exposure before dispatch; validated usage settles it, while unknown usage remains charged conservatively across resume. Workflow allowances are separate from routing counters but subordinate to the same root money budget and cancellation. Exact serialized state/questions, operation, pinned model and confidence policy identify shared requests. Concurrent identical callers share transport; accepted known-usage results use a bounded 32-entry/256-KiB in-memory cache. Followers and cache hits carry origin IDs and no incremental dispatch, usage or charge. Failed, low-confidence and unknown-usage results are not cached. Caller cancellation is independent until no callers remain; run cancellation stops the shared work. Cached values do not persist on resume, while accounting does. Configuration is frozen in run metadata; steering invalidates pending actions.</w:t>
      </w:r>
    </w:p>
    <w:p>
      <w:r>
        <w:rPr>
          <w:rFonts w:ascii="Courier New" w:hAnsi="Courier New"/>
          <w:sz w:val="18"/>
        </w:rPr>
        <w:t>browser_task</w:t>
      </w:r>
      <w:r>
        <w:t xml:space="preserve"> holds an existing native tab's ownership across observe/decide/act, called directly outside </w:t>
      </w:r>
      <w:r>
        <w:rPr>
          <w:rFonts w:ascii="Courier New" w:hAnsi="Courier New"/>
          <w:sz w:val="18"/>
        </w:rPr>
        <w:t>eval</w:t>
      </w:r>
      <w:r>
        <w:t xml:space="preserve">. It batches operation and compatible target questions over observed permitted controls, validates freshness and returns a compact receipt. Its controller uses exact action-label allowlists and supplied literal field values; it supports click/fill/select/scroll/wait, at most eight decisions and 30 seconds. It returns unsupported or ambiguous results instead of replaying uncertain input. Only a proven pre-input stale result permits reobservation and replanning within the same bounds. Fresh checks cover exact URL, text presence and field equality; the native adapter returns their results and matching observation atomically. Even </w:t>
      </w:r>
      <w:r>
        <w:rPr>
          <w:rFonts w:ascii="Courier New" w:hAnsi="Courier New"/>
          <w:sz w:val="18"/>
        </w:rPr>
        <w:t>status: verified</w:t>
      </w:r>
      <w:r>
        <w:t xml:space="preserve"> carries </w:t>
      </w:r>
      <w:r>
        <w:rPr>
          <w:rFonts w:ascii="Courier New" w:hAnsi="Courier New"/>
          <w:sz w:val="18"/>
        </w:rPr>
        <w:t>quality: specified_checks_only</w:t>
      </w:r>
      <w:r>
        <w:t xml:space="preserve"> and </w:t>
      </w:r>
      <w:r>
        <w:rPr>
          <w:rFonts w:ascii="Courier New" w:hAnsi="Courier New"/>
          <w:sz w:val="18"/>
        </w:rPr>
        <w:t>taskQualityValidated: false</w:t>
      </w:r>
      <w:r>
        <w:t>; parent review must establish full goal coverage.</w:t>
      </w:r>
    </w:p>
    <w:p>
      <w:r>
        <w:t xml:space="preserve">The unmodified upstream snapshot is pinned to </w:t>
      </w:r>
      <w:r>
        <w:rPr>
          <w:rFonts w:ascii="Courier New" w:hAnsi="Courier New"/>
          <w:sz w:val="18"/>
        </w:rPr>
        <w:t>1231850a0bf1a0c0341fe408ef1668dbbfdfac46</w:t>
      </w:r>
      <w:r>
        <w:t xml:space="preserve"> with its MIT license in </w:t>
      </w:r>
      <w:hyperlink r:id="rId23">
        <w:r>
          <w:rPr>
            <w:color w:val="1155AA"/>
          </w:rPr>
          <w:t>vendor/jev-ultrafast</w:t>
        </w:r>
      </w:hyperlink>
      <w:r>
        <w:t>. Kiln adapts the upstream operation/target decision rules to its native browser and accounting; it does not launch the Python Agent, another daemon or a second Chrome. No dependency source is patched for this browser bridge.</w:t>
      </w:r>
    </w:p>
    <w:p>
      <w:r>
        <w:rPr>
          <w:rFonts w:ascii="Courier New" w:hAnsi="Courier New"/>
          <w:sz w:val="18"/>
        </w:rPr>
        <w:t>research_task</w:t>
      </w:r>
      <w:r>
        <w:t xml:space="preserve"> uses existing search/fetch with explicit HTTPS source-host scope, bounded concurrent capture, immutable source artifacts, hashes, retrieval metadata and passage locations. Jev labels evidence fields as supports/contradicts/mixed/not_stated/unknown. The parent synthesizes; receipt </w:t>
      </w:r>
      <w:r>
        <w:rPr>
          <w:rFonts w:ascii="Courier New" w:hAnsi="Courier New"/>
          <w:sz w:val="18"/>
        </w:rPr>
        <w:t>truthVerified</w:t>
      </w:r>
      <w:r>
        <w:t xml:space="preserve"> remains false. Truncation and unavailable sources remain explicit. The registered tool does not wire its optional low-level browser fallback: dynamic fetch failures require a separate </w:t>
      </w:r>
      <w:r>
        <w:rPr>
          <w:rFonts w:ascii="Courier New" w:hAnsi="Courier New"/>
          <w:sz w:val="18"/>
        </w:rPr>
        <w:t>browser_task</w:t>
      </w:r>
      <w:r>
        <w:t xml:space="preserve"> call. Hindsight retention remains independent and explicit. See </w:t>
      </w:r>
      <w:hyperlink r:id="rId24">
        <w:r>
          <w:rPr>
            <w:color w:val="1155AA"/>
          </w:rPr>
          <w:t>workflow limits and usage</w:t>
        </w:r>
      </w:hyperlink>
      <w:r>
        <w:t>.</w:t>
      </w:r>
    </w:p>
    <w:p>
      <w:r>
        <w:t>Enabled workflow decisions send scoped browser observations/tasks or research passages/questions to TypeSafe. The implementation is exercised offline; no live Jev performance result is established because no TypeSafe key was configured during qualification. This avoids claiming each cheap decision displaced a frontier call without a matched baseline.</w:t>
      </w:r>
    </w:p>
    <w:p>
      <w:pPr>
        <w:pStyle w:val="Heading3"/>
      </w:pPr>
      <w:r>
        <w:t>Hindsight explicit project memory</w:t>
      </w:r>
    </w:p>
    <w:p>
      <w:r>
        <w:t xml:space="preserve">The adapter follows the </w:t>
      </w:r>
      <w:hyperlink r:id="rId25">
        <w:r>
          <w:rPr>
            <w:color w:val="1155AA"/>
          </w:rPr>
          <w:t>published OpenAPI contract</w:t>
        </w:r>
      </w:hyperlink>
      <w:r>
        <w:t xml:space="preserve">. </w:t>
      </w:r>
      <w:r>
        <w:rPr>
          <w:rFonts w:ascii="Courier New" w:hAnsi="Courier New"/>
          <w:sz w:val="18"/>
        </w:rPr>
        <w:t>retain</w:t>
      </w:r>
      <w:r>
        <w:t xml:space="preserve"> sends one operator-selected UTF-8 file, source basename and SHA-256 document identity. </w:t>
      </w:r>
      <w:r>
        <w:rPr>
          <w:rFonts w:ascii="Courier New" w:hAnsi="Courier New"/>
          <w:sz w:val="18"/>
        </w:rPr>
        <w:t>recall</w:t>
      </w:r>
      <w:r>
        <w:t xml:space="preserve"> returns JSON marked untrusted while preserving service provenance. Neither operation updates the authoritative request, acceptance contract or arbitrary model context.</w:t>
      </w:r>
    </w:p>
    <w:p>
      <w:r>
        <w:rPr>
          <w:rFonts w:ascii="Courier New" w:hAnsi="Courier New"/>
          <w:sz w:val="18"/>
        </w:rPr>
        <w:t>status</w:t>
      </w:r>
      <w:r>
        <w:t xml:space="preserve"> is local-only and does not prove service readiness. Retain requires a synchronous success acknowledgment; a timeout leaves outcome uncertain, and there is no automatic retry. Input files are capped at 256 KiB, queries at 16 KiB and responses at 1 MiB. Timeout defaults to 10 seconds (maximum 120 seconds); recall defaults to 2,048 tokens (maximum 16,384). HTTPS is required except loopback HTTP; URL credentials and redirects are rejected. </w:t>
      </w:r>
      <w:r>
        <w:rPr>
          <w:rFonts w:ascii="Courier New" w:hAnsi="Courier New"/>
          <w:sz w:val="18"/>
        </w:rPr>
        <w:t>HINDSIGHT_API_KEY</w:t>
      </w:r>
      <w:r>
        <w:t xml:space="preserve"> is environment-only.</w:t>
      </w:r>
    </w:p>
    <w:p>
      <w:r>
        <w:t xml:space="preserve">Hindsight is MIT-licensed software, but self-hosting still needs infrastructure/storage and model execution. Managed service billing is separate from Kiln's main model budget; consult </w:t>
      </w:r>
      <w:hyperlink r:id="rId26">
        <w:r>
          <w:rPr>
            <w:color w:val="1155AA"/>
          </w:rPr>
          <w:t>current Hindsight pricing</w:t>
        </w:r>
      </w:hyperlink>
      <w:r>
        <w:t xml:space="preserve"> before use. Kiln does not deploy it or automatically send entire conversations. Add this memory path when recurring cross-run retrieval needs justify the operating cost, rather than treating extra memory as an automatic improvement.</w:t>
      </w:r>
    </w:p>
    <w:p>
      <w:pPr>
        <w:pStyle w:val="Heading3"/>
      </w:pPr>
      <w:r>
        <w:t>unlazy completion principles native implementation</w:t>
      </w:r>
    </w:p>
    <w:p>
      <w:r>
        <w:t>The useful ideas are executable acceptance criteria, explicit ownership/dependencies, truthful handoffs and parent reverification. Kiln implements those principles in its own runtime and build checks. It does not install unlazy's CLI, shell-gate approval store or stop hooks. Check reports and ledger hashes retain their limits: they are evidence records, not tamper-proof attestations or proof of semantic correctness. Budgets remain bounded by the actual run allocation.</w:t>
      </w:r>
    </w:p>
    <w:p>
      <w:pPr>
        <w:pStyle w:val="Heading2"/>
      </w:pPr>
      <w:r>
        <w:t>Authentication and maintained dependency updates</w:t>
      </w:r>
    </w:p>
    <w:p>
      <w:r>
        <w:t>Kiln owns its welcome, connection prompts and local browser receipt. A tracked Bun patch adds an optional sanitized callback-page renderer to the pinned native OAuth controller, with matching source and declarations. The hook receives only a boolean receipt status and generic error text. Provider codes, state and tokens stay in the existing flow. PKCE, callback checks, client identity and exchange endpoints are unchanged. Receipt copy remains pending until the terminal confirms the connection.</w:t>
      </w:r>
    </w:p>
    <w:p>
      <w:r>
        <w:t>The protocol engine is reused; the Kiln-facing UI is owned here. A fully Kiln-named provider consent application would require its own OAuth registration, any required approval and matching client configuration. No such registration was performed, and availability of a registration path is provider-specific.</w:t>
      </w:r>
    </w:p>
    <w:p>
      <w:r>
        <w:t>The patch is applied by normal installation and must be preserved or deliberately reconciled when native dependencies change. A patch conflict should block an update rather than silently restore an OMP-branded callback or modify authentication semantics.</w:t>
      </w:r>
    </w:p>
    <w:p>
      <w:r>
        <w:rPr>
          <w:rFonts w:ascii="Courier New" w:hAnsi="Courier New"/>
          <w:sz w:val="18"/>
        </w:rPr>
        <w:t>kiln model catalog status|check</w:t>
      </w:r>
      <w:r>
        <w:t xml:space="preserve"> audits metadata without admitting new models. </w:t>
      </w:r>
      <w:r>
        <w:rPr>
          <w:rFonts w:ascii="Courier New" w:hAnsi="Courier New"/>
          <w:sz w:val="18"/>
        </w:rPr>
        <w:t>bun scripts/frontier-update.ts --check</w:t>
      </w:r>
      <w:r>
        <w:t xml:space="preserve"> inspects upstream package versions without applying them. The </w:t>
      </w:r>
      <w:hyperlink r:id="rId12">
        <w:r>
          <w:rPr>
            <w:color w:val="1155AA"/>
          </w:rPr>
          <w:t>six-hour frontier updater</w:t>
        </w:r>
      </w:hyperlink>
      <w:r>
        <w:t xml:space="preserve"> selects the latest common stable version of the six pinned native packages and prepares a validated exact-version update as a draft pull request. It needs to be merged and enabled before its schedule operates; it does not auto-merge, change benchmark rankings or hot-swap a running session. The validation path includes patch application, type checking, tests, evaluation verification and leak checks, plus advisory catalog inspection. Publishing occurs in a separate job so upgraded code does not execute with the write token. See </w:t>
      </w:r>
      <w:hyperlink r:id="rId13">
        <w:r>
          <w:rPr>
            <w:color w:val="1155AA"/>
          </w:rPr>
          <w:t>catalog updates</w:t>
        </w:r>
      </w:hyperlink>
      <w:r>
        <w:t xml:space="preserve"> for source hashes, freshness labels and admission limits.</w:t>
      </w:r>
    </w:p>
    <w:p>
      <w:pPr>
        <w:pStyle w:val="Heading2"/>
      </w:pPr>
      <w:r>
        <w:t>Qualification limits</w:t>
      </w:r>
    </w:p>
    <w:p>
      <w:r>
        <w:t>Offline tests exercise contracts, mock provider failures, routing/accounting and synthetic OAuth loopback requests. They establish neither successful live login for every provider nor improved agent performance. Representative paid runs, paired routing comparisons and end-to-end browser/memory service qualification remain distinct work. Catalog freshness is not benchmark quality; a completed model turn is not acceptance; a scientific hypothesis is not a measured result.</w:t>
      </w:r>
    </w:p>
    <w:p>
      <w:r>
        <w:t xml:space="preserve">See </w:t>
      </w:r>
      <w:hyperlink r:id="rId27">
        <w:r>
          <w:rPr>
            <w:color w:val="1155AA"/>
          </w:rPr>
          <w:t>the public Jev design</w:t>
        </w:r>
      </w:hyperlink>
      <w:r>
        <w:t xml:space="preserve"> for implementation choices, rejected generic gates and comparative evaluation requirements.</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555"/>
        <w:sz w:val="16"/>
      </w:rPr>
      <w:t xml:space="preserve">Kiln User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cstheme="majorBidi" w:ascii="Arial" w:hAnsi="Arial"/>
      <w:b w:val="0"/>
      <w:color w:val="000000"/>
      <w:spacing w:val="5"/>
      <w:kern w:val="28"/>
      <w:sz w:val="5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basedOn w:val="Normal"/>
    <w:pPr>
      <w:spacing w:before="100" w:after="140" w:line="240" w:lineRule="auto"/>
      <w:ind w:left="173" w:right="115"/>
      <w:shd w:fill="F3F4F5"/>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vkalipat/kiln/blob/main/docs/usage.md" TargetMode="External"/><Relationship Id="rId11" Type="http://schemas.openxmlformats.org/officeDocument/2006/relationships/hyperlink" Target="https://github.com/vkalipat/kiln/blob/main/docs/optional-integrations.md" TargetMode="External"/><Relationship Id="rId12" Type="http://schemas.openxmlformats.org/officeDocument/2006/relationships/hyperlink" Target="https://github.com/vkalipat/kiln/blob/main/docs/frontier-updates.md" TargetMode="External"/><Relationship Id="rId13" Type="http://schemas.openxmlformats.org/officeDocument/2006/relationships/hyperlink" Target="https://github.com/vkalipat/kiln/blob/main/docs/model-catalog-updates.md" TargetMode="External"/><Relationship Id="rId14" Type="http://schemas.openxmlformats.org/officeDocument/2006/relationships/hyperlink" Target="https://github.com/vkalipat/kiln/blob/main/docs/architecture-and-integrations.md" TargetMode="External"/><Relationship Id="rId15" Type="http://schemas.openxmlformats.org/officeDocument/2006/relationships/hyperlink" Target="https://github.com/vkalipat/kiln/blob/main/docs/user-manual.md" TargetMode="External"/><Relationship Id="rId16" Type="http://schemas.openxmlformats.org/officeDocument/2006/relationships/hyperlink" Target="https://github.com/browser-use/jev-ultrafast" TargetMode="External"/><Relationship Id="rId17" Type="http://schemas.openxmlformats.org/officeDocument/2006/relationships/hyperlink" Target="https://github.com/vectorize-io/hindsight" TargetMode="External"/><Relationship Id="rId18" Type="http://schemas.openxmlformats.org/officeDocument/2006/relationships/hyperlink" Target="https://www.langchain.com/blog/building-a-harness-with-jev" TargetMode="External"/><Relationship Id="rId19" Type="http://schemas.openxmlformats.org/officeDocument/2006/relationships/hyperlink" Target="https://github.com/Leonxlnx/unlazy" TargetMode="External"/><Relationship Id="rId20" Type="http://schemas.openxmlformats.org/officeDocument/2006/relationships/hyperlink" Target="https://docs.typesafe.ai/api" TargetMode="External"/><Relationship Id="rId21" Type="http://schemas.openxmlformats.org/officeDocument/2006/relationships/hyperlink" Target="https://docs.typesafe.ai/models" TargetMode="External"/><Relationship Id="rId22" Type="http://schemas.openxmlformats.org/officeDocument/2006/relationships/hyperlink" Target="https://docs.typesafe.ai/model-jaggedness/jev-1.13" TargetMode="External"/><Relationship Id="rId23" Type="http://schemas.openxmlformats.org/officeDocument/2006/relationships/hyperlink" Target="https://github.com/vkalipat/kiln/blob/main/vendor/jev-ultrafast/README.md" TargetMode="External"/><Relationship Id="rId24" Type="http://schemas.openxmlformats.org/officeDocument/2006/relationships/hyperlink" Target="https://github.com/vkalipat/kiln/blob/main/docs/optional-integrations.md#browser-execution-and-completion-discipline" TargetMode="External"/><Relationship Id="rId25" Type="http://schemas.openxmlformats.org/officeDocument/2006/relationships/hyperlink" Target="https://hindsight.vectorize.io/openapi.json" TargetMode="External"/><Relationship Id="rId26" Type="http://schemas.openxmlformats.org/officeDocument/2006/relationships/hyperlink" Target="https://vectorize.io/pricing" TargetMode="External"/><Relationship Id="rId27" Type="http://schemas.openxmlformats.org/officeDocument/2006/relationships/hyperlink" Target="https://github.com/vkalipat/kiln/blob/main/docs/jev-desig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Kiln User Manual</dc:title>
  <dc:subject>Using the Kiln harness and terminal interface</dc:subject>
  <dc:creator>Kiln</dc:creator>
  <cp:keywords>Kiln, harness, TUI, user manual</cp:keywords>
  <dc:description/>
  <cp:lastModifiedBy/>
  <cp:revision>1</cp:revision>
  <dcterms:created xsi:type="dcterms:W3CDTF">2013-12-23T23:15:00Z</dcterms:created>
  <dcterms:modified xsi:type="dcterms:W3CDTF">2013-12-23T23:15:00Z</dcterms:modified>
  <cp:category/>
</cp:coreProperties>
</file>