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BFB" w:rsidRDefault="00231934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48"/>
          <w:szCs w:val="48"/>
        </w:rPr>
      </w:pPr>
      <w:r w:rsidRPr="00E52A13">
        <w:rPr>
          <w:rFonts w:ascii="Calibri" w:eastAsia="Times New Roman" w:hAnsi="Calibri" w:cs="Calibri"/>
          <w:b/>
          <w:bCs/>
          <w:sz w:val="48"/>
          <w:szCs w:val="48"/>
        </w:rPr>
        <w:t>Model Monitoring Summary Report</w:t>
      </w:r>
    </w:p>
    <w:p w:rsidR="00E52A13" w:rsidRPr="007F7BFB" w:rsidRDefault="00E52A13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E52A13">
        <w:rPr>
          <w:sz w:val="36"/>
          <w:szCs w:val="36"/>
        </w:rPr>
        <w:t>Integrated Credit Risk Monitoring Framework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1. Objective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objective of the monitoring framework is to evaluate ongoing model stability, portfolio drift, calibration consistency, and predictive reliability following model deployment.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process supports key model risk management principles including:</w:t>
      </w:r>
    </w:p>
    <w:p w:rsidR="007F7BFB" w:rsidRPr="007F7BFB" w:rsidRDefault="007F7BFB" w:rsidP="007F7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Drift detection </w:t>
      </w:r>
    </w:p>
    <w:p w:rsidR="007F7BFB" w:rsidRPr="007F7BFB" w:rsidRDefault="007F7BFB" w:rsidP="007F7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Stability assessment </w:t>
      </w:r>
    </w:p>
    <w:p w:rsidR="007F7BFB" w:rsidRPr="007F7BFB" w:rsidRDefault="007F7BFB" w:rsidP="007F7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Calibration monitoring </w:t>
      </w:r>
    </w:p>
    <w:p w:rsidR="007F7BFB" w:rsidRPr="007F7BFB" w:rsidRDefault="007F7BFB" w:rsidP="007F7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Recalibration assessment </w:t>
      </w:r>
    </w:p>
    <w:p w:rsidR="007F7BFB" w:rsidRPr="007F7BFB" w:rsidRDefault="007F7BFB" w:rsidP="007F7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Governance oversight </w:t>
      </w:r>
    </w:p>
    <w:p w:rsidR="007F7BFB" w:rsidRPr="007F7BFB" w:rsidRDefault="007F7BFB" w:rsidP="007F7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Lifecycle monitoring </w:t>
      </w:r>
    </w:p>
    <w:p w:rsid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framework was designed to ensure that the model continues to perform reliably on out-of-time (OOT) populations and remains aligned with portfolio behavior over time.</w:t>
      </w:r>
    </w:p>
    <w:p w:rsidR="00F87DE1" w:rsidRPr="007F7BFB" w:rsidRDefault="00F87DE1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F87DE1">
        <w:rPr>
          <w:rFonts w:ascii="Calibri" w:eastAsia="Times New Roman" w:hAnsi="Calibri" w:cs="Calibri"/>
          <w:sz w:val="24"/>
          <w:szCs w:val="24"/>
        </w:rPr>
        <w:t>The monitoring process supports ongoing lifecycle management including drift detection, recalibration assessment, performance review, and governance escalation.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2. Monitoring Framework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A monitoring framework was established to support continuous evaluation of model performance and portfolio stability following deployment.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framework includes periodic assessment of:</w:t>
      </w:r>
    </w:p>
    <w:p w:rsidR="007F7BFB" w:rsidRPr="007F7BFB" w:rsidRDefault="007F7BFB" w:rsidP="007F7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Score stability </w:t>
      </w:r>
    </w:p>
    <w:p w:rsidR="007F7BFB" w:rsidRPr="007F7BFB" w:rsidRDefault="007F7BFB" w:rsidP="007F7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Feature stability </w:t>
      </w:r>
    </w:p>
    <w:p w:rsidR="007F7BFB" w:rsidRPr="007F7BFB" w:rsidRDefault="007F7BFB" w:rsidP="007F7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Calibration consistency </w:t>
      </w:r>
    </w:p>
    <w:p w:rsidR="007F7BFB" w:rsidRPr="007F7BFB" w:rsidRDefault="007F7BFB" w:rsidP="007F7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Portfolio drift behavior </w:t>
      </w:r>
    </w:p>
    <w:p w:rsidR="007F7BFB" w:rsidRPr="007F7BFB" w:rsidRDefault="007F7BFB" w:rsidP="007F7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Model performance degradation </w:t>
      </w:r>
    </w:p>
    <w:p w:rsidR="007F7BFB" w:rsidRDefault="007F7BFB" w:rsidP="007F7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lastRenderedPageBreak/>
        <w:t xml:space="preserve">Threshold-based escalation review </w:t>
      </w:r>
    </w:p>
    <w:p w:rsidR="007F7BFB" w:rsidRPr="007F7BFB" w:rsidRDefault="000931FB" w:rsidP="000931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0931FB">
        <w:rPr>
          <w:rFonts w:ascii="Calibri" w:eastAsia="Times New Roman" w:hAnsi="Calibri" w:cs="Calibri"/>
          <w:sz w:val="24"/>
          <w:szCs w:val="24"/>
        </w:rPr>
        <w:t>Monitoring outputs are archived periodically to support auditability, governance review, and model lifecycle documentation.</w:t>
      </w:r>
      <w:r w:rsidR="00270F99">
        <w:rPr>
          <w:rFonts w:ascii="Calibri" w:eastAsia="Times New Roman" w:hAnsi="Calibri" w:cs="Calibr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Monitoring Components</w: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F7BFB">
        <w:rPr>
          <w:rFonts w:ascii="Calibri" w:eastAsia="Times New Roman" w:hAnsi="Calibri" w:cs="Calibri"/>
          <w:b/>
          <w:bCs/>
          <w:sz w:val="27"/>
          <w:szCs w:val="27"/>
        </w:rPr>
        <w:t>Score Stability Monitoring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Population Stability Index (PSI) is used to monitor changes in predicted probability distributions over time.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F7BFB">
        <w:rPr>
          <w:rFonts w:ascii="Calibri" w:eastAsia="Times New Roman" w:hAnsi="Calibri" w:cs="Calibri"/>
          <w:b/>
          <w:bCs/>
          <w:sz w:val="27"/>
          <w:szCs w:val="27"/>
        </w:rPr>
        <w:t>Feature Stability Monitoring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Feature-level PSI analysis is used to identify population drift within model input variables.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F7BFB">
        <w:rPr>
          <w:rFonts w:ascii="Calibri" w:eastAsia="Times New Roman" w:hAnsi="Calibri" w:cs="Calibri"/>
          <w:b/>
          <w:bCs/>
          <w:sz w:val="27"/>
          <w:szCs w:val="27"/>
        </w:rPr>
        <w:t>Calibration Monitoring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Predicted probability distributions are periodically compared against observed default behavior to evaluate calibration consistency.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F7BFB">
        <w:rPr>
          <w:rFonts w:ascii="Calibri" w:eastAsia="Times New Roman" w:hAnsi="Calibri" w:cs="Calibri"/>
          <w:b/>
          <w:bCs/>
          <w:sz w:val="27"/>
          <w:szCs w:val="27"/>
        </w:rPr>
        <w:t>Performance Monitoring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Model discriminatory power and ranking capability are periodically reviewed using performance metrics such as AUC and default rate analysis.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F7BFB">
        <w:rPr>
          <w:rFonts w:ascii="Calibri" w:eastAsia="Times New Roman" w:hAnsi="Calibri" w:cs="Calibri"/>
          <w:b/>
          <w:bCs/>
          <w:sz w:val="27"/>
          <w:szCs w:val="27"/>
        </w:rPr>
        <w:t>Scenario-Based Monitoring Review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Periodic monitoring reviews are performed to evaluate model sensitivity under changing borrower and portfolio conditions.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Monitoring Frequency</w:t>
      </w:r>
    </w:p>
    <w:tbl>
      <w:tblPr>
        <w:tblStyle w:val="TableGrid"/>
        <w:tblW w:w="8891" w:type="dxa"/>
        <w:tblLook w:val="04A0" w:firstRow="1" w:lastRow="0" w:firstColumn="1" w:lastColumn="0" w:noHBand="0" w:noVBand="1"/>
      </w:tblPr>
      <w:tblGrid>
        <w:gridCol w:w="5899"/>
        <w:gridCol w:w="2992"/>
      </w:tblGrid>
      <w:tr w:rsidR="007F7BFB" w:rsidRPr="007F7BFB" w:rsidTr="007F7BFB">
        <w:trPr>
          <w:trHeight w:val="357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Monitoring Activity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Frequency</w:t>
            </w:r>
          </w:p>
        </w:tc>
      </w:tr>
      <w:tr w:rsidR="007F7BFB" w:rsidRPr="007F7BFB" w:rsidTr="007F7BFB">
        <w:trPr>
          <w:trHeight w:val="342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Score PSI Monitoring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Monthly</w:t>
            </w:r>
          </w:p>
        </w:tc>
      </w:tr>
      <w:tr w:rsidR="007F7BFB" w:rsidRPr="007F7BFB" w:rsidTr="007F7BFB">
        <w:trPr>
          <w:trHeight w:val="342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Feature PSI Monitoring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Monthly</w:t>
            </w:r>
          </w:p>
        </w:tc>
      </w:tr>
      <w:tr w:rsidR="007F7BFB" w:rsidRPr="007F7BFB" w:rsidTr="007F7BFB">
        <w:trPr>
          <w:trHeight w:val="342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Calibration Review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Quarterly</w:t>
            </w:r>
          </w:p>
        </w:tc>
      </w:tr>
      <w:tr w:rsidR="007F7BFB" w:rsidRPr="007F7BFB" w:rsidTr="007F7BFB">
        <w:trPr>
          <w:trHeight w:val="342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Performance Review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Quarterly</w:t>
            </w:r>
          </w:p>
        </w:tc>
      </w:tr>
      <w:tr w:rsidR="007F7BFB" w:rsidRPr="007F7BFB" w:rsidTr="007F7BFB">
        <w:trPr>
          <w:trHeight w:val="357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Governance Review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Periodic</w:t>
            </w:r>
          </w:p>
        </w:tc>
      </w:tr>
    </w:tbl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Monitoring Thresholds</w:t>
      </w:r>
    </w:p>
    <w:tbl>
      <w:tblPr>
        <w:tblStyle w:val="TableGrid"/>
        <w:tblW w:w="8472" w:type="dxa"/>
        <w:tblLook w:val="04A0" w:firstRow="1" w:lastRow="0" w:firstColumn="1" w:lastColumn="0" w:noHBand="0" w:noVBand="1"/>
      </w:tblPr>
      <w:tblGrid>
        <w:gridCol w:w="4351"/>
        <w:gridCol w:w="4121"/>
      </w:tblGrid>
      <w:tr w:rsidR="007F7BFB" w:rsidRPr="007F7BFB" w:rsidTr="007F7BFB">
        <w:trPr>
          <w:trHeight w:val="298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PSI Range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Interpretation</w:t>
            </w:r>
          </w:p>
        </w:tc>
      </w:tr>
      <w:tr w:rsidR="007F7BFB" w:rsidRPr="007F7BFB" w:rsidTr="007F7BFB">
        <w:trPr>
          <w:trHeight w:val="285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PSI &lt; 0.10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Stable</w:t>
            </w:r>
          </w:p>
        </w:tc>
      </w:tr>
      <w:tr w:rsidR="007F7BFB" w:rsidRPr="007F7BFB" w:rsidTr="007F7BFB">
        <w:trPr>
          <w:trHeight w:val="285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0.10 ≤ PSI &lt; 0.25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Moderate Drift</w:t>
            </w:r>
          </w:p>
        </w:tc>
      </w:tr>
      <w:tr w:rsidR="007F7BFB" w:rsidRPr="007F7BFB" w:rsidTr="007F7BFB">
        <w:trPr>
          <w:trHeight w:val="298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PSI ≥ 0.25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Significant Drift</w:t>
            </w:r>
          </w:p>
        </w:tc>
      </w:tr>
    </w:tbl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3. Score Stability Analysis</w: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Score PSI Result</w:t>
      </w:r>
    </w:p>
    <w:tbl>
      <w:tblPr>
        <w:tblStyle w:val="TableGrid"/>
        <w:tblW w:w="7201" w:type="dxa"/>
        <w:tblLook w:val="04A0" w:firstRow="1" w:lastRow="0" w:firstColumn="1" w:lastColumn="0" w:noHBand="0" w:noVBand="1"/>
      </w:tblPr>
      <w:tblGrid>
        <w:gridCol w:w="4002"/>
        <w:gridCol w:w="3199"/>
      </w:tblGrid>
      <w:tr w:rsidR="007F7BFB" w:rsidRPr="007F7BFB" w:rsidTr="007F7BFB">
        <w:trPr>
          <w:trHeight w:val="330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Value</w:t>
            </w:r>
          </w:p>
        </w:tc>
      </w:tr>
      <w:tr w:rsidR="007F7BFB" w:rsidRPr="007F7BFB" w:rsidTr="007F7BFB">
        <w:trPr>
          <w:trHeight w:val="345"/>
        </w:trPr>
        <w:tc>
          <w:tcPr>
            <w:tcW w:w="0" w:type="auto"/>
            <w:hideMark/>
          </w:tcPr>
          <w:p w:rsidR="007F7BFB" w:rsidRPr="007F7BFB" w:rsidRDefault="007F7BFB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Score PSI</w:t>
            </w:r>
          </w:p>
        </w:tc>
        <w:tc>
          <w:tcPr>
            <w:tcW w:w="0" w:type="auto"/>
            <w:hideMark/>
          </w:tcPr>
          <w:p w:rsidR="007F7BFB" w:rsidRPr="007F7BFB" w:rsidRDefault="00270F99" w:rsidP="007F7BFB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0.0439</w:t>
            </w:r>
          </w:p>
        </w:tc>
      </w:tr>
    </w:tbl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Interpretation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Population Stability Index (PSI) for predicted probabilities remained below the established monitoring threshold of 0.10.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results indicate:</w:t>
      </w:r>
    </w:p>
    <w:p w:rsidR="007F7BFB" w:rsidRPr="007F7BFB" w:rsidRDefault="007F7BFB" w:rsidP="007F7B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Stable score distribution behavior </w:t>
      </w:r>
    </w:p>
    <w:p w:rsidR="007F7BFB" w:rsidRPr="007F7BFB" w:rsidRDefault="007F7BFB" w:rsidP="007F7B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No material shift in portfolio-level prediction patterns </w:t>
      </w:r>
    </w:p>
    <w:p w:rsidR="007F7BFB" w:rsidRPr="007F7BFB" w:rsidRDefault="007F7BFB" w:rsidP="007F7B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Consistent model scoring behavior across development and OOT populations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low PSI value suggests that the model remains stable under the monitored portfolio conditions.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0F99" w:rsidRDefault="00270F99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bookmarkStart w:id="0" w:name="_GoBack"/>
      <w:bookmarkEnd w:id="0"/>
      <w:r w:rsidRPr="007F7BFB">
        <w:rPr>
          <w:rFonts w:ascii="Calibri" w:eastAsia="Times New Roman" w:hAnsi="Calibri" w:cs="Calibri"/>
          <w:b/>
          <w:bCs/>
          <w:sz w:val="36"/>
          <w:szCs w:val="36"/>
        </w:rPr>
        <w:lastRenderedPageBreak/>
        <w:t>Conclusion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analysis indicates that the overall model score distribution remains stable with no immediate recalibration requirement identified.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4. Feature-Level Stability Analysis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Feature-level PSI analysis was performed to evaluate distribution shifts across model input variables between development and OOT populations.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Stable Features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Most model variables demonstrated PSI values below 0.10, indicating stable population behavior with no material drift observed.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majority of model input distributions remained consistent across monitored populations.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Significant Drift Variables</w: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F7BFB">
        <w:rPr>
          <w:rFonts w:ascii="Calibri" w:eastAsia="Times New Roman" w:hAnsi="Calibri" w:cs="Calibri"/>
          <w:b/>
          <w:bCs/>
          <w:sz w:val="27"/>
          <w:szCs w:val="27"/>
        </w:rPr>
        <w:t>Initial List Status (PSI = 0.33)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Significant drift was observed in the distribution of initial loan listing status between development and OOT datasets.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Possible contributing factors include:</w:t>
      </w:r>
    </w:p>
    <w:p w:rsidR="007F7BFB" w:rsidRPr="007F7BFB" w:rsidRDefault="007F7BFB" w:rsidP="007F7B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Changes in loan origination practices </w:t>
      </w:r>
    </w:p>
    <w:p w:rsidR="007F7BFB" w:rsidRPr="007F7BFB" w:rsidRDefault="007F7BFB" w:rsidP="007F7B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Platform listing policy changes </w:t>
      </w:r>
    </w:p>
    <w:p w:rsidR="007F7BFB" w:rsidRPr="007F7BFB" w:rsidRDefault="007F7BFB" w:rsidP="007F7B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Borrower acquisition strategy changes </w:t>
      </w:r>
    </w:p>
    <w:p w:rsidR="007F7BFB" w:rsidRPr="007F7BFB" w:rsidRDefault="007F7BFB" w:rsidP="007F7B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Portfolio composition variation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Despite the observed drift, the variable maintained economically consistent directional behavior within the final model.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7F7BFB">
        <w:rPr>
          <w:rFonts w:ascii="Calibri" w:eastAsia="Times New Roman" w:hAnsi="Calibri" w:cs="Calibri"/>
          <w:b/>
          <w:bCs/>
          <w:sz w:val="27"/>
          <w:szCs w:val="27"/>
        </w:rPr>
        <w:t>Purpose (PSI = 3.13)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Significant drift was observed in the loan purpose distribution between development and OOT datasets.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Possible contributing factors include:</w:t>
      </w:r>
    </w:p>
    <w:p w:rsidR="007F7BFB" w:rsidRPr="007F7BFB" w:rsidRDefault="007F7BFB" w:rsidP="007F7B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Changes in borrower loan usage behavior </w:t>
      </w:r>
    </w:p>
    <w:p w:rsidR="007F7BFB" w:rsidRPr="007F7BFB" w:rsidRDefault="007F7BFB" w:rsidP="007F7B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Lending strategy modifications </w:t>
      </w:r>
    </w:p>
    <w:p w:rsidR="007F7BFB" w:rsidRPr="007F7BFB" w:rsidRDefault="007F7BFB" w:rsidP="007F7B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Product mix variation </w:t>
      </w:r>
    </w:p>
    <w:p w:rsidR="007F7BFB" w:rsidRPr="007F7BFB" w:rsidRDefault="007F7BFB" w:rsidP="007F7B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Macroeconomic environment changes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Although material drift was identified in this feature, the overall score PSI remained stable, indicating that portfolio-level prediction behavior was not materially impacted.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Feature Stability Interpretation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Although isolated feature drift was identified in select variables, the overall score distribution remained stable.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This suggests that:</w:t>
      </w:r>
    </w:p>
    <w:p w:rsidR="007F7BFB" w:rsidRPr="007F7BFB" w:rsidRDefault="007F7BFB" w:rsidP="007F7B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The model remains reasonably robust to underlying population shifts </w:t>
      </w:r>
    </w:p>
    <w:p w:rsidR="007F7BFB" w:rsidRPr="007F7BFB" w:rsidRDefault="007F7BFB" w:rsidP="007F7B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Portfolio-level prediction behavior has not materially deteriorated </w:t>
      </w:r>
    </w:p>
    <w:p w:rsidR="007F7BFB" w:rsidRPr="007F7BFB" w:rsidRDefault="007F7BFB" w:rsidP="007F7B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Drift impact remains manageable under current monitoring conditions 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5. Calibration and Performance Monitoring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Calibration monitoring is performed periodically to ensure alignment between predicted default probabilities and observed portfolio behavior.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framework includes periodic evaluation of:</w:t>
      </w:r>
    </w:p>
    <w:p w:rsidR="007F7BFB" w:rsidRPr="007F7BFB" w:rsidRDefault="007F7BFB" w:rsidP="007F7B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Predicted PD </w:t>
      </w:r>
      <w:proofErr w:type="spellStart"/>
      <w:r w:rsidRPr="007F7BFB">
        <w:rPr>
          <w:rFonts w:ascii="Calibri" w:eastAsia="Times New Roman" w:hAnsi="Calibri" w:cs="Calibri"/>
          <w:sz w:val="24"/>
          <w:szCs w:val="24"/>
        </w:rPr>
        <w:t>vs</w:t>
      </w:r>
      <w:proofErr w:type="spellEnd"/>
      <w:r w:rsidRPr="007F7BFB">
        <w:rPr>
          <w:rFonts w:ascii="Calibri" w:eastAsia="Times New Roman" w:hAnsi="Calibri" w:cs="Calibri"/>
          <w:sz w:val="24"/>
          <w:szCs w:val="24"/>
        </w:rPr>
        <w:t xml:space="preserve"> observed default rates </w:t>
      </w:r>
    </w:p>
    <w:p w:rsidR="007F7BFB" w:rsidRPr="007F7BFB" w:rsidRDefault="007F7BFB" w:rsidP="007F7B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Probability alignment stability </w:t>
      </w:r>
    </w:p>
    <w:p w:rsidR="007F7BFB" w:rsidRPr="007F7BFB" w:rsidRDefault="007F7BFB" w:rsidP="007F7B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Ranking consistency </w:t>
      </w:r>
    </w:p>
    <w:p w:rsidR="007F7BFB" w:rsidRPr="007F7BFB" w:rsidRDefault="007F7BFB" w:rsidP="007F7B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Model discriminatory power </w:t>
      </w:r>
    </w:p>
    <w:p w:rsidR="007F7BFB" w:rsidRPr="007F7BFB" w:rsidRDefault="007F7BFB" w:rsidP="007F7B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lastRenderedPageBreak/>
        <w:t xml:space="preserve">Portfolio-level performance behavior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Performance monitoring activities also include periodic review of:</w:t>
      </w:r>
    </w:p>
    <w:p w:rsidR="007F7BFB" w:rsidRPr="007F7BFB" w:rsidRDefault="007F7BFB" w:rsidP="007F7B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AUC stability </w:t>
      </w:r>
    </w:p>
    <w:p w:rsidR="007F7BFB" w:rsidRPr="007F7BFB" w:rsidRDefault="007F7BFB" w:rsidP="007F7B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Default rate trends </w:t>
      </w:r>
    </w:p>
    <w:p w:rsidR="007F7BFB" w:rsidRPr="007F7BFB" w:rsidRDefault="007F7BFB" w:rsidP="007F7B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Portfolio composition changes </w:t>
      </w:r>
    </w:p>
    <w:p w:rsidR="007F7BFB" w:rsidRPr="007F7BFB" w:rsidRDefault="007F7BFB" w:rsidP="007F7B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Segment-level behavior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process supports early identification of model degradation or calibration deterioration.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6. Monitoring Interpretation and Key Insights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analysis produced the following key observations:</w:t>
      </w:r>
    </w:p>
    <w:p w:rsidR="007F7BFB" w:rsidRPr="007F7BFB" w:rsidRDefault="007F7BFB" w:rsidP="007F7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Overall score stability remained within acceptable thresholds </w:t>
      </w:r>
    </w:p>
    <w:p w:rsidR="007F7BFB" w:rsidRPr="007F7BFB" w:rsidRDefault="007F7BFB" w:rsidP="007F7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Most model variables demonstrated stable population behavior </w:t>
      </w:r>
    </w:p>
    <w:p w:rsidR="007F7BFB" w:rsidRPr="007F7BFB" w:rsidRDefault="007F7BFB" w:rsidP="007F7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Isolated feature drift was identified in select variables </w:t>
      </w:r>
    </w:p>
    <w:p w:rsidR="007F7BFB" w:rsidRPr="007F7BFB" w:rsidRDefault="007F7BFB" w:rsidP="007F7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Portfolio-level prediction behavior remained stable </w:t>
      </w:r>
    </w:p>
    <w:p w:rsidR="007F7BFB" w:rsidRPr="007F7BFB" w:rsidRDefault="007F7BFB" w:rsidP="007F7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No material model deterioration was identified </w:t>
      </w:r>
    </w:p>
    <w:p w:rsidR="007F7BFB" w:rsidRPr="007F7BFB" w:rsidRDefault="007F7BFB" w:rsidP="007F7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Calibration behavior remained reasonably aligned </w:t>
      </w:r>
    </w:p>
    <w:p w:rsidR="007F7BFB" w:rsidRPr="007F7BFB" w:rsidRDefault="007F7BFB" w:rsidP="007F7B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Drift impact remained manageable under monitored conditions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results suggest that the model continues to operate within acceptable stability and governance thresholds.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7. Action Framework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following escalation framework is used to support monitoring governance and model risk management review.</w:t>
      </w:r>
    </w:p>
    <w:tbl>
      <w:tblPr>
        <w:tblStyle w:val="TableGrid"/>
        <w:tblW w:w="9567" w:type="dxa"/>
        <w:tblLook w:val="04A0" w:firstRow="1" w:lastRow="0" w:firstColumn="1" w:lastColumn="0" w:noHBand="0" w:noVBand="1"/>
      </w:tblPr>
      <w:tblGrid>
        <w:gridCol w:w="4252"/>
        <w:gridCol w:w="5315"/>
      </w:tblGrid>
      <w:tr w:rsidR="007F7BFB" w:rsidRPr="007F7BFB" w:rsidTr="004A3609">
        <w:trPr>
          <w:trHeight w:val="319"/>
        </w:trPr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Recommended Action</w:t>
            </w:r>
          </w:p>
        </w:tc>
      </w:tr>
      <w:tr w:rsidR="007F7BFB" w:rsidRPr="007F7BFB" w:rsidTr="004A3609">
        <w:trPr>
          <w:trHeight w:val="333"/>
        </w:trPr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PSI &lt; 0.10</w:t>
            </w:r>
          </w:p>
        </w:tc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Continue periodic monitoring</w:t>
            </w:r>
          </w:p>
        </w:tc>
      </w:tr>
      <w:tr w:rsidR="007F7BFB" w:rsidRPr="007F7BFB" w:rsidTr="004A3609">
        <w:trPr>
          <w:trHeight w:val="319"/>
        </w:trPr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0.10 ≤ PSI &lt; 0.25</w:t>
            </w:r>
          </w:p>
        </w:tc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Enhanced review and observation</w:t>
            </w:r>
          </w:p>
        </w:tc>
      </w:tr>
      <w:tr w:rsidR="007F7BFB" w:rsidRPr="007F7BFB" w:rsidTr="004A3609">
        <w:trPr>
          <w:trHeight w:val="319"/>
        </w:trPr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PSI ≥ 0.25</w:t>
            </w:r>
          </w:p>
        </w:tc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Recalibration or redevelopment assessment</w:t>
            </w:r>
          </w:p>
        </w:tc>
      </w:tr>
      <w:tr w:rsidR="007F7BFB" w:rsidRPr="007F7BFB" w:rsidTr="004A3609">
        <w:trPr>
          <w:trHeight w:val="333"/>
        </w:trPr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Material performance degradation</w:t>
            </w:r>
          </w:p>
        </w:tc>
        <w:tc>
          <w:tcPr>
            <w:tcW w:w="0" w:type="auto"/>
            <w:hideMark/>
          </w:tcPr>
          <w:p w:rsidR="007F7BFB" w:rsidRPr="007F7BFB" w:rsidRDefault="007F7BFB" w:rsidP="004A3609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Escalation and governance review</w:t>
            </w:r>
          </w:p>
        </w:tc>
      </w:tr>
    </w:tbl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lastRenderedPageBreak/>
        <w:t>Governance Escalation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Models exceeding predefined monitoring thresholds would require:</w:t>
      </w:r>
    </w:p>
    <w:p w:rsidR="007F7BFB" w:rsidRPr="007F7BFB" w:rsidRDefault="007F7BFB" w:rsidP="007F7B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Escalation review </w:t>
      </w:r>
    </w:p>
    <w:p w:rsidR="007F7BFB" w:rsidRPr="007F7BFB" w:rsidRDefault="007F7BFB" w:rsidP="007F7B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Root cause assessment </w:t>
      </w:r>
    </w:p>
    <w:p w:rsidR="007F7BFB" w:rsidRPr="007F7BFB" w:rsidRDefault="007F7BFB" w:rsidP="007F7B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Recalibration evaluation </w:t>
      </w:r>
    </w:p>
    <w:p w:rsidR="007F7BFB" w:rsidRPr="007F7BFB" w:rsidRDefault="007F7BFB" w:rsidP="007F7B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Redevelopment consideration </w:t>
      </w:r>
    </w:p>
    <w:p w:rsidR="007F7BFB" w:rsidRPr="007F7BFB" w:rsidRDefault="007F7BFB" w:rsidP="007F7B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Governance documentation review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severity of action depends on materiality, persistence of drift, and overall impact on portfolio prediction behavior.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8. Limitations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framework includes several practical limitations:</w:t>
      </w:r>
    </w:p>
    <w:p w:rsidR="007F7BFB" w:rsidRPr="007F7BFB" w:rsidRDefault="007F7BFB" w:rsidP="007F7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PSI measures population drift but does not directly measure model performance deterioration. </w:t>
      </w:r>
    </w:p>
    <w:p w:rsidR="007F7BFB" w:rsidRPr="007F7BFB" w:rsidRDefault="007F7BFB" w:rsidP="007F7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Monitoring conclusions are based on historical OOT observations and may not fully represent future macroeconomic regime changes. </w:t>
      </w:r>
    </w:p>
    <w:p w:rsidR="007F7BFB" w:rsidRPr="007F7BFB" w:rsidRDefault="007F7BFB" w:rsidP="007F7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Public Lending Club data may not fully represent proprietary banking portfolio behavior. </w:t>
      </w:r>
    </w:p>
    <w:p w:rsidR="007F7BFB" w:rsidRPr="007F7BFB" w:rsidRDefault="007F7BFB" w:rsidP="007F7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Certain portfolio and behavioral variables commonly available in production environments were unavailable within the dataset. </w:t>
      </w:r>
    </w:p>
    <w:p w:rsidR="007F7BFB" w:rsidRPr="007F7BFB" w:rsidRDefault="007F7BFB" w:rsidP="007F7B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Monitoring outcomes may vary under significantly different economic conditions.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Despite these limitations, the monitoring framework demonstrates practical alignment with model risk monitoring and governance principles.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9. Monitoring Conclusion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analysis indicates that the model remains stable on the out-of-time population, with low overall score PSI and acceptable feature-level stability across most variables.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Although isolated feature drift was identified in select variables, overall score behavior remained stable, suggesting that portfolio-level prediction performance has not materially deteriorated.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lastRenderedPageBreak/>
        <w:t>Based on current monitoring observations, no immediate recalibration or redevelopment action is required.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Continued periodic monitoring is recommended to support:</w:t>
      </w:r>
    </w:p>
    <w:p w:rsidR="007F7BFB" w:rsidRPr="007F7BFB" w:rsidRDefault="007F7BFB" w:rsidP="007F7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Ongoing model stability </w:t>
      </w:r>
    </w:p>
    <w:p w:rsidR="007F7BFB" w:rsidRPr="007F7BFB" w:rsidRDefault="007F7BFB" w:rsidP="007F7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Drift assessment </w:t>
      </w:r>
    </w:p>
    <w:p w:rsidR="007F7BFB" w:rsidRPr="007F7BFB" w:rsidRDefault="007F7BFB" w:rsidP="007F7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Calibration consistency </w:t>
      </w:r>
    </w:p>
    <w:p w:rsidR="007F7BFB" w:rsidRPr="007F7BFB" w:rsidRDefault="007F7BFB" w:rsidP="007F7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Governance oversight </w:t>
      </w:r>
    </w:p>
    <w:p w:rsidR="007F7BFB" w:rsidRPr="007F7BFB" w:rsidRDefault="007F7BFB" w:rsidP="007F7B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 xml:space="preserve">Lifecycle management 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F7BFB">
        <w:rPr>
          <w:rFonts w:ascii="Calibri" w:eastAsia="Times New Roman" w:hAnsi="Calibri" w:cs="Calibri"/>
          <w:sz w:val="24"/>
          <w:szCs w:val="24"/>
        </w:rPr>
        <w:t>The monitoring framework demonstrates practical implementation of model risk monitoring principles including stability assessment, drift analysis, recalibration review, and governance-oriented oversight.</w:t>
      </w:r>
    </w:p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</w:rPr>
      </w:pPr>
      <w:r w:rsidRPr="007F7BFB">
        <w:rPr>
          <w:rFonts w:ascii="Calibri" w:eastAsia="Times New Roman" w:hAnsi="Calibri" w:cs="Calibri"/>
          <w:b/>
          <w:bCs/>
          <w:kern w:val="36"/>
          <w:sz w:val="48"/>
          <w:szCs w:val="48"/>
        </w:rPr>
        <w:t>10. Appendix</w: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10.1 Abbreviations</w:t>
      </w:r>
    </w:p>
    <w:tbl>
      <w:tblPr>
        <w:tblStyle w:val="TableGrid"/>
        <w:tblW w:w="9004" w:type="dxa"/>
        <w:tblLook w:val="04A0" w:firstRow="1" w:lastRow="0" w:firstColumn="1" w:lastColumn="0" w:noHBand="0" w:noVBand="1"/>
      </w:tblPr>
      <w:tblGrid>
        <w:gridCol w:w="1926"/>
        <w:gridCol w:w="7078"/>
      </w:tblGrid>
      <w:tr w:rsidR="007F7BFB" w:rsidRPr="007F7BFB" w:rsidTr="002866F2">
        <w:trPr>
          <w:trHeight w:val="306"/>
        </w:trPr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Meaning</w:t>
            </w:r>
          </w:p>
        </w:tc>
      </w:tr>
      <w:tr w:rsidR="007F7BFB" w:rsidRPr="007F7BFB" w:rsidTr="002866F2">
        <w:trPr>
          <w:trHeight w:val="293"/>
        </w:trPr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PSI</w:t>
            </w:r>
          </w:p>
        </w:tc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Population Stability Index</w:t>
            </w:r>
          </w:p>
        </w:tc>
      </w:tr>
      <w:tr w:rsidR="007F7BFB" w:rsidRPr="007F7BFB" w:rsidTr="002866F2">
        <w:trPr>
          <w:trHeight w:val="293"/>
        </w:trPr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PD</w:t>
            </w:r>
          </w:p>
        </w:tc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Probability of Default</w:t>
            </w:r>
          </w:p>
        </w:tc>
      </w:tr>
      <w:tr w:rsidR="007F7BFB" w:rsidRPr="007F7BFB" w:rsidTr="002866F2">
        <w:trPr>
          <w:trHeight w:val="293"/>
        </w:trPr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OOT</w:t>
            </w:r>
          </w:p>
        </w:tc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Out-of-Time</w:t>
            </w:r>
          </w:p>
        </w:tc>
      </w:tr>
      <w:tr w:rsidR="007F7BFB" w:rsidRPr="007F7BFB" w:rsidTr="002866F2">
        <w:trPr>
          <w:trHeight w:val="293"/>
        </w:trPr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AUC</w:t>
            </w:r>
          </w:p>
        </w:tc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Area Under Curve</w:t>
            </w:r>
          </w:p>
        </w:tc>
      </w:tr>
      <w:tr w:rsidR="007F7BFB" w:rsidRPr="007F7BFB" w:rsidTr="002866F2">
        <w:trPr>
          <w:trHeight w:val="306"/>
        </w:trPr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LGD</w:t>
            </w:r>
          </w:p>
        </w:tc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Loss Given Default</w:t>
            </w:r>
          </w:p>
        </w:tc>
      </w:tr>
      <w:tr w:rsidR="007F7BFB" w:rsidRPr="007F7BFB" w:rsidTr="002866F2">
        <w:trPr>
          <w:trHeight w:val="293"/>
        </w:trPr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EAD</w:t>
            </w:r>
          </w:p>
        </w:tc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Exposure at Default</w:t>
            </w:r>
          </w:p>
        </w:tc>
      </w:tr>
      <w:tr w:rsidR="007F7BFB" w:rsidRPr="007F7BFB" w:rsidTr="002866F2">
        <w:trPr>
          <w:trHeight w:val="306"/>
        </w:trPr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EL</w:t>
            </w:r>
          </w:p>
        </w:tc>
        <w:tc>
          <w:tcPr>
            <w:tcW w:w="0" w:type="auto"/>
            <w:hideMark/>
          </w:tcPr>
          <w:p w:rsidR="007F7BFB" w:rsidRPr="007F7BFB" w:rsidRDefault="007F7BFB" w:rsidP="002866F2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Expected Loss</w:t>
            </w:r>
          </w:p>
        </w:tc>
      </w:tr>
    </w:tbl>
    <w:p w:rsidR="007F7BFB" w:rsidRPr="007F7BFB" w:rsidRDefault="00270F99" w:rsidP="007F7BFB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F7BFB" w:rsidRPr="007F7BFB" w:rsidRDefault="007F7BFB" w:rsidP="007F7BF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</w:rPr>
      </w:pPr>
      <w:r w:rsidRPr="007F7BFB">
        <w:rPr>
          <w:rFonts w:ascii="Calibri" w:eastAsia="Times New Roman" w:hAnsi="Calibri" w:cs="Calibri"/>
          <w:b/>
          <w:bCs/>
          <w:sz w:val="36"/>
          <w:szCs w:val="36"/>
        </w:rPr>
        <w:t>10.2 Monitoring Thresholds</w:t>
      </w:r>
    </w:p>
    <w:tbl>
      <w:tblPr>
        <w:tblStyle w:val="TableGrid"/>
        <w:tblW w:w="8498" w:type="dxa"/>
        <w:tblLook w:val="04A0" w:firstRow="1" w:lastRow="0" w:firstColumn="1" w:lastColumn="0" w:noHBand="0" w:noVBand="1"/>
      </w:tblPr>
      <w:tblGrid>
        <w:gridCol w:w="4364"/>
        <w:gridCol w:w="4134"/>
      </w:tblGrid>
      <w:tr w:rsidR="007F7BFB" w:rsidRPr="007F7BFB" w:rsidTr="00230B9F">
        <w:trPr>
          <w:trHeight w:val="356"/>
        </w:trPr>
        <w:tc>
          <w:tcPr>
            <w:tcW w:w="0" w:type="auto"/>
            <w:hideMark/>
          </w:tcPr>
          <w:p w:rsidR="007F7BFB" w:rsidRPr="007F7BFB" w:rsidRDefault="007F7BFB" w:rsidP="00230B9F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PSI Value</w:t>
            </w:r>
          </w:p>
        </w:tc>
        <w:tc>
          <w:tcPr>
            <w:tcW w:w="0" w:type="auto"/>
            <w:hideMark/>
          </w:tcPr>
          <w:p w:rsidR="007F7BFB" w:rsidRPr="007F7BFB" w:rsidRDefault="007F7BFB" w:rsidP="00230B9F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Interpretation</w:t>
            </w:r>
          </w:p>
        </w:tc>
      </w:tr>
      <w:tr w:rsidR="007F7BFB" w:rsidRPr="007F7BFB" w:rsidTr="00230B9F">
        <w:trPr>
          <w:trHeight w:val="372"/>
        </w:trPr>
        <w:tc>
          <w:tcPr>
            <w:tcW w:w="0" w:type="auto"/>
            <w:hideMark/>
          </w:tcPr>
          <w:p w:rsidR="007F7BFB" w:rsidRPr="007F7BFB" w:rsidRDefault="007F7BFB" w:rsidP="00230B9F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PSI &lt; 0.10</w:t>
            </w:r>
          </w:p>
        </w:tc>
        <w:tc>
          <w:tcPr>
            <w:tcW w:w="0" w:type="auto"/>
            <w:hideMark/>
          </w:tcPr>
          <w:p w:rsidR="007F7BFB" w:rsidRPr="007F7BFB" w:rsidRDefault="007F7BFB" w:rsidP="00230B9F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Stable</w:t>
            </w:r>
          </w:p>
        </w:tc>
      </w:tr>
      <w:tr w:rsidR="007F7BFB" w:rsidRPr="007F7BFB" w:rsidTr="00230B9F">
        <w:trPr>
          <w:trHeight w:val="356"/>
        </w:trPr>
        <w:tc>
          <w:tcPr>
            <w:tcW w:w="0" w:type="auto"/>
            <w:hideMark/>
          </w:tcPr>
          <w:p w:rsidR="007F7BFB" w:rsidRPr="007F7BFB" w:rsidRDefault="007F7BFB" w:rsidP="00230B9F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0.10 ≤ PSI &lt; 0.25</w:t>
            </w:r>
          </w:p>
        </w:tc>
        <w:tc>
          <w:tcPr>
            <w:tcW w:w="0" w:type="auto"/>
            <w:hideMark/>
          </w:tcPr>
          <w:p w:rsidR="007F7BFB" w:rsidRPr="007F7BFB" w:rsidRDefault="007F7BFB" w:rsidP="00230B9F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Moderate Drift</w:t>
            </w:r>
          </w:p>
        </w:tc>
      </w:tr>
      <w:tr w:rsidR="007F7BFB" w:rsidRPr="007F7BFB" w:rsidTr="00230B9F">
        <w:trPr>
          <w:trHeight w:val="372"/>
        </w:trPr>
        <w:tc>
          <w:tcPr>
            <w:tcW w:w="0" w:type="auto"/>
            <w:hideMark/>
          </w:tcPr>
          <w:p w:rsidR="007F7BFB" w:rsidRPr="007F7BFB" w:rsidRDefault="007F7BFB" w:rsidP="00230B9F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PSI ≥ 0.25</w:t>
            </w:r>
          </w:p>
        </w:tc>
        <w:tc>
          <w:tcPr>
            <w:tcW w:w="0" w:type="auto"/>
            <w:hideMark/>
          </w:tcPr>
          <w:p w:rsidR="007F7BFB" w:rsidRPr="007F7BFB" w:rsidRDefault="007F7BFB" w:rsidP="00230B9F">
            <w:pPr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7F7BFB">
              <w:rPr>
                <w:rFonts w:ascii="Calibri" w:eastAsia="Times New Roman" w:hAnsi="Calibri" w:cs="Calibri"/>
                <w:sz w:val="24"/>
                <w:szCs w:val="24"/>
              </w:rPr>
              <w:t>Significant Drift</w:t>
            </w:r>
          </w:p>
        </w:tc>
      </w:tr>
    </w:tbl>
    <w:p w:rsidR="007F7BFB" w:rsidRPr="007F7BFB" w:rsidRDefault="007F7BFB" w:rsidP="007F7BFB">
      <w:pPr>
        <w:pBdr>
          <w:bottom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vanish/>
          <w:sz w:val="16"/>
          <w:szCs w:val="16"/>
        </w:rPr>
      </w:pPr>
      <w:r w:rsidRPr="007F7BFB">
        <w:rPr>
          <w:rFonts w:ascii="Calibri" w:eastAsia="Times New Roman" w:hAnsi="Calibri" w:cs="Calibri"/>
          <w:vanish/>
          <w:sz w:val="16"/>
          <w:szCs w:val="16"/>
        </w:rPr>
        <w:t>Top of Form</w:t>
      </w:r>
    </w:p>
    <w:p w:rsidR="007F7BFB" w:rsidRPr="007F7BFB" w:rsidRDefault="007F7BFB" w:rsidP="007F7BFB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</w:p>
    <w:p w:rsidR="007F7BFB" w:rsidRPr="007F7BFB" w:rsidRDefault="007F7BFB" w:rsidP="007F7BFB">
      <w:pPr>
        <w:pBdr>
          <w:top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vanish/>
          <w:sz w:val="16"/>
          <w:szCs w:val="16"/>
        </w:rPr>
      </w:pPr>
      <w:r w:rsidRPr="007F7BFB">
        <w:rPr>
          <w:rFonts w:ascii="Calibri" w:eastAsia="Times New Roman" w:hAnsi="Calibri" w:cs="Calibri"/>
          <w:vanish/>
          <w:sz w:val="16"/>
          <w:szCs w:val="16"/>
        </w:rPr>
        <w:t>Bottom of Form</w:t>
      </w:r>
    </w:p>
    <w:p w:rsidR="00B94511" w:rsidRPr="007F7BFB" w:rsidRDefault="00B94511">
      <w:pPr>
        <w:rPr>
          <w:rFonts w:ascii="Calibri" w:hAnsi="Calibri" w:cs="Calibri"/>
        </w:rPr>
      </w:pPr>
    </w:p>
    <w:sectPr w:rsidR="00B94511" w:rsidRPr="007F7BFB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B0F96"/>
    <w:multiLevelType w:val="multilevel"/>
    <w:tmpl w:val="669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822DD"/>
    <w:multiLevelType w:val="multilevel"/>
    <w:tmpl w:val="6BCA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50B26"/>
    <w:multiLevelType w:val="multilevel"/>
    <w:tmpl w:val="AAE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95088A"/>
    <w:multiLevelType w:val="multilevel"/>
    <w:tmpl w:val="794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EB7652"/>
    <w:multiLevelType w:val="multilevel"/>
    <w:tmpl w:val="FE7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886671"/>
    <w:multiLevelType w:val="multilevel"/>
    <w:tmpl w:val="896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5868FD"/>
    <w:multiLevelType w:val="multilevel"/>
    <w:tmpl w:val="F9C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5392"/>
    <w:multiLevelType w:val="multilevel"/>
    <w:tmpl w:val="8A4A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F1725E"/>
    <w:multiLevelType w:val="multilevel"/>
    <w:tmpl w:val="8A4A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78075F"/>
    <w:multiLevelType w:val="multilevel"/>
    <w:tmpl w:val="F74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DC5F44"/>
    <w:multiLevelType w:val="multilevel"/>
    <w:tmpl w:val="E3AE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3B3F96"/>
    <w:multiLevelType w:val="multilevel"/>
    <w:tmpl w:val="2CC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6"/>
  </w:num>
  <w:num w:numId="5">
    <w:abstractNumId w:val="0"/>
  </w:num>
  <w:num w:numId="6">
    <w:abstractNumId w:val="10"/>
  </w:num>
  <w:num w:numId="7">
    <w:abstractNumId w:val="5"/>
  </w:num>
  <w:num w:numId="8">
    <w:abstractNumId w:val="1"/>
  </w:num>
  <w:num w:numId="9">
    <w:abstractNumId w:val="2"/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BFB"/>
    <w:rsid w:val="000931FB"/>
    <w:rsid w:val="00230B9F"/>
    <w:rsid w:val="00231934"/>
    <w:rsid w:val="00270F99"/>
    <w:rsid w:val="002866F2"/>
    <w:rsid w:val="00405D02"/>
    <w:rsid w:val="004A3609"/>
    <w:rsid w:val="007F7BFB"/>
    <w:rsid w:val="0095787B"/>
    <w:rsid w:val="009C15F0"/>
    <w:rsid w:val="00B94511"/>
    <w:rsid w:val="00D4475E"/>
    <w:rsid w:val="00E52A13"/>
    <w:rsid w:val="00F8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B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7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7B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B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B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F7B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F7BF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F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F7B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F7BFB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59"/>
    <w:rsid w:val="007F7B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B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7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7B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B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7B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7B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F7B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F7BF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F7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F7B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F7BFB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59"/>
    <w:rsid w:val="007F7B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99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6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1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35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8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7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9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79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72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8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743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245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857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45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5346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06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6306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375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2188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557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831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931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1213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696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79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2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306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27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10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858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042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155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2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198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13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1322</Words>
  <Characters>7540</Characters>
  <Application>Microsoft Office Word</Application>
  <DocSecurity>0</DocSecurity>
  <Lines>62</Lines>
  <Paragraphs>17</Paragraphs>
  <ScaleCrop>false</ScaleCrop>
  <Company/>
  <LinksUpToDate>false</LinksUpToDate>
  <CharactersWithSpaces>8845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12</cp:revision>
  <dcterms:created xsi:type="dcterms:W3CDTF">2026-05-11T07:16:00Z</dcterms:created>
  <dcterms:modified xsi:type="dcterms:W3CDTF">2026-05-14T05:09:00Z</dcterms:modified>
</cp:coreProperties>
</file>