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9D0" w:rsidRPr="009239D0" w:rsidRDefault="009239D0" w:rsidP="009239D0">
      <w:pPr>
        <w:spacing w:after="0" w:line="360" w:lineRule="auto"/>
        <w:jc w:val="center"/>
        <w:rPr>
          <w:b/>
        </w:rPr>
      </w:pPr>
      <w:r w:rsidRPr="009239D0">
        <w:rPr>
          <w:b/>
        </w:rPr>
        <w:t>Model Monitoring Plan</w:t>
      </w:r>
    </w:p>
    <w:p w:rsidR="009239D0" w:rsidRDefault="009239D0" w:rsidP="009239D0">
      <w:pPr>
        <w:spacing w:after="0" w:line="360" w:lineRule="auto"/>
        <w:jc w:val="center"/>
        <w:rPr>
          <w:b/>
        </w:rPr>
      </w:pPr>
      <w:r w:rsidRPr="009239D0">
        <w:rPr>
          <w:b/>
        </w:rPr>
        <w:t>Integrated Credit Risk Framework</w:t>
      </w:r>
    </w:p>
    <w:p w:rsidR="009239D0" w:rsidRPr="009239D0" w:rsidRDefault="009239D0" w:rsidP="009239D0">
      <w:pPr>
        <w:spacing w:after="0" w:line="360" w:lineRule="auto"/>
        <w:jc w:val="center"/>
        <w:rPr>
          <w:b/>
        </w:rPr>
      </w:pPr>
      <w:bookmarkStart w:id="0" w:name="_GoBack"/>
      <w:bookmarkEnd w:id="0"/>
    </w:p>
    <w:p w:rsidR="007D712C" w:rsidRDefault="007D712C" w:rsidP="00A4782C">
      <w:r w:rsidRPr="007D712C">
        <w:t>This monitoring plan defines the key metrics, thresholds, and actions required to ensure ongoing model performance and stability post-deployment.</w:t>
      </w:r>
    </w:p>
    <w:p w:rsidR="00A4782C" w:rsidRPr="00940CF9" w:rsidRDefault="00A4782C" w:rsidP="00A4782C">
      <w:pPr>
        <w:rPr>
          <w:b/>
        </w:rPr>
      </w:pPr>
      <w:r>
        <w:t xml:space="preserve"> </w:t>
      </w:r>
      <w:r w:rsidRPr="00940CF9">
        <w:rPr>
          <w:b/>
        </w:rPr>
        <w:t>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4782C" w:rsidRPr="00A4782C" w:rsidTr="00A4782C">
        <w:tc>
          <w:tcPr>
            <w:tcW w:w="3192" w:type="dxa"/>
          </w:tcPr>
          <w:p w:rsidR="00A4782C" w:rsidRPr="00A4782C" w:rsidRDefault="00A4782C" w:rsidP="00A4782C">
            <w:pPr>
              <w:jc w:val="center"/>
              <w:rPr>
                <w:b/>
              </w:rPr>
            </w:pPr>
            <w:r w:rsidRPr="00A4782C">
              <w:rPr>
                <w:b/>
              </w:rPr>
              <w:t>Metric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  <w:rPr>
                <w:b/>
              </w:rPr>
            </w:pPr>
            <w:r w:rsidRPr="00A4782C">
              <w:rPr>
                <w:b/>
              </w:rPr>
              <w:t>Purpose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  <w:rPr>
                <w:b/>
              </w:rPr>
            </w:pPr>
            <w:r w:rsidRPr="00A4782C">
              <w:rPr>
                <w:b/>
              </w:rPr>
              <w:t>Frequency</w:t>
            </w:r>
          </w:p>
        </w:tc>
      </w:tr>
      <w:tr w:rsidR="00A4782C" w:rsidRPr="00A4782C" w:rsidTr="00A4782C"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PSI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Data drift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Monthly</w:t>
            </w:r>
          </w:p>
        </w:tc>
      </w:tr>
      <w:tr w:rsidR="00A4782C" w:rsidRPr="00A4782C" w:rsidTr="00A4782C"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AUC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Performance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Quarterly</w:t>
            </w:r>
          </w:p>
        </w:tc>
      </w:tr>
      <w:tr w:rsidR="00A4782C" w:rsidTr="00A4782C"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Calibration</w:t>
            </w:r>
          </w:p>
        </w:tc>
        <w:tc>
          <w:tcPr>
            <w:tcW w:w="3192" w:type="dxa"/>
          </w:tcPr>
          <w:p w:rsidR="00A4782C" w:rsidRPr="00A4782C" w:rsidRDefault="00A4782C" w:rsidP="00A4782C">
            <w:pPr>
              <w:jc w:val="center"/>
            </w:pPr>
            <w:r w:rsidRPr="00A4782C">
              <w:t>PD accuracy</w:t>
            </w:r>
          </w:p>
        </w:tc>
        <w:tc>
          <w:tcPr>
            <w:tcW w:w="3192" w:type="dxa"/>
          </w:tcPr>
          <w:p w:rsidR="00A4782C" w:rsidRDefault="00A4782C" w:rsidP="00A4782C">
            <w:pPr>
              <w:jc w:val="center"/>
            </w:pPr>
            <w:r w:rsidRPr="00A4782C">
              <w:t>Quarterly</w:t>
            </w:r>
          </w:p>
        </w:tc>
      </w:tr>
    </w:tbl>
    <w:p w:rsidR="00B94511" w:rsidRDefault="00B94511" w:rsidP="00A4782C"/>
    <w:p w:rsidR="00A4782C" w:rsidRPr="00940CF9" w:rsidRDefault="00A4782C" w:rsidP="00A4782C">
      <w:pPr>
        <w:rPr>
          <w:b/>
        </w:rPr>
      </w:pPr>
      <w:r w:rsidRPr="00940CF9">
        <w:rPr>
          <w:b/>
        </w:rPr>
        <w:t>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40CF9" w:rsidRPr="00940CF9" w:rsidTr="00940CF9">
        <w:tc>
          <w:tcPr>
            <w:tcW w:w="4788" w:type="dxa"/>
          </w:tcPr>
          <w:p w:rsidR="00940CF9" w:rsidRPr="00940CF9" w:rsidRDefault="00940CF9" w:rsidP="00940CF9">
            <w:pPr>
              <w:jc w:val="center"/>
            </w:pPr>
            <w:r w:rsidRPr="00940CF9">
              <w:t>Metric</w:t>
            </w:r>
          </w:p>
        </w:tc>
        <w:tc>
          <w:tcPr>
            <w:tcW w:w="4788" w:type="dxa"/>
          </w:tcPr>
          <w:p w:rsidR="00940CF9" w:rsidRPr="00940CF9" w:rsidRDefault="00940CF9" w:rsidP="00940CF9">
            <w:pPr>
              <w:jc w:val="center"/>
            </w:pPr>
            <w:r w:rsidRPr="00940CF9">
              <w:t>Threshold</w:t>
            </w:r>
          </w:p>
        </w:tc>
      </w:tr>
      <w:tr w:rsidR="00940CF9" w:rsidRPr="00940CF9" w:rsidTr="00940CF9">
        <w:tc>
          <w:tcPr>
            <w:tcW w:w="4788" w:type="dxa"/>
          </w:tcPr>
          <w:p w:rsidR="00940CF9" w:rsidRPr="00940CF9" w:rsidRDefault="00940CF9" w:rsidP="00940CF9">
            <w:pPr>
              <w:jc w:val="center"/>
            </w:pPr>
            <w:r w:rsidRPr="00940CF9">
              <w:t>PSI</w:t>
            </w:r>
          </w:p>
        </w:tc>
        <w:tc>
          <w:tcPr>
            <w:tcW w:w="4788" w:type="dxa"/>
          </w:tcPr>
          <w:p w:rsidR="00940CF9" w:rsidRPr="00940CF9" w:rsidRDefault="00940CF9" w:rsidP="00940CF9">
            <w:pPr>
              <w:jc w:val="center"/>
            </w:pPr>
            <w:r w:rsidRPr="00940CF9">
              <w:t>&gt; 0.25 alert</w:t>
            </w:r>
          </w:p>
        </w:tc>
      </w:tr>
      <w:tr w:rsidR="00940CF9" w:rsidRPr="00940CF9" w:rsidTr="00940CF9">
        <w:tc>
          <w:tcPr>
            <w:tcW w:w="4788" w:type="dxa"/>
          </w:tcPr>
          <w:p w:rsidR="00940CF9" w:rsidRPr="00940CF9" w:rsidRDefault="00940CF9" w:rsidP="00455BAD">
            <w:pPr>
              <w:jc w:val="center"/>
            </w:pPr>
            <w:r w:rsidRPr="00940CF9">
              <w:t xml:space="preserve">AUC </w:t>
            </w:r>
            <w:r w:rsidR="00455BAD">
              <w:t>decline</w:t>
            </w:r>
          </w:p>
        </w:tc>
        <w:tc>
          <w:tcPr>
            <w:tcW w:w="4788" w:type="dxa"/>
          </w:tcPr>
          <w:p w:rsidR="00940CF9" w:rsidRPr="00940CF9" w:rsidRDefault="00940CF9" w:rsidP="00455BAD">
            <w:pPr>
              <w:jc w:val="center"/>
            </w:pPr>
            <w:r w:rsidRPr="00940CF9">
              <w:t xml:space="preserve">&gt; 5% </w:t>
            </w:r>
          </w:p>
        </w:tc>
      </w:tr>
      <w:tr w:rsidR="00940CF9" w:rsidTr="00940CF9">
        <w:tc>
          <w:tcPr>
            <w:tcW w:w="4788" w:type="dxa"/>
          </w:tcPr>
          <w:p w:rsidR="00940CF9" w:rsidRPr="00940CF9" w:rsidRDefault="00940CF9" w:rsidP="00940CF9">
            <w:pPr>
              <w:jc w:val="center"/>
            </w:pPr>
            <w:r w:rsidRPr="00940CF9">
              <w:t>Calibration gap</w:t>
            </w:r>
          </w:p>
        </w:tc>
        <w:tc>
          <w:tcPr>
            <w:tcW w:w="4788" w:type="dxa"/>
          </w:tcPr>
          <w:p w:rsidR="00940CF9" w:rsidRDefault="00455BAD" w:rsidP="00940CF9">
            <w:pPr>
              <w:jc w:val="center"/>
            </w:pPr>
            <w:r w:rsidRPr="00455BAD">
              <w:t>Calibration mismatch Material deviation between predicted and observed default rates</w:t>
            </w:r>
          </w:p>
        </w:tc>
      </w:tr>
    </w:tbl>
    <w:p w:rsidR="00A4782C" w:rsidRDefault="00A4782C" w:rsidP="00940CF9"/>
    <w:p w:rsidR="00940CF9" w:rsidRPr="00940CF9" w:rsidRDefault="00940CF9" w:rsidP="00940CF9">
      <w:pPr>
        <w:rPr>
          <w:b/>
        </w:rPr>
      </w:pPr>
      <w:r w:rsidRPr="00940CF9">
        <w:rPr>
          <w:b/>
        </w:rPr>
        <w:t>Actions</w:t>
      </w:r>
    </w:p>
    <w:p w:rsidR="00940CF9" w:rsidRDefault="00940CF9" w:rsidP="00940CF9">
      <w:pPr>
        <w:pStyle w:val="ListParagraph"/>
        <w:numPr>
          <w:ilvl w:val="0"/>
          <w:numId w:val="1"/>
        </w:numPr>
      </w:pPr>
      <w:r>
        <w:t>Recalibrate</w:t>
      </w:r>
    </w:p>
    <w:p w:rsidR="00940CF9" w:rsidRDefault="00940CF9" w:rsidP="00940CF9">
      <w:pPr>
        <w:pStyle w:val="ListParagraph"/>
        <w:numPr>
          <w:ilvl w:val="0"/>
          <w:numId w:val="1"/>
        </w:numPr>
      </w:pPr>
      <w:r>
        <w:t>Retrain</w:t>
      </w:r>
    </w:p>
    <w:p w:rsidR="00940CF9" w:rsidRDefault="00940CF9" w:rsidP="00940CF9">
      <w:pPr>
        <w:pStyle w:val="ListParagraph"/>
        <w:numPr>
          <w:ilvl w:val="0"/>
          <w:numId w:val="1"/>
        </w:numPr>
      </w:pPr>
      <w:r>
        <w:t>Investigate drift</w:t>
      </w:r>
    </w:p>
    <w:p w:rsidR="001775C9" w:rsidRDefault="001775C9" w:rsidP="001775C9">
      <w:pPr>
        <w:pStyle w:val="ListParagraph"/>
      </w:pPr>
    </w:p>
    <w:p w:rsidR="001775C9" w:rsidRDefault="001775C9" w:rsidP="001775C9">
      <w:r w:rsidRPr="001775C9">
        <w:rPr>
          <w:b/>
        </w:rPr>
        <w:t>Owner</w:t>
      </w:r>
      <w:r>
        <w:t xml:space="preserve">: </w:t>
      </w:r>
      <w:r w:rsidR="00790E16" w:rsidRPr="00790E16">
        <w:t>Owner: Credit Risk Analytics / Model Risk Management Function</w:t>
      </w:r>
      <w:r>
        <w:t xml:space="preserve">  </w:t>
      </w:r>
    </w:p>
    <w:p w:rsidR="001775C9" w:rsidRDefault="001775C9" w:rsidP="001775C9">
      <w:r w:rsidRPr="001775C9">
        <w:rPr>
          <w:b/>
        </w:rPr>
        <w:t>Review Frequency</w:t>
      </w:r>
      <w:r>
        <w:t>: Monthly monitoring review</w:t>
      </w:r>
    </w:p>
    <w:p w:rsidR="00DE5F4F" w:rsidRDefault="00DE5F4F" w:rsidP="001775C9">
      <w:r w:rsidRPr="00DE5F4F">
        <w:t>The monitoring plan supports periodic governance review, drift assessment, recalibration evaluation, and lifecycle management activities.</w:t>
      </w:r>
    </w:p>
    <w:sectPr w:rsidR="00DE5F4F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70D89"/>
    <w:multiLevelType w:val="hybridMultilevel"/>
    <w:tmpl w:val="E056D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82C"/>
    <w:rsid w:val="001775C9"/>
    <w:rsid w:val="00455BAD"/>
    <w:rsid w:val="00790E16"/>
    <w:rsid w:val="007D712C"/>
    <w:rsid w:val="009239D0"/>
    <w:rsid w:val="00940CF9"/>
    <w:rsid w:val="009C15F0"/>
    <w:rsid w:val="00A4782C"/>
    <w:rsid w:val="00B94511"/>
    <w:rsid w:val="00DE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78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0C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78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0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7</cp:revision>
  <dcterms:created xsi:type="dcterms:W3CDTF">2026-05-03T16:46:00Z</dcterms:created>
  <dcterms:modified xsi:type="dcterms:W3CDTF">2026-05-14T05:57:00Z</dcterms:modified>
</cp:coreProperties>
</file>