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Semantic–Hermeneutic Processing Framework</w:t>
      </w:r>
    </w:p>
    <w:p>
      <w:pPr>
        <w:jc w:val="center"/>
      </w:pPr>
      <w:r>
        <w:rPr>
          <w:rFonts w:ascii="Times New Roman" w:hAnsi="Times New Roman"/>
          <w:i/>
          <w:sz w:val="21"/>
        </w:rPr>
        <w:t>Śabda to Tātparya: Linguistic, Syntactic, Semantic and Contextual Analysis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605"/>
        <w:gridCol w:w="1656"/>
        <w:gridCol w:w="2376"/>
        <w:gridCol w:w="6552"/>
      </w:tblGrid>
      <w:tr>
        <w:trPr>
          <w:cantSplit/>
        </w:trP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No.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Śabda / Principle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Phonetics &amp; Verbal Utterance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Functional Description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65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Śabda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Phonetics &amp; Verbal Utterance</w:t>
            </w:r>
          </w:p>
        </w:tc>
        <w:tc>
          <w:tcPr>
            <w:tcW w:type="dxa" w:w="655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Normalizes source tokens, extracts root forms, and detects Sandhi splits.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65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Padārtha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Lexical Denotative Meaning</w:t>
            </w:r>
          </w:p>
        </w:tc>
        <w:tc>
          <w:tcPr>
            <w:tcW w:type="dxa" w:w="655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Maps tokens to canonical entities and assigns Denotative Sense (Abhidhā vs Lakṣaṇā).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165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Vākya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Syntactic Sentence Unity</w:t>
            </w:r>
          </w:p>
        </w:tc>
        <w:tc>
          <w:tcPr>
            <w:tcW w:type="dxa" w:w="655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Clause segmentation and single-syntactic-thought evaluation (Ekavākyatā).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165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Ākāṅkṣā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Syntactic Expectation</w:t>
            </w:r>
          </w:p>
        </w:tc>
        <w:tc>
          <w:tcPr>
            <w:tcW w:type="dxa" w:w="655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Kāraka dependency parsing (Kartā – Agent, Karma – Patient, Karaṇa – Instrument, Adhikaraṇa – Location).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65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Yogyatā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Semantic Compatibility</w:t>
            </w:r>
          </w:p>
        </w:tc>
        <w:tc>
          <w:tcPr>
            <w:tcW w:type="dxa" w:w="655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Audits semantic category compatibility between subjects, actions, and objects without logical contradiction.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165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Sannidhi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Spatial-Temporal Proximity</w:t>
            </w:r>
          </w:p>
        </w:tc>
        <w:tc>
          <w:tcPr>
            <w:tcW w:type="dxa" w:w="655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Computes token/sentence contiguity without unwarranted spatial disruption (Vyavadhāna).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165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Prakaraṇa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Narrative Section Context</w:t>
            </w:r>
          </w:p>
        </w:tc>
        <w:tc>
          <w:tcPr>
            <w:tcW w:type="dxa" w:w="655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Maps text to Kāṇḍam (Pugār, Madurai, Vañci), Canto (Kādai), and literary domain setting.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165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Tātparya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Hermeneutic Intent</w:t>
            </w:r>
          </w:p>
        </w:tc>
        <w:tc>
          <w:tcPr>
            <w:tcW w:type="dxa" w:w="655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Evaluates the 6 Marks of Intent (Ṣaḍliṅga: Upakrama-Upasaṃhāra, Abhyāsa, Apūrvatā, Phala, Arthavāda, Upapatti) and sentence typology (Vidhi, Arthavāda, Nāmadheya).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sz w:val="18"/>
        </w:rPr>
        <w:t xml:space="preserve">Note: </w:t>
      </w:r>
      <w:r>
        <w:rPr>
          <w:rFonts w:ascii="Times New Roman" w:hAnsi="Times New Roman"/>
          <w:sz w:val="18"/>
        </w:rPr>
        <w:t>The framework organizes the interpretation pipeline from source-level verbal normalization (Śabda) through lexical, syntactic, semantic, contextual, and hermeneutic analysis (Tātparya).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