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637068"/>
          <w:sz w:val="22"/>
          <w:szCs w:val="22"/>
        </w:rPr>
        <w:t xml:space="preserve">FUNDACIÓN UNIVERSITARIA CATÓLICA DEL SUR</w:t>
      </w:r>
    </w:p>
    <w:p>
      <w:pPr>
        <w:spacing w:after="400"/>
      </w:pPr>
      <w:r>
        <w:rPr>
          <w:color w:val="637068"/>
          <w:sz w:val="20"/>
          <w:szCs w:val="20"/>
        </w:rPr>
        <w:t xml:space="preserve">Vicerrectoría de Investigación e Innovación</w:t>
      </w:r>
    </w:p>
    <w:p>
      <w:pPr>
        <w:spacing w:after="100"/>
      </w:pPr>
      <w:r>
        <w:rPr>
          <w:b/>
          <w:bCs/>
          <w:color w:val="1E6B3C"/>
          <w:sz w:val="40"/>
          <w:szCs w:val="40"/>
        </w:rPr>
        <w:t xml:space="preserve">Política de Tratamiento de Datos Personales</w:t>
      </w:r>
    </w:p>
    <w:p>
      <w:pPr>
        <w:spacing w:after="100"/>
      </w:pPr>
      <w:r>
        <w:rPr>
          <w:color w:val="1A2B22"/>
          <w:sz w:val="26"/>
          <w:szCs w:val="26"/>
        </w:rPr>
        <w:t xml:space="preserve">Plataforma de Gestión de Investigación NOUS</w:t>
      </w:r>
    </w:p>
    <w:p>
      <w:pPr>
        <w:spacing w:after="600"/>
      </w:pPr>
      <w:r>
        <w:rPr>
          <w:i/>
          <w:iCs/>
          <w:color w:val="637068"/>
          <w:sz w:val="18"/>
          <w:szCs w:val="18"/>
        </w:rPr>
        <w:t xml:space="preserve">Versión 1.0 — Borrador para revisión institucional — 18 de septiembre de 2026</w:t>
      </w:r>
    </w:p>
    <w:p>
      <w:pPr>
        <w:pBdr>
          <w:top w:val="single" w:color="1E6B3C" w:sz="4"/>
        </w:pBdr>
        <w:spacing w:after="200"/>
      </w:pPr>
    </w:p>
    <w:p>
      <w:pPr>
        <w:spacing w:after="160" w:line="276"/>
        <w:jc w:val="both"/>
      </w:pPr>
      <w:r>
        <w:rPr>
          <w:i/>
          <w:iCs/>
          <w:color w:val="637068"/>
          <w:sz w:val="21"/>
          <w:szCs w:val="21"/>
        </w:rPr>
        <w:t xml:space="preserve">Este documento es un borrador base elaborado para que la institución lo revise, complete y valide con su área jurídica antes de publicarlo oficialmente. Los campos marcados entre corchetes [ ] deben ser reemplazados con la información oficial de la institución.</w:t>
      </w:r>
    </w:p>
    <w:p>
      <w:r>
        <w:br w:type="page"/>
      </w:r>
    </w:p>
    <w:p>
      <w:pPr>
        <w:pStyle w:val="Heading1"/>
        <w:spacing w:after="200" w:before="400"/>
      </w:pPr>
      <w:r>
        <w:rPr>
          <w:b/>
          <w:bCs/>
          <w:color w:val="1E6B3C"/>
          <w:sz w:val="26"/>
          <w:szCs w:val="26"/>
        </w:rPr>
        <w:t xml:space="preserve">1. Identificación del Responsable del Tratamiento</w:t>
      </w:r>
    </w:p>
    <w:p>
      <w:pPr>
        <w:spacing w:after="160" w:line="276"/>
        <w:jc w:val="both"/>
      </w:pPr>
      <w:r>
        <w:rPr>
          <w:sz w:val="21"/>
          <w:szCs w:val="21"/>
        </w:rPr>
        <w:t xml:space="preserve">La Fundación Universitaria Católica del Sur, identificada con NIT [NIT — PENDIENTE, reemplazar con dato oficial de la institución], con domicilio principal en la ciudad de Pasto, Nariño, Colombia, es la entidad Responsable del Tratamiento de los datos personales recolectados a través de la plataforma de gestión de investigación NOUS.</w:t>
      </w:r>
    </w:p>
    <w:p>
      <w:pPr>
        <w:spacing w:after="160" w:line="276"/>
        <w:jc w:val="both"/>
      </w:pPr>
      <w:r>
        <w:rPr>
          <w:sz w:val="21"/>
          <w:szCs w:val="21"/>
        </w:rPr>
        <w:t xml:space="preserve">Datos de contacto del área responsable del tratamiento de datos personales:</w:t>
      </w:r>
    </w:p>
    <w:p>
      <w:pPr>
        <w:pStyle w:val="ListParagraph"/>
        <w:numPr>
          <w:ilvl w:val="0"/>
          <w:numId w:val="1"/>
        </w:numPr>
        <w:spacing w:after="100" w:line="276"/>
        <w:jc w:val="both"/>
      </w:pPr>
      <w:r>
        <w:rPr>
          <w:sz w:val="21"/>
          <w:szCs w:val="21"/>
        </w:rPr>
        <w:t xml:space="preserve">Área responsable: Área de Investigación — Vicerrectoría de Investigación e Innovación</w:t>
      </w:r>
    </w:p>
    <w:p>
      <w:pPr>
        <w:pStyle w:val="ListParagraph"/>
        <w:numPr>
          <w:ilvl w:val="0"/>
          <w:numId w:val="1"/>
        </w:numPr>
        <w:spacing w:after="100" w:line="276"/>
        <w:jc w:val="both"/>
      </w:pPr>
      <w:r>
        <w:rPr>
          <w:sz w:val="21"/>
          <w:szCs w:val="21"/>
        </w:rPr>
        <w:t xml:space="preserve">Correo electrónico: practicante.inv1@unicatolicadelsur.edu.co</w:t>
      </w:r>
    </w:p>
    <w:p>
      <w:pPr>
        <w:pStyle w:val="ListParagraph"/>
        <w:numPr>
          <w:ilvl w:val="0"/>
          <w:numId w:val="1"/>
        </w:numPr>
        <w:spacing w:after="100" w:line="276"/>
        <w:jc w:val="both"/>
      </w:pPr>
      <w:r>
        <w:rPr>
          <w:sz w:val="21"/>
          <w:szCs w:val="21"/>
        </w:rPr>
        <w:t xml:space="preserve">Dirección: [dirección física de la institución — PENDIENTE, reemplazar con dato oficial de la institución]</w:t>
      </w:r>
    </w:p>
    <w:p>
      <w:pPr>
        <w:pStyle w:val="ListParagraph"/>
        <w:numPr>
          <w:ilvl w:val="0"/>
          <w:numId w:val="1"/>
        </w:numPr>
        <w:spacing w:after="100" w:line="276"/>
        <w:jc w:val="both"/>
      </w:pPr>
      <w:r>
        <w:rPr>
          <w:sz w:val="21"/>
          <w:szCs w:val="21"/>
        </w:rPr>
        <w:t xml:space="preserve">Teléfono: [teléfono de contacto — PENDIENTE, reemplazar con dato oficial de la institución]</w:t>
      </w:r>
    </w:p>
    <w:p>
      <w:pPr>
        <w:pStyle w:val="Heading1"/>
        <w:spacing w:after="200" w:before="400"/>
      </w:pPr>
      <w:r>
        <w:rPr>
          <w:b/>
          <w:bCs/>
          <w:color w:val="1E6B3C"/>
          <w:sz w:val="26"/>
          <w:szCs w:val="26"/>
        </w:rPr>
        <w:t xml:space="preserve">2. Marco Normativo</w:t>
      </w:r>
    </w:p>
    <w:p>
      <w:pPr>
        <w:spacing w:after="160" w:line="276"/>
        <w:jc w:val="both"/>
      </w:pPr>
      <w:r>
        <w:rPr>
          <w:sz w:val="21"/>
          <w:szCs w:val="21"/>
        </w:rPr>
        <w:t xml:space="preserve">Esta política se expide en cumplimiento de la Constitución Política de Colombia (artículo 15), la Ley Estatutaria 1581 de 2012, el Decreto Reglamentario 1377 de 2013, y demás normas que las modifiquen, adicionen o complementen, en relación con la protección de datos personales y el derecho fundamental de Habeas Data.</w:t>
      </w:r>
    </w:p>
    <w:p>
      <w:pPr>
        <w:pStyle w:val="Heading1"/>
        <w:spacing w:after="200" w:before="400"/>
      </w:pPr>
      <w:r>
        <w:rPr>
          <w:b/>
          <w:bCs/>
          <w:color w:val="1E6B3C"/>
          <w:sz w:val="26"/>
          <w:szCs w:val="26"/>
        </w:rPr>
        <w:t xml:space="preserve">3. Definiciones</w:t>
      </w:r>
    </w:p>
    <w:p>
      <w:pPr>
        <w:spacing w:after="100" w:line="276"/>
        <w:jc w:val="both"/>
      </w:pPr>
      <w:r>
        <w:rPr>
          <w:b/>
          <w:bCs/>
          <w:sz w:val="21"/>
          <w:szCs w:val="21"/>
        </w:rPr>
        <w:t xml:space="preserve">1. </w:t>
      </w:r>
      <w:r>
        <w:rPr>
          <w:sz w:val="21"/>
          <w:szCs w:val="21"/>
        </w:rPr>
        <w:t xml:space="preserve">Dato personal: cualquier información vinculada o que pueda asociarse a una o varias personas naturales determinadas o determinables.</w:t>
      </w:r>
    </w:p>
    <w:p>
      <w:pPr>
        <w:spacing w:after="100" w:line="276"/>
        <w:jc w:val="both"/>
      </w:pPr>
      <w:r>
        <w:rPr>
          <w:b/>
          <w:bCs/>
          <w:sz w:val="21"/>
          <w:szCs w:val="21"/>
        </w:rPr>
        <w:t xml:space="preserve">2. </w:t>
      </w:r>
      <w:r>
        <w:rPr>
          <w:sz w:val="21"/>
          <w:szCs w:val="21"/>
        </w:rPr>
        <w:t xml:space="preserve">Titular: persona natural cuyos datos personales sean objeto de tratamiento (investigadores, docentes, estudiantes, evaluadores, integrantes de semilleros, y demás usuarios de la plataforma NOUS).</w:t>
      </w:r>
    </w:p>
    <w:p>
      <w:pPr>
        <w:spacing w:after="100" w:line="276"/>
        <w:jc w:val="both"/>
      </w:pPr>
      <w:r>
        <w:rPr>
          <w:b/>
          <w:bCs/>
          <w:sz w:val="21"/>
          <w:szCs w:val="21"/>
        </w:rPr>
        <w:t xml:space="preserve">3. </w:t>
      </w:r>
      <w:r>
        <w:rPr>
          <w:sz w:val="21"/>
          <w:szCs w:val="21"/>
        </w:rPr>
        <w:t xml:space="preserve">Tratamiento: cualquier operación sobre datos personales, tales como recolección, almacenamiento, uso, circulación o supresión.</w:t>
      </w:r>
    </w:p>
    <w:p>
      <w:pPr>
        <w:spacing w:after="100" w:line="276"/>
        <w:jc w:val="both"/>
      </w:pPr>
      <w:r>
        <w:rPr>
          <w:b/>
          <w:bCs/>
          <w:sz w:val="21"/>
          <w:szCs w:val="21"/>
        </w:rPr>
        <w:t xml:space="preserve">4. </w:t>
      </w:r>
      <w:r>
        <w:rPr>
          <w:sz w:val="21"/>
          <w:szCs w:val="21"/>
        </w:rPr>
        <w:t xml:space="preserve">Responsable del Tratamiento: quien decide sobre la base de datos y/o el tratamiento de los datos.</w:t>
      </w:r>
    </w:p>
    <w:p>
      <w:pPr>
        <w:spacing w:after="100" w:line="276"/>
        <w:jc w:val="both"/>
      </w:pPr>
      <w:r>
        <w:rPr>
          <w:b/>
          <w:bCs/>
          <w:sz w:val="21"/>
          <w:szCs w:val="21"/>
        </w:rPr>
        <w:t xml:space="preserve">5. </w:t>
      </w:r>
      <w:r>
        <w:rPr>
          <w:sz w:val="21"/>
          <w:szCs w:val="21"/>
        </w:rPr>
        <w:t xml:space="preserve">Encargado del Tratamiento: quien realiza el tratamiento por cuenta del Responsable (por ejemplo, proveedores de infraestructura tecnológica que la institución contrate).</w:t>
      </w:r>
    </w:p>
    <w:p>
      <w:pPr>
        <w:spacing w:after="100" w:line="276"/>
        <w:jc w:val="both"/>
      </w:pPr>
      <w:r>
        <w:rPr>
          <w:b/>
          <w:bCs/>
          <w:sz w:val="21"/>
          <w:szCs w:val="21"/>
        </w:rPr>
        <w:t xml:space="preserve">6. </w:t>
      </w:r>
      <w:r>
        <w:rPr>
          <w:sz w:val="21"/>
          <w:szCs w:val="21"/>
        </w:rPr>
        <w:t xml:space="preserve">Autorización: consentimiento previo, expreso e informado del titular para llevar a cabo el tratamiento de sus datos personales.</w:t>
      </w:r>
    </w:p>
    <w:p>
      <w:pPr>
        <w:pStyle w:val="Heading1"/>
        <w:spacing w:after="200" w:before="400"/>
      </w:pPr>
      <w:r>
        <w:rPr>
          <w:b/>
          <w:bCs/>
          <w:color w:val="1E6B3C"/>
          <w:sz w:val="26"/>
          <w:szCs w:val="26"/>
        </w:rPr>
        <w:t xml:space="preserve">4. Principios Aplicables</w:t>
      </w:r>
    </w:p>
    <w:p>
      <w:pPr>
        <w:spacing w:after="160" w:line="276"/>
        <w:jc w:val="both"/>
      </w:pPr>
      <w:r>
        <w:rPr>
          <w:sz w:val="21"/>
          <w:szCs w:val="21"/>
        </w:rPr>
        <w:t xml:space="preserve">El tratamiento de datos personales en la plataforma NOUS se rige por los principios de legalidad, finalidad, libertad, veracidad o calidad, transparencia, acceso y circulación restringida, seguridad y confidencialidad, establecidos en el artículo 4 de la Ley 1581 de 2012.</w:t>
      </w:r>
    </w:p>
    <w:p>
      <w:pPr>
        <w:pStyle w:val="Heading1"/>
        <w:spacing w:after="200" w:before="400"/>
      </w:pPr>
      <w:r>
        <w:rPr>
          <w:b/>
          <w:bCs/>
          <w:color w:val="1E6B3C"/>
          <w:sz w:val="26"/>
          <w:szCs w:val="26"/>
        </w:rPr>
        <w:t xml:space="preserve">5. Datos Personales Objeto de Tratamiento</w:t>
      </w:r>
    </w:p>
    <w:p>
      <w:pPr>
        <w:spacing w:after="160" w:line="276"/>
        <w:jc w:val="both"/>
      </w:pPr>
      <w:r>
        <w:rPr>
          <w:sz w:val="21"/>
          <w:szCs w:val="21"/>
        </w:rPr>
        <w:t xml:space="preserve">En el marco de la operación de NOUS, se recolectan y tratan, entre otros, los siguientes datos de sus titulares:</w:t>
      </w:r>
    </w:p>
    <w:p>
      <w:pPr>
        <w:pStyle w:val="ListParagraph"/>
        <w:numPr>
          <w:ilvl w:val="0"/>
          <w:numId w:val="1"/>
        </w:numPr>
        <w:spacing w:after="100" w:line="276"/>
        <w:jc w:val="both"/>
      </w:pPr>
      <w:r>
        <w:rPr>
          <w:sz w:val="21"/>
          <w:szCs w:val="21"/>
        </w:rPr>
        <w:t xml:space="preserve">Datos de identificación: nombre completo, número de documento de identidad, correo institucional, correo personal (cuando aplique), teléfono.</w:t>
      </w:r>
    </w:p>
    <w:p>
      <w:pPr>
        <w:pStyle w:val="ListParagraph"/>
        <w:numPr>
          <w:ilvl w:val="0"/>
          <w:numId w:val="1"/>
        </w:numPr>
        <w:spacing w:after="100" w:line="276"/>
        <w:jc w:val="both"/>
      </w:pPr>
      <w:r>
        <w:rPr>
          <w:sz w:val="21"/>
          <w:szCs w:val="21"/>
        </w:rPr>
        <w:t xml:space="preserve">Datos académicos: programa académico, facultad, línea de investigación, rol institucional (docente, estudiante, investigador, evaluador, etc.), hoja de vida académica (CvLAC).</w:t>
      </w:r>
    </w:p>
    <w:p>
      <w:pPr>
        <w:pStyle w:val="ListParagraph"/>
        <w:numPr>
          <w:ilvl w:val="0"/>
          <w:numId w:val="1"/>
        </w:numPr>
        <w:spacing w:after="100" w:line="276"/>
        <w:jc w:val="both"/>
      </w:pPr>
      <w:r>
        <w:rPr>
          <w:sz w:val="21"/>
          <w:szCs w:val="21"/>
        </w:rPr>
        <w:t xml:space="preserve">Datos de gestión de investigación: proyectos, convocatorias, evaluaciones, productos de investigación, y demás información asociada a su participación en procesos de investigación.</w:t>
      </w:r>
    </w:p>
    <w:p>
      <w:pPr>
        <w:pStyle w:val="ListParagraph"/>
        <w:numPr>
          <w:ilvl w:val="0"/>
          <w:numId w:val="1"/>
        </w:numPr>
        <w:spacing w:after="100" w:line="276"/>
        <w:jc w:val="both"/>
      </w:pPr>
      <w:r>
        <w:rPr>
          <w:sz w:val="21"/>
          <w:szCs w:val="21"/>
        </w:rPr>
        <w:t xml:space="preserve">Datos de autenticación: credenciales de acceso institucional (Google Workspace) y registros de auditoría de accesos al sistema.</w:t>
      </w:r>
    </w:p>
    <w:p>
      <w:pPr>
        <w:spacing w:after="160" w:line="276"/>
        <w:jc w:val="both"/>
      </w:pPr>
      <w:r>
        <w:rPr>
          <w:sz w:val="21"/>
          <w:szCs w:val="21"/>
        </w:rPr>
        <w:t xml:space="preserve">[Confirmar si se tratan datos sensibles, por ejemplo información de salud en proyectos con enfoque en ciencias de la salud, y en tal caso incluir la autorización reforzada que exige el artículo 6 de la Ley 1581 de 2012 — PENDIENTE, reemplazar con dato oficial de la institución].</w:t>
      </w:r>
    </w:p>
    <w:p>
      <w:pPr>
        <w:pStyle w:val="Heading1"/>
        <w:spacing w:after="200" w:before="400"/>
      </w:pPr>
      <w:r>
        <w:rPr>
          <w:b/>
          <w:bCs/>
          <w:color w:val="1E6B3C"/>
          <w:sz w:val="26"/>
          <w:szCs w:val="26"/>
        </w:rPr>
        <w:t xml:space="preserve">6. Finalidades del Tratamiento</w:t>
      </w:r>
    </w:p>
    <w:p>
      <w:pPr>
        <w:spacing w:after="160" w:line="276"/>
        <w:jc w:val="both"/>
      </w:pPr>
      <w:r>
        <w:rPr>
          <w:sz w:val="21"/>
          <w:szCs w:val="21"/>
        </w:rPr>
        <w:t xml:space="preserve">Los datos personales recolectados a través de NOUS serán tratados para las siguientes finalidades:</w:t>
      </w:r>
    </w:p>
    <w:p>
      <w:pPr>
        <w:pStyle w:val="ListParagraph"/>
        <w:numPr>
          <w:ilvl w:val="0"/>
          <w:numId w:val="1"/>
        </w:numPr>
        <w:spacing w:after="100" w:line="276"/>
        <w:jc w:val="both"/>
      </w:pPr>
      <w:r>
        <w:rPr>
          <w:sz w:val="21"/>
          <w:szCs w:val="21"/>
        </w:rPr>
        <w:t xml:space="preserve">Gestionar el registro, autenticación y control de acceso de los usuarios a la plataforma.</w:t>
      </w:r>
    </w:p>
    <w:p>
      <w:pPr>
        <w:pStyle w:val="ListParagraph"/>
        <w:numPr>
          <w:ilvl w:val="0"/>
          <w:numId w:val="1"/>
        </w:numPr>
        <w:spacing w:after="100" w:line="276"/>
        <w:jc w:val="both"/>
      </w:pPr>
      <w:r>
        <w:rPr>
          <w:sz w:val="21"/>
          <w:szCs w:val="21"/>
        </w:rPr>
        <w:t xml:space="preserve">Administrar convocatorias de investigación, formalización de proyectos, semilleros de investigación y procesos de evaluación académica.</w:t>
      </w:r>
    </w:p>
    <w:p>
      <w:pPr>
        <w:pStyle w:val="ListParagraph"/>
        <w:numPr>
          <w:ilvl w:val="0"/>
          <w:numId w:val="1"/>
        </w:numPr>
        <w:spacing w:after="100" w:line="276"/>
        <w:jc w:val="both"/>
      </w:pPr>
      <w:r>
        <w:rPr>
          <w:sz w:val="21"/>
          <w:szCs w:val="21"/>
        </w:rPr>
        <w:t xml:space="preserve">Generar reportes, indicadores y estadísticas institucionales de gestión de investigación.</w:t>
      </w:r>
    </w:p>
    <w:p>
      <w:pPr>
        <w:pStyle w:val="ListParagraph"/>
        <w:numPr>
          <w:ilvl w:val="0"/>
          <w:numId w:val="1"/>
        </w:numPr>
        <w:spacing w:after="100" w:line="276"/>
        <w:jc w:val="both"/>
      </w:pPr>
      <w:r>
        <w:rPr>
          <w:sz w:val="21"/>
          <w:szCs w:val="21"/>
        </w:rPr>
        <w:t xml:space="preserve">Enviar notificaciones relacionadas con los procesos en los que el titular participe (convocatorias, evaluaciones, aprobaciones, etc.).</w:t>
      </w:r>
    </w:p>
    <w:p>
      <w:pPr>
        <w:pStyle w:val="ListParagraph"/>
        <w:numPr>
          <w:ilvl w:val="0"/>
          <w:numId w:val="1"/>
        </w:numPr>
        <w:spacing w:after="100" w:line="276"/>
        <w:jc w:val="both"/>
      </w:pPr>
      <w:r>
        <w:rPr>
          <w:sz w:val="21"/>
          <w:szCs w:val="21"/>
        </w:rPr>
        <w:t xml:space="preserve">Dar cumplimiento a obligaciones legales, contractuales, contables y de reporte ante entidades como el Ministerio de Ciencia, Tecnología e Innovación (MinCiencias).</w:t>
      </w:r>
    </w:p>
    <w:p>
      <w:pPr>
        <w:pStyle w:val="ListParagraph"/>
        <w:numPr>
          <w:ilvl w:val="0"/>
          <w:numId w:val="1"/>
        </w:numPr>
        <w:spacing w:after="100" w:line="276"/>
        <w:jc w:val="both"/>
      </w:pPr>
      <w:r>
        <w:rPr>
          <w:sz w:val="21"/>
          <w:szCs w:val="21"/>
        </w:rPr>
        <w:t xml:space="preserve">Realizar auditorías internas de seguridad y trazabilidad sobre el uso del sistema.</w:t>
      </w:r>
    </w:p>
    <w:p>
      <w:pPr>
        <w:pStyle w:val="Heading1"/>
        <w:spacing w:after="200" w:before="400"/>
      </w:pPr>
      <w:r>
        <w:rPr>
          <w:b/>
          <w:bCs/>
          <w:color w:val="1E6B3C"/>
          <w:sz w:val="26"/>
          <w:szCs w:val="26"/>
        </w:rPr>
        <w:t xml:space="preserve">7. Derechos de los Titulares</w:t>
      </w:r>
    </w:p>
    <w:p>
      <w:pPr>
        <w:spacing w:after="160" w:line="276"/>
        <w:jc w:val="both"/>
      </w:pPr>
      <w:r>
        <w:rPr>
          <w:sz w:val="21"/>
          <w:szCs w:val="21"/>
        </w:rPr>
        <w:t xml:space="preserve">De acuerdo con el artículo 8 de la Ley 1581 de 2012, los titulares de los datos personales tienen derecho a:</w:t>
      </w:r>
    </w:p>
    <w:p>
      <w:pPr>
        <w:pStyle w:val="ListParagraph"/>
        <w:numPr>
          <w:ilvl w:val="0"/>
          <w:numId w:val="1"/>
        </w:numPr>
        <w:spacing w:after="100" w:line="276"/>
        <w:jc w:val="both"/>
      </w:pPr>
      <w:r>
        <w:rPr>
          <w:sz w:val="21"/>
          <w:szCs w:val="21"/>
        </w:rPr>
        <w:t xml:space="preserve">Conocer, actualizar y rectificar sus datos personales frente al Responsable del Tratamiento.</w:t>
      </w:r>
    </w:p>
    <w:p>
      <w:pPr>
        <w:pStyle w:val="ListParagraph"/>
        <w:numPr>
          <w:ilvl w:val="0"/>
          <w:numId w:val="1"/>
        </w:numPr>
        <w:spacing w:after="100" w:line="276"/>
        <w:jc w:val="both"/>
      </w:pPr>
      <w:r>
        <w:rPr>
          <w:sz w:val="21"/>
          <w:szCs w:val="21"/>
        </w:rPr>
        <w:t xml:space="preserve">Solicitar prueba de la autorización otorgada, salvo que la ley no la requiera.</w:t>
      </w:r>
    </w:p>
    <w:p>
      <w:pPr>
        <w:pStyle w:val="ListParagraph"/>
        <w:numPr>
          <w:ilvl w:val="0"/>
          <w:numId w:val="1"/>
        </w:numPr>
        <w:spacing w:after="100" w:line="276"/>
        <w:jc w:val="both"/>
      </w:pPr>
      <w:r>
        <w:rPr>
          <w:sz w:val="21"/>
          <w:szCs w:val="21"/>
        </w:rPr>
        <w:t xml:space="preserve">Ser informado por el Responsable del Tratamiento, previa solicitud, respecto del uso que se le ha dado a sus datos personales.</w:t>
      </w:r>
    </w:p>
    <w:p>
      <w:pPr>
        <w:pStyle w:val="ListParagraph"/>
        <w:numPr>
          <w:ilvl w:val="0"/>
          <w:numId w:val="1"/>
        </w:numPr>
        <w:spacing w:after="100" w:line="276"/>
        <w:jc w:val="both"/>
      </w:pPr>
      <w:r>
        <w:rPr>
          <w:sz w:val="21"/>
          <w:szCs w:val="21"/>
        </w:rPr>
        <w:t xml:space="preserve">Presentar ante la Superintendencia de Industria y Comercio (SIC) quejas por infracciones a la ley.</w:t>
      </w:r>
    </w:p>
    <w:p>
      <w:pPr>
        <w:pStyle w:val="ListParagraph"/>
        <w:numPr>
          <w:ilvl w:val="0"/>
          <w:numId w:val="1"/>
        </w:numPr>
        <w:spacing w:after="100" w:line="276"/>
        <w:jc w:val="both"/>
      </w:pPr>
      <w:r>
        <w:rPr>
          <w:sz w:val="21"/>
          <w:szCs w:val="21"/>
        </w:rPr>
        <w:t xml:space="preserve">Revocar la autorización y/o solicitar la supresión del dato, cuando no exista un deber legal o contractual que impida eliminarlo.</w:t>
      </w:r>
    </w:p>
    <w:p>
      <w:pPr>
        <w:pStyle w:val="ListParagraph"/>
        <w:numPr>
          <w:ilvl w:val="0"/>
          <w:numId w:val="1"/>
        </w:numPr>
        <w:spacing w:after="100" w:line="276"/>
        <w:jc w:val="both"/>
      </w:pPr>
      <w:r>
        <w:rPr>
          <w:sz w:val="21"/>
          <w:szCs w:val="21"/>
        </w:rPr>
        <w:t xml:space="preserve">Acceder en forma gratuita a sus datos personales que hayan sido objeto de tratamiento.</w:t>
      </w:r>
    </w:p>
    <w:p>
      <w:pPr>
        <w:pStyle w:val="Heading1"/>
        <w:spacing w:after="200" w:before="400"/>
      </w:pPr>
      <w:r>
        <w:rPr>
          <w:b/>
          <w:bCs/>
          <w:color w:val="1E6B3C"/>
          <w:sz w:val="26"/>
          <w:szCs w:val="26"/>
        </w:rPr>
        <w:t xml:space="preserve">8. Procedimiento para el Ejercicio de Derechos (Consultas y Reclamos)</w:t>
      </w:r>
    </w:p>
    <w:p>
      <w:pPr>
        <w:spacing w:after="160" w:line="276"/>
        <w:jc w:val="both"/>
      </w:pPr>
      <w:r>
        <w:rPr>
          <w:sz w:val="21"/>
          <w:szCs w:val="21"/>
        </w:rPr>
        <w:t xml:space="preserve">Los titulares o sus causahabientes podrán ejercer sus derechos mediante solicitud dirigida al correo practicante.inv1@unicatolicadelsur.edu.co, indicando: nombre completo, documento de identidad, descripción clara de los hechos que dan lugar a la solicitud, y documentos que se quieran hacer valer.</w:t>
      </w:r>
    </w:p>
    <w:p>
      <w:pPr>
        <w:spacing w:after="100" w:line="276"/>
        <w:jc w:val="both"/>
      </w:pPr>
      <w:r>
        <w:rPr>
          <w:b/>
          <w:bCs/>
          <w:sz w:val="21"/>
          <w:szCs w:val="21"/>
        </w:rPr>
        <w:t xml:space="preserve">1. </w:t>
      </w:r>
      <w:r>
        <w:rPr>
          <w:sz w:val="21"/>
          <w:szCs w:val="21"/>
        </w:rPr>
        <w:t xml:space="preserve">Consultas: serán atendidas en un término máximo de diez (10) días hábiles contados a partir de la fecha de recibo. Cuando no fuere posible atender la consulta dentro de dicho término, se informará al interesado, expresando los motivos de la demora y señalando la fecha en que se atenderá, la cual no podrá superar los cinco (5) días hábiles siguientes al vencimiento del primer término.</w:t>
      </w:r>
    </w:p>
    <w:p>
      <w:pPr>
        <w:spacing w:after="100" w:line="276"/>
        <w:jc w:val="both"/>
      </w:pPr>
      <w:r>
        <w:rPr>
          <w:b/>
          <w:bCs/>
          <w:sz w:val="21"/>
          <w:szCs w:val="21"/>
        </w:rPr>
        <w:t xml:space="preserve">2. </w:t>
      </w:r>
      <w:r>
        <w:rPr>
          <w:sz w:val="21"/>
          <w:szCs w:val="21"/>
        </w:rPr>
        <w:t xml:space="preserve">Reclamos: serán atendidos en un término máximo de quince (15) días hábiles contados a partir del día siguiente a la fecha de su recibo. Cuando no fuere posible atenderlo dentro de dicho término, se informará al interesado los motivos de la demora y la fecha en que se atenderá, la cual no podrá superar los ocho (8) días hábiles siguientes al vencimiento del primer término.</w:t>
      </w:r>
    </w:p>
    <w:p>
      <w:pPr>
        <w:pStyle w:val="Heading1"/>
        <w:spacing w:after="200" w:before="400"/>
      </w:pPr>
      <w:r>
        <w:rPr>
          <w:b/>
          <w:bCs/>
          <w:color w:val="1E6B3C"/>
          <w:sz w:val="26"/>
          <w:szCs w:val="26"/>
        </w:rPr>
        <w:t xml:space="preserve">9. Área Responsable de la Atención de Peticiones, Consultas y Reclamos</w:t>
      </w:r>
    </w:p>
    <w:p>
      <w:pPr>
        <w:spacing w:after="160" w:line="276"/>
        <w:jc w:val="both"/>
      </w:pPr>
      <w:r>
        <w:rPr>
          <w:sz w:val="21"/>
          <w:szCs w:val="21"/>
        </w:rPr>
        <w:t xml:space="preserve">El Área de Investigación de la Vicerrectoría de Investigación e Innovación es la dependencia encargada de dar trámite a las solicitudes de los titulares para el ejercicio de sus derechos, a través del correo practicante.inv1@unicatolicadelsur.edu.co.</w:t>
      </w:r>
    </w:p>
    <w:p>
      <w:pPr>
        <w:pStyle w:val="Heading1"/>
        <w:spacing w:after="200" w:before="400"/>
      </w:pPr>
      <w:r>
        <w:rPr>
          <w:b/>
          <w:bCs/>
          <w:color w:val="1E6B3C"/>
          <w:sz w:val="26"/>
          <w:szCs w:val="26"/>
        </w:rPr>
        <w:t xml:space="preserve">10. Medidas de Seguridad</w:t>
      </w:r>
    </w:p>
    <w:p>
      <w:pPr>
        <w:spacing w:after="160" w:line="276"/>
        <w:jc w:val="both"/>
      </w:pPr>
      <w:r>
        <w:rPr>
          <w:sz w:val="21"/>
          <w:szCs w:val="21"/>
        </w:rPr>
        <w:t xml:space="preserve">La institución implementa medidas técnicas, humanas y administrativas razonables para proteger los datos personales contra acceso no autorizado, pérdida, alteración o uso indebido, entre ellas:</w:t>
      </w:r>
    </w:p>
    <w:p>
      <w:pPr>
        <w:pStyle w:val="ListParagraph"/>
        <w:numPr>
          <w:ilvl w:val="0"/>
          <w:numId w:val="1"/>
        </w:numPr>
        <w:spacing w:after="100" w:line="276"/>
        <w:jc w:val="both"/>
      </w:pPr>
      <w:r>
        <w:rPr>
          <w:sz w:val="21"/>
          <w:szCs w:val="21"/>
        </w:rPr>
        <w:t xml:space="preserve">Autenticación mediante cuenta institucional (Google Workspace) y, opcionalmente, autenticación multifactor (MFA).</w:t>
      </w:r>
    </w:p>
    <w:p>
      <w:pPr>
        <w:pStyle w:val="ListParagraph"/>
        <w:numPr>
          <w:ilvl w:val="0"/>
          <w:numId w:val="1"/>
        </w:numPr>
        <w:spacing w:after="100" w:line="276"/>
        <w:jc w:val="both"/>
      </w:pPr>
      <w:r>
        <w:rPr>
          <w:sz w:val="21"/>
          <w:szCs w:val="21"/>
        </w:rPr>
        <w:t xml:space="preserve">Control de acceso basado en roles y permisos, restringiendo el acceso a los datos según el perfil del usuario.</w:t>
      </w:r>
    </w:p>
    <w:p>
      <w:pPr>
        <w:pStyle w:val="ListParagraph"/>
        <w:numPr>
          <w:ilvl w:val="0"/>
          <w:numId w:val="1"/>
        </w:numPr>
        <w:spacing w:after="100" w:line="276"/>
        <w:jc w:val="both"/>
      </w:pPr>
      <w:r>
        <w:rPr>
          <w:sz w:val="21"/>
          <w:szCs w:val="21"/>
        </w:rPr>
        <w:t xml:space="preserve">Registro de auditoría (log) de acciones relevantes realizadas sobre el sistema.</w:t>
      </w:r>
    </w:p>
    <w:p>
      <w:pPr>
        <w:pStyle w:val="ListParagraph"/>
        <w:numPr>
          <w:ilvl w:val="0"/>
          <w:numId w:val="1"/>
        </w:numPr>
        <w:spacing w:after="100" w:line="276"/>
        <w:jc w:val="both"/>
      </w:pPr>
      <w:r>
        <w:rPr>
          <w:sz w:val="21"/>
          <w:szCs w:val="21"/>
        </w:rPr>
        <w:t xml:space="preserve">[Describir infraestructura de almacenamiento: servidor institucional, proveedor cloud, medidas de cifrado, respaldo/backup, etc. — PENDIENTE, reemplazar con dato oficial de la institución]</w:t>
      </w:r>
    </w:p>
    <w:p>
      <w:pPr>
        <w:pStyle w:val="Heading1"/>
        <w:spacing w:after="200" w:before="400"/>
      </w:pPr>
      <w:r>
        <w:rPr>
          <w:b/>
          <w:bCs/>
          <w:color w:val="1E6B3C"/>
          <w:sz w:val="26"/>
          <w:szCs w:val="26"/>
        </w:rPr>
        <w:t xml:space="preserve">11. Transferencia y Transmisión de Datos</w:t>
      </w:r>
    </w:p>
    <w:p>
      <w:pPr>
        <w:spacing w:after="160" w:line="276"/>
        <w:jc w:val="both"/>
      </w:pPr>
      <w:r>
        <w:rPr>
          <w:sz w:val="21"/>
          <w:szCs w:val="21"/>
        </w:rPr>
        <w:t xml:space="preserve">[Indicar si los datos se comparten con terceros (por ejemplo MinCiencias para reportes de investigación, proveedores de infraestructura tecnológica, u otras entidades), especificando la finalidad de cada transferencia o transmisión — PENDIENTE, reemplazar con dato oficial de la institución].</w:t>
      </w:r>
    </w:p>
    <w:p>
      <w:pPr>
        <w:pStyle w:val="Heading1"/>
        <w:spacing w:after="200" w:before="400"/>
      </w:pPr>
      <w:r>
        <w:rPr>
          <w:b/>
          <w:bCs/>
          <w:color w:val="1E6B3C"/>
          <w:sz w:val="26"/>
          <w:szCs w:val="26"/>
        </w:rPr>
        <w:t xml:space="preserve">12. Vigencia</w:t>
      </w:r>
    </w:p>
    <w:p>
      <w:pPr>
        <w:spacing w:after="160" w:line="276"/>
        <w:jc w:val="both"/>
      </w:pPr>
      <w:r>
        <w:rPr>
          <w:sz w:val="21"/>
          <w:szCs w:val="21"/>
        </w:rPr>
        <w:t xml:space="preserve">La presente Política de Tratamiento de Datos Personales rige a partir de su publicación y se mantendrá vigente mientras la Fundación Universitaria Católica del Sur trate datos personales en el marco de la plataforma NOUS. Los datos personales se conservarán durante el tiempo que sea necesario para cumplir las finalidades para las cuales fueron recolectados y, posteriormente, durante los plazos que exija la normativa aplicable.</w:t>
      </w:r>
    </w:p>
    <w:p>
      <w:pPr>
        <w:pStyle w:val="Heading1"/>
        <w:spacing w:after="200" w:before="400"/>
      </w:pPr>
      <w:r>
        <w:rPr>
          <w:b/>
          <w:bCs/>
          <w:color w:val="1E6B3C"/>
          <w:sz w:val="26"/>
          <w:szCs w:val="26"/>
        </w:rPr>
        <w:t xml:space="preserve">13. Modificaciones</w:t>
      </w:r>
    </w:p>
    <w:p>
      <w:pPr>
        <w:spacing w:after="160" w:line="276"/>
        <w:jc w:val="both"/>
      </w:pPr>
      <w:r>
        <w:rPr>
          <w:sz w:val="21"/>
          <w:szCs w:val="21"/>
        </w:rPr>
        <w:t xml:space="preserve">Esta política podrá ser modificada en cualquier momento por la institución. Cualquier cambio sustancial será comunicado a los titulares a través de la plataforma NOUS, y en caso de requerirse, se solicitará una nueva autorización.</w:t>
      </w:r>
    </w:p>
    <w:p>
      <w:pPr>
        <w:pBdr>
          <w:top w:val="single" w:color="1E6B3C" w:sz="4"/>
        </w:pBdr>
        <w:spacing w:before="500"/>
      </w:pPr>
    </w:p>
    <w:p>
      <w:pPr>
        <w:spacing w:after="160" w:line="276"/>
        <w:jc w:val="both"/>
      </w:pPr>
      <w:r>
        <w:rPr>
          <w:color w:val="637068"/>
          <w:sz w:val="21"/>
          <w:szCs w:val="21"/>
        </w:rPr>
        <w:t xml:space="preserve">Aprobado por: [nombre y cargo de quien aprueba, ej. Vicerrector(a) de Investigación e Innovación — PENDIENTE, reemplazar con dato oficial de la institución]</w:t>
      </w:r>
    </w:p>
    <w:p>
      <w:pPr>
        <w:spacing w:after="160" w:line="276"/>
        <w:jc w:val="both"/>
      </w:pPr>
      <w:r>
        <w:rPr>
          <w:color w:val="637068"/>
          <w:sz w:val="21"/>
          <w:szCs w:val="21"/>
        </w:rPr>
        <w:t xml:space="preserve">Fecha de aprobación: [fecha — PENDIENTE, reemplazar con dato oficial de la institución]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37068"/>
        <w:sz w:val="16"/>
        <w:szCs w:val="16"/>
      </w:rPr>
      <w:t xml:space="preserve">Página </w:t>
    </w:r>
    <w:r>
      <w:rPr>
        <w:color w:val="637068"/>
        <w:sz w:val="16"/>
        <w:szCs w:val="16"/>
      </w:rPr>
      <w:fldChar w:fldCharType="begin"/>
      <w:instrText xml:space="preserve">PAGE</w:instrText>
      <w:fldChar w:fldCharType="separate"/>
      <w:fldChar w:fldCharType="end"/>
    </w:r>
    <w:r>
      <w:rPr>
        <w:color w:val="637068"/>
        <w:sz w:val="16"/>
        <w:szCs w:val="16"/>
      </w:rPr>
      <w:t xml:space="preserve"> de </w:t>
    </w:r>
    <w:r>
      <w:rPr>
        <w:color w:val="6370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37068"/>
        <w:sz w:val="16"/>
        <w:szCs w:val="16"/>
      </w:rPr>
      <w:t xml:space="preserve">Fundación Universitaria Católica del Sur — Plataforma NOUS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2026-09-18T22:29:38.202Z</dcterms:created>
  <dcterms:modified xsi:type="dcterms:W3CDTF">2026-09-18T22:29:38.202Z</dcterms:modified>
</cp:coreProperties>
</file>

<file path=docProps/custom.xml><?xml version="1.0" encoding="utf-8"?>
<Properties xmlns="http://schemas.openxmlformats.org/officeDocument/2006/custom-properties" xmlns:vt="http://schemas.openxmlformats.org/officeDocument/2006/docPropsVTypes"/>
</file>