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તા. 15/07/2026</w:t>
      </w:r>
    </w:p>
    <w:p>
      <w:pPr>
        <w:spacing w:after="0"/>
        <w:jc w:val="right"/>
      </w:pPr>
      <w:r>
        <w:t>સ્થળ: નવસારી</w:t>
      </w:r>
    </w:p>
    <w:p>
      <w:pPr>
        <w:jc w:val="left"/>
        <w:pBdr>
          <w:bottom w:val="dotted" w:sz="4" w:space="1" w:color="000000"/>
        </w:pBdr>
      </w:pPr>
      <w:r>
        <w:rPr>
          <w:b/>
        </w:rPr>
        <w:t>સાદર નોંધ:</w:t>
      </w:r>
    </w:p>
    <w:p>
      <w:pPr>
        <w:jc w:val="both"/>
      </w:pPr>
      <w:r>
        <w:rPr>
          <w:b/>
        </w:rPr>
        <w:t>વિષય: કાયમી પેશગી પેટે COI Gene Sequencing માટે નાણા ઉપાડવા બાબત...</w:t>
      </w:r>
    </w:p>
    <w:p>
      <w:pPr>
        <w:jc w:val="both"/>
      </w:pPr>
      <w:r>
        <w:t>સવિનય સહ ઉપરોક્ત વિષય અન્વયે જણાવવાનું કે, અત્રેનાં કીટકશાસ્ત્ર વિભાગની આઈ.સી.એ.આર. યોજના AINP on Agril Acarology બ.સ. ૩૦૩/૨૦૯૨ અંતર્ગત વિભાગમાં કરવામાં આવતા સંશોધન અખતરાઓ માટે એકત્રિત કરવામાં આવેલ કિટકોના નમૂનાઓનું ચોક્કસ ઓળખ (Molecular Identification) કરવા માટે GBRC, ગાંધીનગર ખાતે Sanger Sequencing- COI Gene Sequencing કરાવવું ખૂબ જ આવશ્યક છે. આ માટે ગુજરાત બાયોટેકનોલોજી રિસર્ચ સેન્ટર (GBRC), ગાંધીનગર દ્વારા મળેલ ક્વોટેશન મુજબ અંદાજિત ખર્ચ 2,832.00 થનાર છે. જેના માટે ૨૮૩૨/- (અંકે રૂપિયા બે હજાર આઠસો બત્રીસ પૂરા) એડવાન્સ પેટે ઉપાડવાની જરૂરિયાત ઉપસ્થિત થયેલ છે.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6"/>
        <w:gridCol w:w="1446"/>
        <w:gridCol w:w="1446"/>
        <w:gridCol w:w="1446"/>
        <w:gridCol w:w="1446"/>
        <w:gridCol w:w="1446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Required Quantity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Available Pkt/Unit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Unit/Pkt Price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Total Price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Sanger Sequencing- COI Gene Sequencing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 Unit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1416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2832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/>
              </w:rPr>
              <w:t>Grand Total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2832.00</w:t>
            </w:r>
          </w:p>
        </w:tc>
      </w:tr>
    </w:tbl>
    <w:p/>
    <w:p>
      <w:pPr>
        <w:jc w:val="both"/>
      </w:pPr>
      <w:r>
        <w:t>સદર ખર્ચની ખરીદી કરવા આપશ્રીની સત્તા અન્વયે કાયમી પેશગી ઉપાડવાની સૈદ્ધાંતિક મંજુરી આપવા આપ સાહેબશ્રીને નમ્ર વિનંતી છે. સદર નાણા બ.સ ૩૦૩/૨૦૯૨ માંથી ફાળવી સદર યોજનાના પ્રોજેક્ટ ઈન્ચાર્જશ્રીને સોંપવા નમ્ર વિનંતી.</w:t>
      </w:r>
    </w:p>
    <w:p>
      <w:pPr>
        <w:jc w:val="both"/>
      </w:pPr>
      <w:r>
        <w:t>**AI STATUTE ANALYSIS:**</w:t>
      </w:r>
    </w:p>
    <w:p>
      <w:pPr>
        <w:jc w:val="both"/>
      </w:pPr>
      <w:r>
        <w:t>1. **Nature of Sanction:** This is an advance payment (કાયમી પેશગી) note. Under university financial rules, when an external government/research institute like GBRC mandates advance payment, the department is authorized to draw an advance to process the payment before the service is completed.</w:t>
      </w:r>
    </w:p>
    <w:p>
      <w:pPr>
        <w:jc w:val="both"/>
      </w:pPr>
      <w:r>
        <w:t>2. **Justification:** The GBRC quotation explicitly states that "Payment must be in advance." Molecular identification is critical for ongoing Ph.D./research projects under the AINP Acarology scheme, making this advance necessary.</w:t>
      </w:r>
    </w:p>
    <w:p>
      <w:pPr>
        <w:jc w:val="both"/>
      </w:pPr>
      <w:r>
        <w:t>3. **Precedent:** This note follows the standard protocol established for advance payments to external research institutes (e.g., GBRC).</w:t>
      </w:r>
    </w:p>
    <w:p>
      <w:pPr>
        <w:jc w:val="both"/>
      </w:pPr>
      <w:r>
        <w:t>4. **Fund Source:** Funds are strictly drawn from AINP on Agril Acarology (બ.સ. ૩૦૩/૨૦૯૨) as per the project requirements.</w:t>
      </w:r>
    </w:p>
    <w:p>
      <w:pPr>
        <w:spacing w:before="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1"/>
          </w:tcPr>
          <w:p>
            <w:pPr>
              <w:jc w:val="center"/>
            </w:pPr>
            <w:r>
              <w:t>ખેતીવાડી અધિકારી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પ્રોજેકટ ઈન્ચાર્જ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પ્રાધ્યાપક અને વડા</w:t>
              <w:br/>
            </w:r>
            <w:r>
              <w:t>કીટકશાસ્ત્ર વિભાગ</w:t>
            </w:r>
          </w:p>
        </w:tc>
      </w:tr>
    </w:tbl>
    <w:p>
      <w:pPr>
        <w:spacing w:before="6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79"/>
        <w:gridCol w:w="4195"/>
      </w:tblGrid>
      <w:tr>
        <w:tc>
          <w:tcPr>
            <w:tcW w:type="dxa" w:w="4337"/>
          </w:tcPr>
          <w:p/>
        </w:tc>
        <w:tc>
          <w:tcPr>
            <w:tcW w:type="dxa" w:w="4337"/>
          </w:tcPr>
          <w:p>
            <w:pPr>
              <w:jc w:val="center"/>
            </w:pPr>
            <w:r>
              <w:t>આચાર્ય અને ડીનશ્રી</w:t>
              <w:br/>
              <w:t>ન. મ. કૃષિ મહાવિધાયલય</w:t>
              <w:br/>
              <w:t>ન.કૃ.યુ. નવસારી</w:t>
            </w:r>
          </w:p>
        </w:tc>
      </w:tr>
    </w:tbl>
    <w:sectPr w:rsidR="00FC693F" w:rsidRPr="0006063C" w:rsidSect="00034616">
      <w:pgSz w:w="11906" w:h="16838"/>
      <w:pgMar w:top="850" w:right="850" w:bottom="850" w:left="23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  <w:rFonts w:ascii="Times New Roman" w:hAnsi="Times New Roman" w:cs="Shruti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