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color w:val="5F6368"/>
          <w:sz w:val="24"/>
          <w:szCs w:val="24"/>
        </w:rPr>
        <w:t xml:space="preserve">IIT ROORKEE × FUTURENSE</w:t>
      </w:r>
    </w:p>
    <w:p>
      <w:pPr>
        <w:spacing w:after="400"/>
        <w:jc w:val="center"/>
      </w:pPr>
      <w:r>
        <w:rPr>
          <w:color w:val="5F6368"/>
          <w:sz w:val="22"/>
          <w:szCs w:val="22"/>
        </w:rPr>
        <w:t xml:space="preserve">PG Certificate Program in AI/GenAI Powered Cybersecurity</w:t>
      </w:r>
    </w:p>
    <w:p>
      <w:pPr>
        <w:spacing w:after="200" w:before="800"/>
        <w:jc w:val="center"/>
      </w:pPr>
      <w:r>
        <w:rPr>
          <w:b/>
          <w:bCs/>
          <w:color w:val="1B2A4A"/>
          <w:sz w:val="64"/>
          <w:szCs w:val="64"/>
        </w:rPr>
        <w:t xml:space="preserve">CloudGuardian</w:t>
      </w:r>
    </w:p>
    <w:p>
      <w:pPr>
        <w:spacing w:after="500"/>
        <w:jc w:val="center"/>
      </w:pPr>
      <w:r>
        <w:rPr>
          <w:b/>
          <w:bCs/>
          <w:color w:val="0E7C7B"/>
          <w:sz w:val="28"/>
          <w:szCs w:val="28"/>
        </w:rPr>
        <w:t xml:space="preserve">AI-Driven Multi-Cloud Misconfiguration Detection, Prioritization &amp; Auto-Remediation</w:t>
      </w:r>
    </w:p>
    <w:p>
      <w:pPr>
        <w:spacing w:after="100"/>
        <w:jc w:val="center"/>
      </w:pPr>
      <w:r>
        <w:rPr>
          <w:color w:val="222222"/>
          <w:sz w:val="24"/>
          <w:szCs w:val="24"/>
        </w:rPr>
        <w:t xml:space="preserve">Capstone Final Report — Weeks 1, 2 &amp; 3</w:t>
      </w:r>
    </w:p>
    <w:p>
      <w:pPr>
        <w:spacing w:after="600"/>
        <w:jc w:val="center"/>
      </w:pPr>
      <w:r>
        <w:rPr>
          <w:color w:val="5F6368"/>
          <w:sz w:val="20"/>
          <w:szCs w:val="20"/>
        </w:rPr>
        <w:t xml:space="preserve">Project Code: CAP-CSE-3W  |  EC-Council Track: Cloud Security Essentials  |  Cohort 2025–26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B2A4A" w:color="auto" w:val="clear"/>
            <w:tcMar>
              <w:top w:type="dxa" w:w="80"/>
              <w:left w:type="dxa" w:w="100"/>
              <w:bottom w:type="dxa" w:w="80"/>
              <w:right w:type="dxa" w:w="100"/>
            </w:tcMar>
            <w:vAlign w:val="center"/>
          </w:tcPr>
          <w:p>
            <w:pPr>
              <w:jc w:val="center"/>
            </w:pPr>
            <w:r>
              <w:rPr>
                <w:b/>
                <w:bCs/>
                <w:color w:val="FFFFFF"/>
                <w:sz w:val="19"/>
                <w:szCs w:val="19"/>
              </w:rPr>
              <w:t xml:space="preserve">Field</w:t>
            </w:r>
          </w:p>
        </w:tc>
        <w:tc>
          <w:tcPr>
            <w:tcW w:type="dxa" w:w="6150"/>
            <w:shd w:fill="1B2A4A" w:color="auto" w:val="clear"/>
            <w:tcMar>
              <w:top w:type="dxa" w:w="80"/>
              <w:left w:type="dxa" w:w="100"/>
              <w:bottom w:type="dxa" w:w="80"/>
              <w:right w:type="dxa" w:w="100"/>
            </w:tcMar>
            <w:vAlign w:val="center"/>
          </w:tcPr>
          <w:p>
            <w:pPr>
              <w:jc w:val="center"/>
            </w:pPr>
            <w:r>
              <w:rPr>
                <w:b/>
                <w:bCs/>
                <w:color w:val="FFFFFF"/>
                <w:sz w:val="19"/>
                <w:szCs w:val="19"/>
              </w:rPr>
              <w:t xml:space="preserve">Detail</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Mode</w:t>
            </w:r>
          </w:p>
        </w:tc>
        <w:tc>
          <w:tcPr>
            <w:tcW w:type="dxa" w:w="6150"/>
            <w:tcMar>
              <w:top w:type="dxa" w:w="80"/>
              <w:left w:type="dxa" w:w="100"/>
              <w:bottom w:type="dxa" w:w="80"/>
              <w:right w:type="dxa" w:w="100"/>
            </w:tcMar>
            <w:vAlign w:val="center"/>
          </w:tcPr>
          <w:p>
            <w:pPr>
              <w:jc w:val="left"/>
            </w:pPr>
            <w:r>
              <w:rPr>
                <w:b w:val="false"/>
                <w:bCs w:val="false"/>
                <w:color w:val="222222"/>
                <w:sz w:val="19"/>
                <w:szCs w:val="19"/>
              </w:rPr>
              <w:t xml:space="preserve">Team (3 members)</w:t>
            </w:r>
          </w:p>
        </w:tc>
      </w:tr>
      <w:tr>
        <w:tc>
          <w:tcPr>
            <w:tcW w:type="dxa" w:w="32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Cloud Scope</w:t>
            </w:r>
          </w:p>
        </w:tc>
        <w:tc>
          <w:tcPr>
            <w:tcW w:type="dxa" w:w="61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AWS (primary, ap-south-1) + Azure (cross-cloud validation)</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Team Members</w:t>
            </w:r>
          </w:p>
        </w:tc>
        <w:tc>
          <w:tcPr>
            <w:tcW w:type="dxa" w:w="6150"/>
            <w:tcMar>
              <w:top w:type="dxa" w:w="80"/>
              <w:left w:type="dxa" w:w="100"/>
              <w:bottom w:type="dxa" w:w="80"/>
              <w:right w:type="dxa" w:w="100"/>
            </w:tcMar>
            <w:vAlign w:val="center"/>
          </w:tcPr>
          <w:p>
            <w:pPr>
              <w:jc w:val="left"/>
            </w:pPr>
            <w:r>
              <w:rPr>
                <w:b w:val="false"/>
                <w:bCs w:val="false"/>
                <w:color w:val="222222"/>
                <w:sz w:val="19"/>
                <w:szCs w:val="19"/>
              </w:rPr>
              <w:t xml:space="preserve">Megha Sharma (Web Application Co-Lead) · Vinay Kumar (Web Application Security Lead) · Kedar Pavaskar (Threat Modelling Lead)</w:t>
            </w:r>
          </w:p>
        </w:tc>
      </w:tr>
      <w:tr>
        <w:tc>
          <w:tcPr>
            <w:tcW w:type="dxa" w:w="32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AWS Account</w:t>
            </w:r>
          </w:p>
        </w:tc>
        <w:tc>
          <w:tcPr>
            <w:tcW w:type="dxa" w:w="61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735291151388  (IAM user: Alex, region: ap-south-1)</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Repository</w:t>
            </w:r>
          </w:p>
        </w:tc>
        <w:tc>
          <w:tcPr>
            <w:tcW w:type="dxa" w:w="6150"/>
            <w:tcMar>
              <w:top w:type="dxa" w:w="80"/>
              <w:left w:type="dxa" w:w="100"/>
              <w:bottom w:type="dxa" w:w="80"/>
              <w:right w:type="dxa" w:w="100"/>
            </w:tcMar>
            <w:vAlign w:val="center"/>
          </w:tcPr>
          <w:p>
            <w:pPr>
              <w:jc w:val="left"/>
            </w:pPr>
            <w:r>
              <w:rPr>
                <w:b w:val="false"/>
                <w:bCs w:val="false"/>
                <w:color w:val="222222"/>
                <w:sz w:val="19"/>
                <w:szCs w:val="19"/>
              </w:rPr>
              <w:t xml:space="preserve">github.com/meghaInfosec/Cloudguardian_Capstone</w:t>
            </w:r>
          </w:p>
        </w:tc>
      </w:tr>
      <w:tr>
        <w:tc>
          <w:tcPr>
            <w:tcW w:type="dxa" w:w="32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Report Date</w:t>
            </w:r>
          </w:p>
        </w:tc>
        <w:tc>
          <w:tcPr>
            <w:tcW w:type="dxa" w:w="61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27 July 2026</w:t>
            </w:r>
          </w:p>
        </w:tc>
      </w:tr>
    </w:tbl>
    <w:p>
      <w:pPr>
        <w:spacing w:before="500"/>
      </w:pPr>
    </w:p>
    <w:p>
      <w:r>
        <w:br w:type="page"/>
      </w:r>
    </w:p>
    <w:p>
      <w:pPr>
        <w:pStyle w:val="Heading1"/>
        <w:pBdr>
          <w:bottom w:val="single" w:color="0E7C7B" w:sz="6" w:space="4"/>
        </w:pBdr>
        <w:spacing w:after="160" w:before="360"/>
      </w:pPr>
      <w:r>
        <w:rPr>
          <w:b/>
          <w:bCs/>
          <w:color w:val="1B2A4A"/>
          <w:sz w:val="30"/>
          <w:szCs w:val="30"/>
        </w:rPr>
        <w:t xml:space="preserve">1. Executive Summary</w:t>
      </w:r>
    </w:p>
    <w:p>
      <w:pPr>
        <w:spacing w:after="160" w:line="276"/>
      </w:pPr>
      <w:r>
        <w:rPr>
          <w:color w:val="222222"/>
          <w:sz w:val="21"/>
          <w:szCs w:val="21"/>
        </w:rPr>
        <w:t xml:space="preserve">CloudGuardian is a three-week, team-mode capstone that builds a complete Cloud Security Posture Management (CSPM) lifecycle across two cloud providers: deploy a realistic 3-tier workload, deliberately break it with documented misconfigurations, detect the breakage with three independent open-source scanners, prioritize the resulting findings with a machine-learning model, explain each high-priority finding in plain English using a retrieval-grounded LLM, and finally remediate the safe subset of findings automatically — with a human-approval gate for anything higher-risk. The project closes with a compliance crosswalk mapping every finding to ISO 27001:2022, HIPAA, CIS Controls v8, and India's DPDP Act 2023.</w:t>
      </w:r>
    </w:p>
    <w:p>
      <w:pPr>
        <w:spacing w:after="160" w:line="276"/>
      </w:pPr>
      <w:r>
        <w:rPr>
          <w:color w:val="222222"/>
          <w:sz w:val="21"/>
          <w:szCs w:val="21"/>
        </w:rPr>
        <w:t xml:space="preserve">Across the three weeks the team deployed parallel AWS and Azure baselines, injected 12 deliberate misconfigurations (M01–M12) into the AWS estate, and ran Prowler v4, ScoutSuite, and Steampipe against both clouds before and after each change. The three scanners' output was normalized into a single schema of 729 consolidated findings (496 AWS, 233 Azure). A RandomForest classifier — rebalanced with SMOTE to correct for a severe class imbalance in the HIGH-severity bucket — reached 92.6% cross-validated accuracy and lifted HIGH-class precision from 20.0% to 100.0%. The top 15 priority findings were then routed through a dual-verification RAG pipeline (NVIDIA NIM, meta/llama-3.1-8b-instruct) that produced a 2-line, plain-English fix for each — 14 of 15 (93%) verified automatically against the raw scanner data, with the remainder correctly flagged for human review. An OWASP LLM06-aligned redaction engine stripped 167 sensitive identifiers across 13 categories before any text reached the LLM.</w:t>
      </w:r>
    </w:p>
    <w:p>
      <w:pPr>
        <w:spacing w:after="160" w:line="276"/>
      </w:pPr>
      <w:r>
        <w:rPr>
          <w:color w:val="222222"/>
          <w:sz w:val="21"/>
          <w:szCs w:val="21"/>
        </w:rPr>
        <w:t xml:space="preserve">In Week 3, the team built and live-tested two remediation tracks on AWS: a human-invoked semi-automatic track (three Lambda functions covering S3 public access, IAM key rotation, and default encryption) and a fully event-driven, human-approval-gated pipeline built on SNS, Step Functions, API Gateway, and Lambda. The approval-gated pipeline was exercised end-to-end against a real S3 bucket and confirmed via CloudWatch logs and an independent AWS CLI check. Before/after Prowler rescans provide honest, non-cherry-picked evidence of what the automation did and did not fix.</w:t>
      </w:r>
    </w:p>
    <w:p>
      <w:pPr>
        <w:pBdr>
          <w:left w:val="single" w:color="0E7C7B" w:sz="24" w:space="8"/>
        </w:pBdr>
        <w:shd w:fill="E6F2F1" w:color="auto" w:val="clear"/>
        <w:spacing w:after="200" w:before="100"/>
        <w:ind w:left="100"/>
      </w:pPr>
      <w:r>
        <w:rPr>
          <w:color w:val="222222"/>
          <w:sz w:val="20"/>
          <w:szCs w:val="20"/>
        </w:rPr>
        <w:t xml:space="preserve">All findings in this report — including the Week 3 before/after comparison that shows a control the automation did not move the needle on — are reported as observed. Where a fix did not change a PASS/FAIL outcome, that is stated explicitly rather than implied otherwise.</w:t>
      </w:r>
    </w:p>
    <w:p>
      <w:pPr>
        <w:pStyle w:val="Heading1"/>
        <w:pBdr>
          <w:bottom w:val="single" w:color="0E7C7B" w:sz="6" w:space="4"/>
        </w:pBdr>
        <w:spacing w:after="160" w:before="360"/>
      </w:pPr>
      <w:r>
        <w:rPr>
          <w:b/>
          <w:bCs/>
          <w:color w:val="1B2A4A"/>
          <w:sz w:val="30"/>
          <w:szCs w:val="30"/>
        </w:rPr>
        <w:t xml:space="preserve">Table of Contents</w:t>
      </w:r>
    </w:p>
    <w:p>
      <w:pPr>
        <w:spacing w:after="60"/>
      </w:pPr>
      <w:r>
        <w:rPr>
          <w:sz w:val="21"/>
          <w:szCs w:val="21"/>
        </w:rPr>
        <w:t xml:space="preserve">1. Executive Summary</w:t>
      </w:r>
    </w:p>
    <w:p>
      <w:pPr>
        <w:spacing w:after="60"/>
      </w:pPr>
      <w:r>
        <w:rPr>
          <w:sz w:val="21"/>
          <w:szCs w:val="21"/>
        </w:rPr>
        <w:t xml:space="preserve">2. Problem Statement &amp; Project Objectives</w:t>
      </w:r>
    </w:p>
    <w:p>
      <w:pPr>
        <w:spacing w:after="60"/>
      </w:pPr>
      <w:r>
        <w:rPr>
          <w:sz w:val="21"/>
          <w:szCs w:val="21"/>
        </w:rPr>
        <w:t xml:space="preserve">3. Team, Scope &amp; Governance Model</w:t>
      </w:r>
    </w:p>
    <w:p>
      <w:pPr>
        <w:spacing w:after="60"/>
      </w:pPr>
      <w:r>
        <w:rPr>
          <w:sz w:val="21"/>
          <w:szCs w:val="21"/>
        </w:rPr>
        <w:t xml:space="preserve">4. Technology Stack</w:t>
      </w:r>
    </w:p>
    <w:p>
      <w:pPr>
        <w:spacing w:after="60"/>
      </w:pPr>
      <w:r>
        <w:rPr>
          <w:sz w:val="21"/>
          <w:szCs w:val="21"/>
        </w:rPr>
        <w:t xml:space="preserve">5. Methodology</w:t>
      </w:r>
    </w:p>
    <w:p>
      <w:pPr>
        <w:spacing w:after="60"/>
      </w:pPr>
      <w:r>
        <w:rPr>
          <w:sz w:val="21"/>
          <w:szCs w:val="21"/>
        </w:rPr>
        <w:t xml:space="preserve">   5.1  Week 1 — Build and Break</w:t>
      </w:r>
    </w:p>
    <w:p>
      <w:pPr>
        <w:spacing w:after="60"/>
      </w:pPr>
      <w:r>
        <w:rPr>
          <w:sz w:val="21"/>
          <w:szCs w:val="21"/>
        </w:rPr>
        <w:t xml:space="preserve">   5.2  Week 2 — Detect and Prioritize</w:t>
      </w:r>
    </w:p>
    <w:p>
      <w:pPr>
        <w:spacing w:after="60"/>
      </w:pPr>
      <w:r>
        <w:rPr>
          <w:sz w:val="21"/>
          <w:szCs w:val="21"/>
        </w:rPr>
        <w:t xml:space="preserve">   5.3  Week 3 — Remediate and Govern</w:t>
      </w:r>
    </w:p>
    <w:p>
      <w:pPr>
        <w:spacing w:after="60"/>
      </w:pPr>
      <w:r>
        <w:rPr>
          <w:sz w:val="21"/>
          <w:szCs w:val="21"/>
        </w:rPr>
        <w:t xml:space="preserve">6. Results — Detection &amp; Prioritization</w:t>
      </w:r>
    </w:p>
    <w:p>
      <w:pPr>
        <w:spacing w:after="60"/>
      </w:pPr>
      <w:r>
        <w:rPr>
          <w:sz w:val="21"/>
          <w:szCs w:val="21"/>
        </w:rPr>
        <w:t xml:space="preserve">7. Results — GenAI Remediation Guidance &amp; Privacy Safeguards</w:t>
      </w:r>
    </w:p>
    <w:p>
      <w:pPr>
        <w:spacing w:after="60"/>
      </w:pPr>
      <w:r>
        <w:rPr>
          <w:sz w:val="21"/>
          <w:szCs w:val="21"/>
        </w:rPr>
        <w:t xml:space="preserve">8. Auto-Remediation Implementation</w:t>
      </w:r>
    </w:p>
    <w:p>
      <w:pPr>
        <w:spacing w:after="60"/>
      </w:pPr>
      <w:r>
        <w:rPr>
          <w:sz w:val="21"/>
          <w:szCs w:val="21"/>
        </w:rPr>
        <w:t xml:space="preserve">9. Live Testing &amp; Before/After Evidence</w:t>
      </w:r>
    </w:p>
    <w:p>
      <w:pPr>
        <w:spacing w:after="60"/>
      </w:pPr>
      <w:r>
        <w:rPr>
          <w:sz w:val="21"/>
          <w:szCs w:val="21"/>
        </w:rPr>
        <w:t xml:space="preserve">10. Compliance Crosswalk</w:t>
      </w:r>
    </w:p>
    <w:p>
      <w:pPr>
        <w:spacing w:after="60"/>
      </w:pPr>
      <w:r>
        <w:rPr>
          <w:sz w:val="21"/>
          <w:szCs w:val="21"/>
        </w:rPr>
        <w:t xml:space="preserve">11. Safety, Governance &amp; Design Principles</w:t>
      </w:r>
    </w:p>
    <w:p>
      <w:pPr>
        <w:spacing w:after="60"/>
      </w:pPr>
      <w:r>
        <w:rPr>
          <w:sz w:val="21"/>
          <w:szCs w:val="21"/>
        </w:rPr>
        <w:t xml:space="preserve">12. Deployment Journey — Issues Encountered and Fixes</w:t>
      </w:r>
    </w:p>
    <w:p>
      <w:pPr>
        <w:spacing w:after="60"/>
      </w:pPr>
      <w:r>
        <w:rPr>
          <w:sz w:val="21"/>
          <w:szCs w:val="21"/>
        </w:rPr>
        <w:t xml:space="preserve">13. Evaluation Against the Capstone Rubric</w:t>
      </w:r>
    </w:p>
    <w:p>
      <w:pPr>
        <w:spacing w:after="60"/>
      </w:pPr>
      <w:r>
        <w:rPr>
          <w:sz w:val="21"/>
          <w:szCs w:val="21"/>
        </w:rPr>
        <w:t xml:space="preserve">14. LLM Usage Disclosure</w:t>
      </w:r>
    </w:p>
    <w:p>
      <w:pPr>
        <w:spacing w:after="60"/>
      </w:pPr>
      <w:r>
        <w:rPr>
          <w:sz w:val="21"/>
          <w:szCs w:val="21"/>
        </w:rPr>
        <w:t xml:space="preserve">15. Conclusion &amp; Future Work</w:t>
      </w:r>
    </w:p>
    <w:p>
      <w:pPr>
        <w:spacing w:after="60"/>
      </w:pPr>
      <w:r>
        <w:rPr>
          <w:sz w:val="21"/>
          <w:szCs w:val="21"/>
        </w:rPr>
        <w:t xml:space="preserve">16. References</w:t>
      </w:r>
    </w:p>
    <w:p>
      <w:pPr>
        <w:spacing w:after="60"/>
      </w:pPr>
      <w:r>
        <w:rPr>
          <w:sz w:val="21"/>
          <w:szCs w:val="21"/>
        </w:rPr>
        <w:t xml:space="preserve">Appendix A — Misconfiguration Catalogue (M01–M12)</w:t>
      </w:r>
    </w:p>
    <w:p>
      <w:pPr>
        <w:spacing w:after="60"/>
      </w:pPr>
      <w:r>
        <w:rPr>
          <w:sz w:val="21"/>
          <w:szCs w:val="21"/>
        </w:rPr>
        <w:t xml:space="preserve">Appendix B — AWS Resource Inventory</w:t>
      </w:r>
    </w:p>
    <w:p>
      <w:r>
        <w:br w:type="page"/>
      </w:r>
    </w:p>
    <w:p>
      <w:pPr>
        <w:pStyle w:val="Heading1"/>
        <w:pBdr>
          <w:bottom w:val="single" w:color="0E7C7B" w:sz="6" w:space="4"/>
        </w:pBdr>
        <w:spacing w:after="160" w:before="360"/>
      </w:pPr>
      <w:r>
        <w:rPr>
          <w:b/>
          <w:bCs/>
          <w:color w:val="1B2A4A"/>
          <w:sz w:val="30"/>
          <w:szCs w:val="30"/>
        </w:rPr>
        <w:t xml:space="preserve">2. Problem Statement &amp; Project Objectives</w:t>
      </w:r>
    </w:p>
    <w:p>
      <w:pPr>
        <w:spacing w:after="160" w:line="276"/>
      </w:pPr>
      <w:r>
        <w:rPr>
          <w:color w:val="222222"/>
          <w:sz w:val="21"/>
          <w:szCs w:val="21"/>
        </w:rPr>
        <w:t xml:space="preserve">A health-tech scale-up keeps failing ISO 27001 audits because the same misconfigurations reappear every sprint: public storage buckets, over-privileged IAM roles, unencrypted databases, and missing logging — across both its AWS and Azure estates. The organization needs continuous CSPM with safe auto-remediation for a small set of fixes, and a risk-prioritized backlog for everything else. CloudGuardian simulates this scenario end-to-end:</w:t>
      </w:r>
    </w:p>
    <w:p>
      <w:pPr>
        <w:pBdr>
          <w:left w:val="single" w:color="1B2A4A" w:sz="24" w:space="8"/>
        </w:pBdr>
        <w:shd w:fill="E6F2F1" w:color="auto" w:val="clear"/>
        <w:spacing w:after="200" w:before="100"/>
        <w:ind w:left="100"/>
      </w:pPr>
      <w:r>
        <w:rPr>
          <w:color w:val="222222"/>
          <w:sz w:val="20"/>
          <w:szCs w:val="20"/>
        </w:rPr>
        <w:t xml:space="preserve">Deploy → Misconfigure → Detect (3 tools × 2 clouds) → Prioritize (ML) → Explain (RAG/LLM) → Remediate (human-approved &amp; fully automated) → Govern (compliance crosswalk)</w:t>
      </w:r>
    </w:p>
    <w:p>
      <w:pPr>
        <w:pStyle w:val="Heading3"/>
        <w:spacing w:after="100" w:before="200"/>
      </w:pPr>
      <w:r>
        <w:rPr>
          <w:b/>
          <w:bCs/>
          <w:color w:val="0E7C7B"/>
          <w:sz w:val="22"/>
          <w:szCs w:val="22"/>
        </w:rPr>
        <w:t xml:space="preserve">Key Learning Outcomes</w:t>
      </w:r>
    </w:p>
    <w:p>
      <w:pPr>
        <w:pStyle w:val="ListParagraph"/>
        <w:numPr>
          <w:ilvl w:val="0"/>
          <w:numId w:val="1"/>
        </w:numPr>
        <w:spacing w:after="80" w:line="264"/>
      </w:pPr>
      <w:r>
        <w:rPr>
          <w:color w:val="222222"/>
          <w:sz w:val="21"/>
          <w:szCs w:val="21"/>
        </w:rPr>
        <w:t xml:space="preserve">Understand the shared-responsibility model and CIS Benchmarks for AWS and Azure.</w:t>
      </w:r>
    </w:p>
    <w:p>
      <w:pPr>
        <w:pStyle w:val="ListParagraph"/>
        <w:numPr>
          <w:ilvl w:val="0"/>
          <w:numId w:val="1"/>
        </w:numPr>
        <w:spacing w:after="80" w:line="264"/>
      </w:pPr>
      <w:r>
        <w:rPr>
          <w:color w:val="222222"/>
          <w:sz w:val="21"/>
          <w:szCs w:val="21"/>
        </w:rPr>
        <w:t xml:space="preserve">Run open-source CSPM tools and consolidate their findings into one normalized schema.</w:t>
      </w:r>
    </w:p>
    <w:p>
      <w:pPr>
        <w:pStyle w:val="ListParagraph"/>
        <w:numPr>
          <w:ilvl w:val="0"/>
          <w:numId w:val="1"/>
        </w:numPr>
        <w:spacing w:after="80" w:line="264"/>
      </w:pPr>
      <w:r>
        <w:rPr>
          <w:color w:val="222222"/>
          <w:sz w:val="21"/>
          <w:szCs w:val="21"/>
        </w:rPr>
        <w:t xml:space="preserve">Build a defensible, ML-based prioritization model.</w:t>
      </w:r>
    </w:p>
    <w:p>
      <w:pPr>
        <w:pStyle w:val="ListParagraph"/>
        <w:numPr>
          <w:ilvl w:val="0"/>
          <w:numId w:val="1"/>
        </w:numPr>
        <w:spacing w:after="80" w:line="264"/>
      </w:pPr>
      <w:r>
        <w:rPr>
          <w:color w:val="222222"/>
          <w:sz w:val="21"/>
          <w:szCs w:val="21"/>
        </w:rPr>
        <w:t xml:space="preserve">Use an LLM to generate plain-English remediation guidance — disclosed and verified, not hallucinated.</w:t>
      </w:r>
    </w:p>
    <w:p>
      <w:pPr>
        <w:pStyle w:val="ListParagraph"/>
        <w:numPr>
          <w:ilvl w:val="0"/>
          <w:numId w:val="1"/>
        </w:numPr>
        <w:spacing w:after="80" w:line="264"/>
      </w:pPr>
      <w:r>
        <w:rPr>
          <w:color w:val="222222"/>
          <w:sz w:val="21"/>
          <w:szCs w:val="21"/>
        </w:rPr>
        <w:t xml:space="preserve">Build event-driven auto-remediation with safety guardrails and a human-approval gate.</w:t>
      </w:r>
    </w:p>
    <w:p>
      <w:pPr>
        <w:pStyle w:val="Heading1"/>
        <w:pBdr>
          <w:bottom w:val="single" w:color="0E7C7B" w:sz="6" w:space="4"/>
        </w:pBdr>
        <w:spacing w:after="160" w:before="360"/>
      </w:pPr>
      <w:r>
        <w:rPr>
          <w:b/>
          <w:bCs/>
          <w:color w:val="1B2A4A"/>
          <w:sz w:val="30"/>
          <w:szCs w:val="30"/>
        </w:rPr>
        <w:t xml:space="preserve">3. Team, Scope &amp; Governance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B2A4A" w:color="auto" w:val="clear"/>
            <w:tcMar>
              <w:top w:type="dxa" w:w="80"/>
              <w:left w:type="dxa" w:w="100"/>
              <w:bottom w:type="dxa" w:w="80"/>
              <w:right w:type="dxa" w:w="100"/>
            </w:tcMar>
            <w:vAlign w:val="center"/>
          </w:tcPr>
          <w:p>
            <w:pPr>
              <w:jc w:val="center"/>
            </w:pPr>
            <w:r>
              <w:rPr>
                <w:b/>
                <w:bCs/>
                <w:color w:val="FFFFFF"/>
                <w:sz w:val="19"/>
                <w:szCs w:val="19"/>
              </w:rPr>
              <w:t xml:space="preserve">Field</w:t>
            </w:r>
          </w:p>
        </w:tc>
        <w:tc>
          <w:tcPr>
            <w:tcW w:type="dxa" w:w="6150"/>
            <w:shd w:fill="1B2A4A" w:color="auto" w:val="clear"/>
            <w:tcMar>
              <w:top w:type="dxa" w:w="80"/>
              <w:left w:type="dxa" w:w="100"/>
              <w:bottom w:type="dxa" w:w="80"/>
              <w:right w:type="dxa" w:w="100"/>
            </w:tcMar>
            <w:vAlign w:val="center"/>
          </w:tcPr>
          <w:p>
            <w:pPr>
              <w:jc w:val="center"/>
            </w:pPr>
            <w:r>
              <w:rPr>
                <w:b/>
                <w:bCs/>
                <w:color w:val="FFFFFF"/>
                <w:sz w:val="19"/>
                <w:szCs w:val="19"/>
              </w:rPr>
              <w:t xml:space="preserve">Detail</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Project</w:t>
            </w:r>
          </w:p>
        </w:tc>
        <w:tc>
          <w:tcPr>
            <w:tcW w:type="dxa" w:w="6150"/>
            <w:tcMar>
              <w:top w:type="dxa" w:w="80"/>
              <w:left w:type="dxa" w:w="100"/>
              <w:bottom w:type="dxa" w:w="80"/>
              <w:right w:type="dxa" w:w="100"/>
            </w:tcMar>
            <w:vAlign w:val="center"/>
          </w:tcPr>
          <w:p>
            <w:pPr>
              <w:jc w:val="left"/>
            </w:pPr>
            <w:r>
              <w:rPr>
                <w:b w:val="false"/>
                <w:bCs w:val="false"/>
                <w:color w:val="222222"/>
                <w:sz w:val="19"/>
                <w:szCs w:val="19"/>
              </w:rPr>
              <w:t xml:space="preserve">CloudGuardian (CAP-CSE-3W)</w:t>
            </w:r>
          </w:p>
        </w:tc>
      </w:tr>
      <w:tr>
        <w:tc>
          <w:tcPr>
            <w:tcW w:type="dxa" w:w="32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Program</w:t>
            </w:r>
          </w:p>
        </w:tc>
        <w:tc>
          <w:tcPr>
            <w:tcW w:type="dxa" w:w="61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IIT Roorkee × Futurense — PG Certificate in AI/GenAI Powered Cybersecurity, Cohort 2025–26</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Mode</w:t>
            </w:r>
          </w:p>
        </w:tc>
        <w:tc>
          <w:tcPr>
            <w:tcW w:type="dxa" w:w="6150"/>
            <w:tcMar>
              <w:top w:type="dxa" w:w="80"/>
              <w:left w:type="dxa" w:w="100"/>
              <w:bottom w:type="dxa" w:w="80"/>
              <w:right w:type="dxa" w:w="100"/>
            </w:tcMar>
            <w:vAlign w:val="center"/>
          </w:tcPr>
          <w:p>
            <w:pPr>
              <w:jc w:val="left"/>
            </w:pPr>
            <w:r>
              <w:rPr>
                <w:b w:val="false"/>
                <w:bCs w:val="false"/>
                <w:color w:val="222222"/>
                <w:sz w:val="19"/>
                <w:szCs w:val="19"/>
              </w:rPr>
              <w:t xml:space="preserve">Team (2–4 members) — full team scope: two clouds, 12+ misconfigurations, 4 remediations, 4 compliance frameworks</w:t>
            </w:r>
          </w:p>
        </w:tc>
      </w:tr>
      <w:tr>
        <w:tc>
          <w:tcPr>
            <w:tcW w:type="dxa" w:w="32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Team</w:t>
            </w:r>
          </w:p>
        </w:tc>
        <w:tc>
          <w:tcPr>
            <w:tcW w:type="dxa" w:w="61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Megha Sharma — Web Application Co-Lead (CSPM pipeline, ML prioritization, RAG remediation, Streamlit app, Week 3 auto-remediation)
Vinay Kumar — Web Application Security Lead
Kedar Pavaskar — Threat Modelling Lead</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AWS Account</w:t>
            </w:r>
          </w:p>
        </w:tc>
        <w:tc>
          <w:tcPr>
            <w:tcW w:type="dxa" w:w="6150"/>
            <w:tcMar>
              <w:top w:type="dxa" w:w="80"/>
              <w:left w:type="dxa" w:w="100"/>
              <w:bottom w:type="dxa" w:w="80"/>
              <w:right w:type="dxa" w:w="100"/>
            </w:tcMar>
            <w:vAlign w:val="center"/>
          </w:tcPr>
          <w:p>
            <w:pPr>
              <w:jc w:val="left"/>
            </w:pPr>
            <w:r>
              <w:rPr>
                <w:b w:val="false"/>
                <w:bCs w:val="false"/>
                <w:color w:val="222222"/>
                <w:sz w:val="19"/>
                <w:szCs w:val="19"/>
              </w:rPr>
              <w:t xml:space="preserve">735291151388, region ap-south-1, IAM user "Alex"</w:t>
            </w:r>
          </w:p>
        </w:tc>
      </w:tr>
      <w:tr>
        <w:tc>
          <w:tcPr>
            <w:tcW w:type="dxa" w:w="32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Operating environment</w:t>
            </w:r>
          </w:p>
        </w:tc>
        <w:tc>
          <w:tcPr>
            <w:tcW w:type="dxa" w:w="61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Kali Linux (VirtualBox), operated as the kali user — never root</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Duration</w:t>
            </w:r>
          </w:p>
        </w:tc>
        <w:tc>
          <w:tcPr>
            <w:tcW w:type="dxa" w:w="6150"/>
            <w:tcMar>
              <w:top w:type="dxa" w:w="80"/>
              <w:left w:type="dxa" w:w="100"/>
              <w:bottom w:type="dxa" w:w="80"/>
              <w:right w:type="dxa" w:w="100"/>
            </w:tcMar>
            <w:vAlign w:val="center"/>
          </w:tcPr>
          <w:p>
            <w:pPr>
              <w:jc w:val="left"/>
            </w:pPr>
            <w:r>
              <w:rPr>
                <w:b w:val="false"/>
                <w:bCs w:val="false"/>
                <w:color w:val="222222"/>
                <w:sz w:val="19"/>
                <w:szCs w:val="19"/>
              </w:rPr>
              <w:t xml:space="preserve">3 weeks (~35–40 hours), defense date 25 July 2026</w:t>
            </w:r>
          </w:p>
        </w:tc>
      </w:tr>
    </w:tbl>
    <w:p>
      <w:pPr>
        <w:pStyle w:val="Heading1"/>
        <w:pBdr>
          <w:bottom w:val="single" w:color="0E7C7B" w:sz="6" w:space="4"/>
        </w:pBdr>
        <w:spacing w:after="160" w:before="360"/>
      </w:pPr>
      <w:r>
        <w:rPr>
          <w:b/>
          <w:bCs/>
          <w:color w:val="1B2A4A"/>
          <w:sz w:val="30"/>
          <w:szCs w:val="30"/>
        </w:rPr>
        <w:t xml:space="preserve">4.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B2A4A" w:color="auto" w:val="clear"/>
            <w:tcMar>
              <w:top w:type="dxa" w:w="80"/>
              <w:left w:type="dxa" w:w="100"/>
              <w:bottom w:type="dxa" w:w="80"/>
              <w:right w:type="dxa" w:w="100"/>
            </w:tcMar>
            <w:vAlign w:val="center"/>
          </w:tcPr>
          <w:p>
            <w:pPr>
              <w:jc w:val="center"/>
            </w:pPr>
            <w:r>
              <w:rPr>
                <w:b/>
                <w:bCs/>
                <w:color w:val="FFFFFF"/>
                <w:sz w:val="19"/>
                <w:szCs w:val="19"/>
              </w:rPr>
              <w:t xml:space="preserve">Layer</w:t>
            </w:r>
          </w:p>
        </w:tc>
        <w:tc>
          <w:tcPr>
            <w:tcW w:type="dxa" w:w="6150"/>
            <w:shd w:fill="1B2A4A" w:color="auto" w:val="clear"/>
            <w:tcMar>
              <w:top w:type="dxa" w:w="80"/>
              <w:left w:type="dxa" w:w="100"/>
              <w:bottom w:type="dxa" w:w="80"/>
              <w:right w:type="dxa" w:w="100"/>
            </w:tcMar>
            <w:vAlign w:val="center"/>
          </w:tcPr>
          <w:p>
            <w:pPr>
              <w:jc w:val="center"/>
            </w:pPr>
            <w:r>
              <w:rPr>
                <w:b/>
                <w:bCs/>
                <w:color w:val="FFFFFF"/>
                <w:sz w:val="19"/>
                <w:szCs w:val="19"/>
              </w:rPr>
              <w:t xml:space="preserve">Tools</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Cloud</w:t>
            </w:r>
          </w:p>
        </w:tc>
        <w:tc>
          <w:tcPr>
            <w:tcW w:type="dxa" w:w="6150"/>
            <w:tcMar>
              <w:top w:type="dxa" w:w="80"/>
              <w:left w:type="dxa" w:w="100"/>
              <w:bottom w:type="dxa" w:w="80"/>
              <w:right w:type="dxa" w:w="100"/>
            </w:tcMar>
            <w:vAlign w:val="center"/>
          </w:tcPr>
          <w:p>
            <w:pPr>
              <w:jc w:val="left"/>
            </w:pPr>
            <w:r>
              <w:rPr>
                <w:b w:val="false"/>
                <w:bCs w:val="false"/>
                <w:color w:val="222222"/>
                <w:sz w:val="19"/>
                <w:szCs w:val="19"/>
              </w:rPr>
              <w:t xml:space="preserve">AWS Free Tier (primary) · Azure (cross-cloud validation)</w:t>
            </w:r>
          </w:p>
        </w:tc>
      </w:tr>
      <w:tr>
        <w:tc>
          <w:tcPr>
            <w:tcW w:type="dxa" w:w="32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IaC</w:t>
            </w:r>
          </w:p>
        </w:tc>
        <w:tc>
          <w:tcPr>
            <w:tcW w:type="dxa" w:w="61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Terraform</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CSPM Scanners</w:t>
            </w:r>
          </w:p>
        </w:tc>
        <w:tc>
          <w:tcPr>
            <w:tcW w:type="dxa" w:w="6150"/>
            <w:tcMar>
              <w:top w:type="dxa" w:w="80"/>
              <w:left w:type="dxa" w:w="100"/>
              <w:bottom w:type="dxa" w:w="80"/>
              <w:right w:type="dxa" w:w="100"/>
            </w:tcMar>
            <w:vAlign w:val="center"/>
          </w:tcPr>
          <w:p>
            <w:pPr>
              <w:jc w:val="left"/>
            </w:pPr>
            <w:r>
              <w:rPr>
                <w:b w:val="false"/>
                <w:bCs w:val="false"/>
                <w:color w:val="222222"/>
                <w:sz w:val="19"/>
                <w:szCs w:val="19"/>
              </w:rPr>
              <w:t xml:space="preserve">Prowler v4 (primary, 50+ compliance frameworks) · ScoutSuite (cross-check) · Steampipe (targeted SQL queries)</w:t>
            </w:r>
          </w:p>
        </w:tc>
      </w:tr>
      <w:tr>
        <w:tc>
          <w:tcPr>
            <w:tcW w:type="dxa" w:w="32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ML / Prioritization</w:t>
            </w:r>
          </w:p>
        </w:tc>
        <w:tc>
          <w:tcPr>
            <w:tcW w:type="dxa" w:w="61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Python · pandas · scikit-learn · RandomForest + SMOTE (class-imbalance handling)</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GenAI / RAG</w:t>
            </w:r>
          </w:p>
        </w:tc>
        <w:tc>
          <w:tcPr>
            <w:tcW w:type="dxa" w:w="6150"/>
            <w:tcMar>
              <w:top w:type="dxa" w:w="80"/>
              <w:left w:type="dxa" w:w="100"/>
              <w:bottom w:type="dxa" w:w="80"/>
              <w:right w:type="dxa" w:w="100"/>
            </w:tcMar>
            <w:vAlign w:val="center"/>
          </w:tcPr>
          <w:p>
            <w:pPr>
              <w:jc w:val="left"/>
            </w:pPr>
            <w:r>
              <w:rPr>
                <w:b w:val="false"/>
                <w:bCs w:val="false"/>
                <w:color w:val="222222"/>
                <w:sz w:val="19"/>
                <w:szCs w:val="19"/>
              </w:rPr>
              <w:t xml:space="preserve">NVIDIA NIM API (meta/llama-3.1-8b-instruct) · TF-IDF + embedding retrieval over a compliance knowledge base</w:t>
            </w:r>
          </w:p>
        </w:tc>
      </w:tr>
      <w:tr>
        <w:tc>
          <w:tcPr>
            <w:tcW w:type="dxa" w:w="32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AI Safety</w:t>
            </w:r>
          </w:p>
        </w:tc>
        <w:tc>
          <w:tcPr>
            <w:tcW w:type="dxa" w:w="61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OWASP LLM06-compliant redaction engine (strips keys, ARNs, IPs, resource IDs before any LLM call)</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Auto-Remediation</w:t>
            </w:r>
          </w:p>
        </w:tc>
        <w:tc>
          <w:tcPr>
            <w:tcW w:type="dxa" w:w="6150"/>
            <w:tcMar>
              <w:top w:type="dxa" w:w="80"/>
              <w:left w:type="dxa" w:w="100"/>
              <w:bottom w:type="dxa" w:w="80"/>
              <w:right w:type="dxa" w:w="100"/>
            </w:tcMar>
            <w:vAlign w:val="center"/>
          </w:tcPr>
          <w:p>
            <w:pPr>
              <w:jc w:val="left"/>
            </w:pPr>
            <w:r>
              <w:rPr>
                <w:b w:val="false"/>
                <w:bCs w:val="false"/>
                <w:color w:val="222222"/>
                <w:sz w:val="19"/>
                <w:szCs w:val="19"/>
              </w:rPr>
              <w:t xml:space="preserve">AWS Lambda · Step Functions · SNS · API Gateway · DynamoDB (human-approval gate)</w:t>
            </w:r>
          </w:p>
        </w:tc>
      </w:tr>
      <w:tr>
        <w:tc>
          <w:tcPr>
            <w:tcW w:type="dxa" w:w="32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App / Reporting</w:t>
            </w:r>
          </w:p>
        </w:tc>
        <w:tc>
          <w:tcPr>
            <w:tcW w:type="dxa" w:w="61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Streamlit · Jupyter Notebook · Markdown / DOCX / PDF</w:t>
            </w:r>
          </w:p>
        </w:tc>
      </w:tr>
    </w:tbl>
    <w:p>
      <w:r>
        <w:br w:type="page"/>
      </w:r>
    </w:p>
    <w:p>
      <w:pPr>
        <w:pStyle w:val="Heading1"/>
        <w:pBdr>
          <w:bottom w:val="single" w:color="0E7C7B" w:sz="6" w:space="4"/>
        </w:pBdr>
        <w:spacing w:after="160" w:before="360"/>
      </w:pPr>
      <w:r>
        <w:rPr>
          <w:b/>
          <w:bCs/>
          <w:color w:val="1B2A4A"/>
          <w:sz w:val="30"/>
          <w:szCs w:val="30"/>
        </w:rPr>
        <w:t xml:space="preserve">5. Methodology</w:t>
      </w:r>
    </w:p>
    <w:p>
      <w:pPr>
        <w:spacing w:after="160" w:line="276"/>
      </w:pPr>
      <w:r>
        <w:rPr>
          <w:color w:val="222222"/>
          <w:sz w:val="21"/>
          <w:szCs w:val="21"/>
        </w:rPr>
        <w:t xml:space="preserve">The project followed the 3-week phased plan defined in the capstone brief, with each week's folder in the repository mapping directly to a graded deliverable.</w:t>
      </w:r>
    </w:p>
    <w:p>
      <w:pPr>
        <w:pStyle w:val="Heading2"/>
        <w:spacing w:after="120" w:before="280"/>
      </w:pPr>
      <w:r>
        <w:rPr>
          <w:b/>
          <w:bCs/>
          <w:color w:val="1B2A4A"/>
          <w:sz w:val="25"/>
          <w:szCs w:val="25"/>
        </w:rPr>
        <w:t xml:space="preserve">5.1  Week 1 — Build and Break</w:t>
      </w:r>
    </w:p>
    <w:p>
      <w:pPr>
        <w:spacing w:after="160" w:line="276"/>
      </w:pPr>
      <w:r>
        <w:rPr>
          <w:color w:val="222222"/>
          <w:sz w:val="21"/>
          <w:szCs w:val="21"/>
        </w:rPr>
        <w:t xml:space="preserve">Goal: deploy infrastructure on two clouds, document the baseline security posture, and introduce a controlled set of misconfigurations.</w:t>
      </w:r>
    </w:p>
    <w:p>
      <w:pPr>
        <w:pStyle w:val="ListParagraph"/>
        <w:numPr>
          <w:ilvl w:val="0"/>
          <w:numId w:val="1"/>
        </w:numPr>
        <w:spacing w:after="80" w:line="264"/>
      </w:pPr>
      <w:r>
        <w:rPr>
          <w:color w:val="222222"/>
          <w:sz w:val="21"/>
          <w:szCs w:val="21"/>
        </w:rPr>
        <w:t xml:space="preserve">Deployed a clean 3-tier reference workload via Terraform on AWS (VPC, public + private subnets, EC2 web tier, RDS MySQL, S3 bucket, IAM roles) in ap-south-1, and a mirrored workload on Azure (compute, storage, database, network, IAM) for cross-cloud comparison.</w:t>
      </w:r>
    </w:p>
    <w:p>
      <w:pPr>
        <w:pStyle w:val="ListParagraph"/>
        <w:numPr>
          <w:ilvl w:val="0"/>
          <w:numId w:val="1"/>
        </w:numPr>
        <w:spacing w:after="80" w:line="264"/>
      </w:pPr>
      <w:r>
        <w:rPr>
          <w:color w:val="222222"/>
          <w:sz w:val="21"/>
          <w:szCs w:val="21"/>
        </w:rPr>
        <w:t xml:space="preserve">Ran Prowler, ScoutSuite, and Steampipe against both clouds pre-misconfiguration to capture an honest baseline (fixed a duplicate RDS subnet-group naming conflict and an AuthFailure caused by system clock drift along the way, via chrony time sync).</w:t>
      </w:r>
    </w:p>
    <w:p>
      <w:pPr>
        <w:pStyle w:val="ListParagraph"/>
        <w:numPr>
          <w:ilvl w:val="0"/>
          <w:numId w:val="1"/>
        </w:numPr>
        <w:spacing w:after="80" w:line="264"/>
      </w:pPr>
      <w:r>
        <w:rPr>
          <w:color w:val="222222"/>
          <w:sz w:val="21"/>
          <w:szCs w:val="21"/>
        </w:rPr>
        <w:t xml:space="preserve">Introduced 12 deliberate, hand-crafted misconfigurations (M01–M12) spanning IAM, storage, networking, encryption, and logging — each with a documented baseline → misconfigured state and a real-world breach rationale (see Appendix A).</w:t>
      </w:r>
    </w:p>
    <w:p>
      <w:pPr>
        <w:pStyle w:val="ListParagraph"/>
        <w:numPr>
          <w:ilvl w:val="0"/>
          <w:numId w:val="1"/>
        </w:numPr>
        <w:spacing w:after="80" w:line="264"/>
      </w:pPr>
      <w:r>
        <w:rPr>
          <w:color w:val="222222"/>
          <w:sz w:val="21"/>
          <w:szCs w:val="21"/>
        </w:rPr>
        <w:t xml:space="preserve">Rescanned post-misconfiguration with all three tools on both clouds and confirmed all 12 injected findings via targeted Steampipe SQL queries (e.g. aws_iam_role.inline_policies_std, S3 versioning_enabled).</w:t>
      </w:r>
    </w:p>
    <w:p>
      <w:pPr>
        <w:spacing w:after="160" w:line="276"/>
      </w:pPr>
      <w:r>
        <w:rPr>
          <w:color w:val="222222"/>
          <w:sz w:val="21"/>
          <w:szCs w:val="21"/>
        </w:rPr>
        <w:t xml:space="preserve">Week 1 deliverable: Terraform code for both clouds, baseline + post-misconfig Prowler/ScoutSuite/Steampipe reports, and a misconfiguration catalogue with rationale.</w:t>
      </w:r>
    </w:p>
    <w:p>
      <w:pPr>
        <w:pStyle w:val="Heading2"/>
        <w:spacing w:after="120" w:before="280"/>
      </w:pPr>
      <w:r>
        <w:rPr>
          <w:b/>
          <w:bCs/>
          <w:color w:val="1B2A4A"/>
          <w:sz w:val="25"/>
          <w:szCs w:val="25"/>
        </w:rPr>
        <w:t xml:space="preserve">5.2  Week 2 — Detect and Prioritize</w:t>
      </w:r>
    </w:p>
    <w:p>
      <w:pPr>
        <w:spacing w:after="160" w:line="276"/>
      </w:pPr>
      <w:r>
        <w:rPr>
          <w:color w:val="222222"/>
          <w:sz w:val="21"/>
          <w:szCs w:val="21"/>
        </w:rPr>
        <w:t xml:space="preserve">Goal: consolidate all scanner output, build a defensible prioritization model, and generate LLM-based remediation guidance with verification.</w:t>
      </w:r>
    </w:p>
    <w:p>
      <w:pPr>
        <w:pStyle w:val="ListParagraph"/>
        <w:numPr>
          <w:ilvl w:val="0"/>
          <w:numId w:val="1"/>
        </w:numPr>
        <w:spacing w:after="80" w:line="264"/>
      </w:pPr>
      <w:r>
        <w:rPr>
          <w:color w:val="222222"/>
          <w:sz w:val="21"/>
          <w:szCs w:val="21"/>
        </w:rPr>
        <w:t xml:space="preserve">Consolidated Prowler (285 findings), ScoutSuite (407 findings), and Steampipe (37 findings) into a single normalized, deduplicated schema of 729 findings across AWS (496) and Azure (233), fixing along the way a cloud_provider column corruption from duplicate notebook cells, an account_id hardcoding bug, and a missing-comma bug in the redaction engine's PATTERN_ORDER.</w:t>
      </w:r>
    </w:p>
    <w:p>
      <w:pPr>
        <w:pStyle w:val="ListParagraph"/>
        <w:numPr>
          <w:ilvl w:val="0"/>
          <w:numId w:val="1"/>
        </w:numPr>
        <w:spacing w:after="80" w:line="264"/>
      </w:pPr>
      <w:r>
        <w:rPr>
          <w:color w:val="222222"/>
          <w:sz w:val="21"/>
          <w:szCs w:val="21"/>
        </w:rPr>
        <w:t xml:space="preserve">Built a rule-based priority score — Priority = CVSS × Exposure Weight × Blast Radius — with negation-aware keyword matching to avoid false severity inflation, then layered a supervised RandomForest classifier on top to bucket findings into LOW / MEDIUM / CRITICAL.</w:t>
      </w:r>
    </w:p>
    <w:p>
      <w:pPr>
        <w:pStyle w:val="ListParagraph"/>
        <w:numPr>
          <w:ilvl w:val="0"/>
          <w:numId w:val="1"/>
        </w:numPr>
        <w:spacing w:after="80" w:line="264"/>
      </w:pPr>
      <w:r>
        <w:rPr>
          <w:color w:val="222222"/>
          <w:sz w:val="21"/>
          <w:szCs w:val="21"/>
        </w:rPr>
        <w:t xml:space="preserve">Diagnosed and fixed a cross-validation bug (plain cv=5 produced unstable folds under class imbalance); replaced it with StratifiedKFold(n_splits=5, shuffle=True, random_state=42), then added a SMOTE-balanced training pass specifically to correct the model's HIGH-class precision.</w:t>
      </w:r>
    </w:p>
    <w:p>
      <w:pPr>
        <w:pStyle w:val="ListParagraph"/>
        <w:numPr>
          <w:ilvl w:val="0"/>
          <w:numId w:val="1"/>
        </w:numPr>
        <w:spacing w:after="80" w:line="264"/>
      </w:pPr>
      <w:r>
        <w:rPr>
          <w:color w:val="222222"/>
          <w:sz w:val="21"/>
          <w:szCs w:val="21"/>
        </w:rPr>
        <w:t xml:space="preserve">Built a hybrid TF-IDF + NVIDIA NIM embedding retrieval system over a compliance knowledge base (CIS AWS, AWS Well-Architected, Microsoft Cloud Security Benchmark, ISO/IEC 27001:2022, HIPAA, and India's DPDP Act 2023 — expanded from 17 to 26 sourced chunks) with a dual-verification gate: a retrieval-confidence gate, followed by embedding-similarity grounding checks (Stage A ≥ 0.55, Stage B ≥ 0.35) against the raw finding text.</w:t>
      </w:r>
    </w:p>
    <w:p>
      <w:pPr>
        <w:pStyle w:val="ListParagraph"/>
        <w:numPr>
          <w:ilvl w:val="0"/>
          <w:numId w:val="1"/>
        </w:numPr>
        <w:spacing w:after="80" w:line="264"/>
      </w:pPr>
      <w:r>
        <w:rPr>
          <w:color w:val="222222"/>
          <w:sz w:val="21"/>
          <w:szCs w:val="21"/>
        </w:rPr>
        <w:t xml:space="preserve">Built and tested an OWASP LLM06-compliant redaction engine that strips AWS keys, ARNs, IP addresses, and resource IDs from every finding before it reaches the LLM — with retry/backoff logic and truncation to prevent HTTP 400 errors on long redacted findings.</w:t>
      </w:r>
    </w:p>
    <w:p>
      <w:pPr>
        <w:pStyle w:val="ListParagraph"/>
        <w:numPr>
          <w:ilvl w:val="0"/>
          <w:numId w:val="1"/>
        </w:numPr>
        <w:spacing w:after="80" w:line="264"/>
      </w:pPr>
      <w:r>
        <w:rPr>
          <w:color w:val="222222"/>
          <w:sz w:val="21"/>
          <w:szCs w:val="21"/>
        </w:rPr>
        <w:t xml:space="preserve">Shipped a Streamlit app that runs the full pipeline (Upload → Prioritize → Classify → Redact → RAG → Export) so a security engineer can replay the pipeline on their own scanner exports.</w:t>
      </w:r>
    </w:p>
    <w:p>
      <w:pPr>
        <w:spacing w:after="160" w:line="276"/>
      </w:pPr>
      <w:r>
        <w:rPr>
          <w:color w:val="222222"/>
          <w:sz w:val="21"/>
          <w:szCs w:val="21"/>
        </w:rPr>
        <w:t xml:space="preserve">Week 2 deliverable: consolidated findings database (CSV/JSON), prioritization + ML notebook, LLM prompt library with verification notes, and the Streamlit app.</w:t>
      </w:r>
    </w:p>
    <w:p>
      <w:pPr>
        <w:pStyle w:val="Heading2"/>
        <w:spacing w:after="120" w:before="280"/>
      </w:pPr>
      <w:r>
        <w:rPr>
          <w:b/>
          <w:bCs/>
          <w:color w:val="1B2A4A"/>
          <w:sz w:val="25"/>
          <w:szCs w:val="25"/>
        </w:rPr>
        <w:t xml:space="preserve">5.3  Week 3 — Remediate and Govern</w:t>
      </w:r>
    </w:p>
    <w:p>
      <w:pPr>
        <w:spacing w:after="160" w:line="276"/>
      </w:pPr>
      <w:r>
        <w:rPr>
          <w:color w:val="222222"/>
          <w:sz w:val="21"/>
          <w:szCs w:val="21"/>
        </w:rPr>
        <w:t xml:space="preserve">Goal: build automated remediations for the safe subset of findings, gate the riskier ones behind human approval, map controls to compliance frameworks, and produce the final report.</w:t>
      </w:r>
    </w:p>
    <w:p>
      <w:pPr>
        <w:pStyle w:val="ListParagraph"/>
        <w:numPr>
          <w:ilvl w:val="0"/>
          <w:numId w:val="1"/>
        </w:numPr>
        <w:spacing w:after="80" w:line="264"/>
      </w:pPr>
      <w:r>
        <w:rPr>
          <w:color w:val="222222"/>
          <w:sz w:val="21"/>
          <w:szCs w:val="21"/>
        </w:rPr>
        <w:t xml:space="preserve">Built three semi-automatic, human-invoked Lambda functions — S3 public-access remediation, IAM access-key deactivation, and default-encryption enforcement — deployed under a dedicated, least-privilege IAM role and defaulting to dry_run: true.</w:t>
      </w:r>
    </w:p>
    <w:p>
      <w:pPr>
        <w:pStyle w:val="ListParagraph"/>
        <w:numPr>
          <w:ilvl w:val="0"/>
          <w:numId w:val="1"/>
        </w:numPr>
        <w:spacing w:after="80" w:line="264"/>
      </w:pPr>
      <w:r>
        <w:rPr>
          <w:color w:val="222222"/>
          <w:sz w:val="21"/>
          <w:szCs w:val="21"/>
        </w:rPr>
        <w:t xml:space="preserve">Layered a fully automated, event-driven pipeline on top of the same remediation logic: SNS → Starter Lambda → Step Functions (pauses via waitForTaskToken) → Notifier Lambda emails an Approve/Reject link → API Gateway → Approval Handler resumes the state machine → remediator dispatcher invokes the matching fix, or the workflow ends safely on reject/timeout.</w:t>
      </w:r>
    </w:p>
    <w:p>
      <w:pPr>
        <w:pStyle w:val="ListParagraph"/>
        <w:numPr>
          <w:ilvl w:val="0"/>
          <w:numId w:val="1"/>
        </w:numPr>
        <w:spacing w:after="80" w:line="264"/>
      </w:pPr>
      <w:r>
        <w:rPr>
          <w:color w:val="222222"/>
          <w:sz w:val="21"/>
          <w:szCs w:val="21"/>
        </w:rPr>
        <w:t xml:space="preserve">Live-tested the complete approval chain end-to-end against a real S3 bucket, confirmed via CloudWatch logs and an independent aws s3api get-public-access-block check (see §9).</w:t>
      </w:r>
    </w:p>
    <w:p>
      <w:pPr>
        <w:pStyle w:val="ListParagraph"/>
        <w:numPr>
          <w:ilvl w:val="0"/>
          <w:numId w:val="1"/>
        </w:numPr>
        <w:spacing w:after="80" w:line="264"/>
      </w:pPr>
      <w:r>
        <w:rPr>
          <w:color w:val="222222"/>
          <w:sz w:val="21"/>
          <w:szCs w:val="21"/>
        </w:rPr>
        <w:t xml:space="preserve">Built a TF-IDF + cosine-similarity compliance crosswalk mapping all 729 findings to ISO 27001:2022 Annex A, HIPAA Security Rule, CIS Controls v8, and the DPDP Act 2023, exposed as a second Streamlit app.</w:t>
      </w:r>
    </w:p>
    <w:p>
      <w:pPr>
        <w:pStyle w:val="ListParagraph"/>
        <w:numPr>
          <w:ilvl w:val="0"/>
          <w:numId w:val="1"/>
        </w:numPr>
        <w:spacing w:after="80" w:line="264"/>
      </w:pPr>
      <w:r>
        <w:rPr>
          <w:color w:val="222222"/>
          <w:sz w:val="21"/>
          <w:szCs w:val="21"/>
        </w:rPr>
        <w:t xml:space="preserve">Ran before/after Prowler compliance rescans to document, honestly, what the live remediation did and did not change (see §9.3), and wrote the SOPs and this final report.</w:t>
      </w:r>
    </w:p>
    <w:p>
      <w:pPr>
        <w:spacing w:after="160" w:line="276"/>
      </w:pPr>
      <w:r>
        <w:rPr>
          <w:color w:val="222222"/>
          <w:sz w:val="21"/>
          <w:szCs w:val="21"/>
        </w:rPr>
        <w:t xml:space="preserve">Week 3 deliverable: remediation Lambda functions with guardrails, compliance crosswalk table, before/after evidence, and this final report.</w:t>
      </w:r>
    </w:p>
    <w:p>
      <w:r>
        <w:br w:type="page"/>
      </w:r>
    </w:p>
    <w:p>
      <w:pPr>
        <w:pStyle w:val="Heading1"/>
        <w:pBdr>
          <w:bottom w:val="single" w:color="0E7C7B" w:sz="6" w:space="4"/>
        </w:pBdr>
        <w:spacing w:after="160" w:before="360"/>
      </w:pPr>
      <w:r>
        <w:rPr>
          <w:b/>
          <w:bCs/>
          <w:color w:val="1B2A4A"/>
          <w:sz w:val="30"/>
          <w:szCs w:val="30"/>
        </w:rPr>
        <w:t xml:space="preserve">6. Results — Detection &amp; Prioritization</w:t>
      </w:r>
    </w:p>
    <w:p>
      <w:pPr>
        <w:pStyle w:val="Heading2"/>
        <w:spacing w:after="120" w:before="280"/>
      </w:pPr>
      <w:r>
        <w:rPr>
          <w:b/>
          <w:bCs/>
          <w:color w:val="1B2A4A"/>
          <w:sz w:val="25"/>
          <w:szCs w:val="25"/>
        </w:rPr>
        <w:t xml:space="preserve">6.1  Scan Coverage</w:t>
      </w:r>
    </w:p>
    <w:p>
      <w:pPr>
        <w:spacing w:after="160" w:line="276"/>
      </w:pPr>
      <w:r>
        <w:rPr>
          <w:color w:val="222222"/>
          <w:sz w:val="21"/>
          <w:szCs w:val="21"/>
        </w:rPr>
        <w:t xml:space="preserve">A scoped Prowler pass across both clouds covered 431 checks, of which 285 failed (66%):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50"/>
      </w:tblGrid>
      <w:tr>
        <w:trPr>
          <w:tblHeader/>
        </w:trPr>
        <w:tc>
          <w:tcPr>
            <w:tcW w:type="dxa" w:w="2400"/>
            <w:shd w:fill="1B2A4A" w:color="auto" w:val="clear"/>
            <w:tcMar>
              <w:top w:type="dxa" w:w="80"/>
              <w:left w:type="dxa" w:w="100"/>
              <w:bottom w:type="dxa" w:w="80"/>
              <w:right w:type="dxa" w:w="100"/>
            </w:tcMar>
            <w:vAlign w:val="center"/>
          </w:tcPr>
          <w:p>
            <w:pPr>
              <w:jc w:val="center"/>
            </w:pPr>
            <w:r>
              <w:rPr>
                <w:b/>
                <w:bCs/>
                <w:color w:val="FFFFFF"/>
                <w:sz w:val="19"/>
                <w:szCs w:val="19"/>
              </w:rPr>
              <w:t xml:space="preserve">Cloud</w:t>
            </w:r>
          </w:p>
        </w:tc>
        <w:tc>
          <w:tcPr>
            <w:tcW w:type="dxa" w:w="2300"/>
            <w:shd w:fill="1B2A4A" w:color="auto" w:val="clear"/>
            <w:tcMar>
              <w:top w:type="dxa" w:w="80"/>
              <w:left w:type="dxa" w:w="100"/>
              <w:bottom w:type="dxa" w:w="80"/>
              <w:right w:type="dxa" w:w="100"/>
            </w:tcMar>
            <w:vAlign w:val="center"/>
          </w:tcPr>
          <w:p>
            <w:pPr>
              <w:jc w:val="center"/>
            </w:pPr>
            <w:r>
              <w:rPr>
                <w:b/>
                <w:bCs/>
                <w:color w:val="FFFFFF"/>
                <w:sz w:val="19"/>
                <w:szCs w:val="19"/>
              </w:rPr>
              <w:t xml:space="preserve">FAIL</w:t>
            </w:r>
          </w:p>
        </w:tc>
        <w:tc>
          <w:tcPr>
            <w:tcW w:type="dxa" w:w="2300"/>
            <w:shd w:fill="1B2A4A" w:color="auto" w:val="clear"/>
            <w:tcMar>
              <w:top w:type="dxa" w:w="80"/>
              <w:left w:type="dxa" w:w="100"/>
              <w:bottom w:type="dxa" w:w="80"/>
              <w:right w:type="dxa" w:w="100"/>
            </w:tcMar>
            <w:vAlign w:val="center"/>
          </w:tcPr>
          <w:p>
            <w:pPr>
              <w:jc w:val="center"/>
            </w:pPr>
            <w:r>
              <w:rPr>
                <w:b/>
                <w:bCs/>
                <w:color w:val="FFFFFF"/>
                <w:sz w:val="19"/>
                <w:szCs w:val="19"/>
              </w:rPr>
              <w:t xml:space="preserve">PASS</w:t>
            </w:r>
          </w:p>
        </w:tc>
        <w:tc>
          <w:tcPr>
            <w:tcW w:type="dxa" w:w="2350"/>
            <w:shd w:fill="1B2A4A" w:color="auto" w:val="clear"/>
            <w:tcMar>
              <w:top w:type="dxa" w:w="80"/>
              <w:left w:type="dxa" w:w="100"/>
              <w:bottom w:type="dxa" w:w="80"/>
              <w:right w:type="dxa" w:w="100"/>
            </w:tcMar>
            <w:vAlign w:val="center"/>
          </w:tcPr>
          <w:p>
            <w:pPr>
              <w:jc w:val="center"/>
            </w:pPr>
            <w:r>
              <w:rPr>
                <w:b/>
                <w:bCs/>
                <w:color w:val="FFFFFF"/>
                <w:sz w:val="19"/>
                <w:szCs w:val="19"/>
              </w:rPr>
              <w:t xml:space="preserve">Total</w:t>
            </w:r>
          </w:p>
        </w:tc>
      </w:tr>
      <w:tr>
        <w:tc>
          <w:tcPr>
            <w:tcW w:type="dxa" w:w="2400"/>
            <w:tcMar>
              <w:top w:type="dxa" w:w="80"/>
              <w:left w:type="dxa" w:w="100"/>
              <w:bottom w:type="dxa" w:w="80"/>
              <w:right w:type="dxa" w:w="100"/>
            </w:tcMar>
            <w:vAlign w:val="center"/>
          </w:tcPr>
          <w:p>
            <w:pPr>
              <w:jc w:val="left"/>
            </w:pPr>
            <w:r>
              <w:rPr>
                <w:b w:val="false"/>
                <w:bCs w:val="false"/>
                <w:color w:val="222222"/>
                <w:sz w:val="19"/>
                <w:szCs w:val="19"/>
              </w:rPr>
              <w:t xml:space="preserve">AWS</w:t>
            </w:r>
          </w:p>
        </w:tc>
        <w:tc>
          <w:tcPr>
            <w:tcW w:type="dxa" w:w="2300"/>
            <w:tcMar>
              <w:top w:type="dxa" w:w="80"/>
              <w:left w:type="dxa" w:w="100"/>
              <w:bottom w:type="dxa" w:w="80"/>
              <w:right w:type="dxa" w:w="100"/>
            </w:tcMar>
            <w:vAlign w:val="center"/>
          </w:tcPr>
          <w:p>
            <w:pPr>
              <w:jc w:val="center"/>
            </w:pPr>
            <w:r>
              <w:rPr>
                <w:b w:val="false"/>
                <w:bCs w:val="false"/>
                <w:color w:val="222222"/>
                <w:sz w:val="19"/>
                <w:szCs w:val="19"/>
              </w:rPr>
              <w:t xml:space="preserve">122</w:t>
            </w:r>
          </w:p>
        </w:tc>
        <w:tc>
          <w:tcPr>
            <w:tcW w:type="dxa" w:w="2300"/>
            <w:tcMar>
              <w:top w:type="dxa" w:w="80"/>
              <w:left w:type="dxa" w:w="100"/>
              <w:bottom w:type="dxa" w:w="80"/>
              <w:right w:type="dxa" w:w="100"/>
            </w:tcMar>
            <w:vAlign w:val="center"/>
          </w:tcPr>
          <w:p>
            <w:pPr>
              <w:jc w:val="center"/>
            </w:pPr>
            <w:r>
              <w:rPr>
                <w:b w:val="false"/>
                <w:bCs w:val="false"/>
                <w:color w:val="222222"/>
                <w:sz w:val="19"/>
                <w:szCs w:val="19"/>
              </w:rPr>
              <w:t xml:space="preserve">110</w:t>
            </w:r>
          </w:p>
        </w:tc>
        <w:tc>
          <w:tcPr>
            <w:tcW w:type="dxa" w:w="2350"/>
            <w:tcMar>
              <w:top w:type="dxa" w:w="80"/>
              <w:left w:type="dxa" w:w="100"/>
              <w:bottom w:type="dxa" w:w="80"/>
              <w:right w:type="dxa" w:w="100"/>
            </w:tcMar>
            <w:vAlign w:val="center"/>
          </w:tcPr>
          <w:p>
            <w:pPr>
              <w:jc w:val="center"/>
            </w:pPr>
            <w:r>
              <w:rPr>
                <w:b w:val="false"/>
                <w:bCs w:val="false"/>
                <w:color w:val="222222"/>
                <w:sz w:val="19"/>
                <w:szCs w:val="19"/>
              </w:rPr>
              <w:t xml:space="preserve">232</w:t>
            </w:r>
          </w:p>
        </w:tc>
      </w:tr>
      <w:tr>
        <w:tc>
          <w:tcPr>
            <w:tcW w:type="dxa" w:w="24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Azure</w:t>
            </w:r>
          </w:p>
        </w:tc>
        <w:tc>
          <w:tcPr>
            <w:tcW w:type="dxa" w:w="23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163</w:t>
            </w:r>
          </w:p>
        </w:tc>
        <w:tc>
          <w:tcPr>
            <w:tcW w:type="dxa" w:w="23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32</w:t>
            </w:r>
          </w:p>
        </w:tc>
        <w:tc>
          <w:tcPr>
            <w:tcW w:type="dxa" w:w="23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195</w:t>
            </w:r>
          </w:p>
        </w:tc>
      </w:tr>
    </w:tbl>
    <w:p>
      <w:pPr>
        <w:spacing w:after="160" w:line="276"/>
      </w:pPr>
      <w:r>
        <w:rPr>
          <w:color w:val="222222"/>
          <w:sz w:val="21"/>
          <w:szCs w:val="21"/>
        </w:rPr>
        <w:t xml:space="preserve">Severity mix of the 285 failing checks: 8 Critical, 110 High, 135 Medium, 32 Low — of which 12 deliberate AWS misconfigurations (M01–M12) account for the controlled portion of the AWS failures.</w:t>
      </w:r>
    </w:p>
    <w:p>
      <w:pPr>
        <w:pStyle w:val="Heading2"/>
        <w:spacing w:after="120" w:before="280"/>
      </w:pPr>
      <w:r>
        <w:rPr>
          <w:b/>
          <w:bCs/>
          <w:color w:val="1B2A4A"/>
          <w:sz w:val="25"/>
          <w:szCs w:val="25"/>
        </w:rPr>
        <w:t xml:space="preserve">6.2  Consolidated Findings (All Three Scanners)</w:t>
      </w:r>
    </w:p>
    <w:p>
      <w:pPr>
        <w:spacing w:after="160" w:line="276"/>
      </w:pPr>
      <w:r>
        <w:rPr>
          <w:color w:val="222222"/>
          <w:sz w:val="21"/>
          <w:szCs w:val="21"/>
        </w:rPr>
        <w:t xml:space="preserve">Normalizing and deduplicating Prowler (285), ScoutSuite (407), and Steampipe (37) output produced 729 consolidated findings across both clouds — 496 AWS, 233 Azure.</w:t>
      </w:r>
    </w:p>
    <w:p>
      <w:pPr>
        <w:spacing w:after="60" w:before="12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95600"/>
                    </a:xfrm>
                    <a:prstGeom prst="rect">
                      <a:avLst/>
                    </a:prstGeom>
                  </pic:spPr>
                </pic:pic>
              </a:graphicData>
            </a:graphic>
          </wp:inline>
        </w:drawing>
      </w:r>
    </w:p>
    <w:p>
      <w:pPr>
        <w:spacing w:after="240" w:before="60"/>
        <w:jc w:val="center"/>
      </w:pPr>
      <w:r>
        <w:rPr>
          <w:i/>
          <w:iCs/>
          <w:color w:val="5F6368"/>
          <w:sz w:val="18"/>
          <w:szCs w:val="18"/>
        </w:rPr>
        <w:t xml:space="preserve">Figure 1 — Consolidated CSPM findings dashboard: severity mix, top services by finding volume, and AWS/Azure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00"/>
        <w:gridCol w:w="2300"/>
        <w:gridCol w:w="2400"/>
      </w:tblGrid>
      <w:tr>
        <w:trPr>
          <w:tblHeader/>
        </w:trPr>
        <w:tc>
          <w:tcPr>
            <w:tcW w:type="dxa" w:w="2350"/>
            <w:shd w:fill="1B2A4A" w:color="auto" w:val="clear"/>
            <w:tcMar>
              <w:top w:type="dxa" w:w="80"/>
              <w:left w:type="dxa" w:w="100"/>
              <w:bottom w:type="dxa" w:w="80"/>
              <w:right w:type="dxa" w:w="100"/>
            </w:tcMar>
            <w:vAlign w:val="center"/>
          </w:tcPr>
          <w:p>
            <w:pPr>
              <w:jc w:val="center"/>
            </w:pPr>
            <w:r>
              <w:rPr>
                <w:b/>
                <w:bCs/>
                <w:color w:val="FFFFFF"/>
                <w:sz w:val="19"/>
                <w:szCs w:val="19"/>
              </w:rPr>
              <w:t xml:space="preserve">Severity</w:t>
            </w:r>
          </w:p>
        </w:tc>
        <w:tc>
          <w:tcPr>
            <w:tcW w:type="dxa" w:w="2300"/>
            <w:shd w:fill="1B2A4A" w:color="auto" w:val="clear"/>
            <w:tcMar>
              <w:top w:type="dxa" w:w="80"/>
              <w:left w:type="dxa" w:w="100"/>
              <w:bottom w:type="dxa" w:w="80"/>
              <w:right w:type="dxa" w:w="100"/>
            </w:tcMar>
            <w:vAlign w:val="center"/>
          </w:tcPr>
          <w:p>
            <w:pPr>
              <w:jc w:val="center"/>
            </w:pPr>
            <w:r>
              <w:rPr>
                <w:b/>
                <w:bCs/>
                <w:color w:val="FFFFFF"/>
                <w:sz w:val="19"/>
                <w:szCs w:val="19"/>
              </w:rPr>
              <w:t xml:space="preserve">AWS</w:t>
            </w:r>
          </w:p>
        </w:tc>
        <w:tc>
          <w:tcPr>
            <w:tcW w:type="dxa" w:w="2300"/>
            <w:shd w:fill="1B2A4A" w:color="auto" w:val="clear"/>
            <w:tcMar>
              <w:top w:type="dxa" w:w="80"/>
              <w:left w:type="dxa" w:w="100"/>
              <w:bottom w:type="dxa" w:w="80"/>
              <w:right w:type="dxa" w:w="100"/>
            </w:tcMar>
            <w:vAlign w:val="center"/>
          </w:tcPr>
          <w:p>
            <w:pPr>
              <w:jc w:val="center"/>
            </w:pPr>
            <w:r>
              <w:rPr>
                <w:b/>
                <w:bCs/>
                <w:color w:val="FFFFFF"/>
                <w:sz w:val="19"/>
                <w:szCs w:val="19"/>
              </w:rPr>
              <w:t xml:space="preserve">Azure</w:t>
            </w:r>
          </w:p>
        </w:tc>
        <w:tc>
          <w:tcPr>
            <w:tcW w:type="dxa" w:w="2400"/>
            <w:shd w:fill="1B2A4A" w:color="auto" w:val="clear"/>
            <w:tcMar>
              <w:top w:type="dxa" w:w="80"/>
              <w:left w:type="dxa" w:w="100"/>
              <w:bottom w:type="dxa" w:w="80"/>
              <w:right w:type="dxa" w:w="100"/>
            </w:tcMar>
            <w:vAlign w:val="center"/>
          </w:tcPr>
          <w:p>
            <w:pPr>
              <w:jc w:val="center"/>
            </w:pPr>
            <w:r>
              <w:rPr>
                <w:b/>
                <w:bCs/>
                <w:color w:val="FFFFFF"/>
                <w:sz w:val="19"/>
                <w:szCs w:val="19"/>
              </w:rPr>
              <w:t xml:space="preserve">Total (of 729)</w:t>
            </w:r>
          </w:p>
        </w:tc>
      </w:tr>
      <w:tr>
        <w:tc>
          <w:tcPr>
            <w:tcW w:type="dxa" w:w="2350"/>
            <w:tcMar>
              <w:top w:type="dxa" w:w="80"/>
              <w:left w:type="dxa" w:w="100"/>
              <w:bottom w:type="dxa" w:w="80"/>
              <w:right w:type="dxa" w:w="100"/>
            </w:tcMar>
            <w:vAlign w:val="center"/>
          </w:tcPr>
          <w:p>
            <w:pPr>
              <w:jc w:val="left"/>
            </w:pPr>
            <w:r>
              <w:rPr>
                <w:b w:val="false"/>
                <w:bCs w:val="false"/>
                <w:color w:val="222222"/>
                <w:sz w:val="19"/>
                <w:szCs w:val="19"/>
              </w:rPr>
              <w:t xml:space="preserve">Critical</w:t>
            </w:r>
          </w:p>
        </w:tc>
        <w:tc>
          <w:tcPr>
            <w:tcW w:type="dxa" w:w="2300"/>
            <w:tcMar>
              <w:top w:type="dxa" w:w="80"/>
              <w:left w:type="dxa" w:w="100"/>
              <w:bottom w:type="dxa" w:w="80"/>
              <w:right w:type="dxa" w:w="100"/>
            </w:tcMar>
            <w:vAlign w:val="center"/>
          </w:tcPr>
          <w:p>
            <w:pPr>
              <w:jc w:val="center"/>
            </w:pPr>
            <w:r>
              <w:rPr>
                <w:b w:val="false"/>
                <w:bCs w:val="false"/>
                <w:color w:val="222222"/>
                <w:sz w:val="19"/>
                <w:szCs w:val="19"/>
              </w:rPr>
              <w:t xml:space="preserve">8</w:t>
            </w:r>
          </w:p>
        </w:tc>
        <w:tc>
          <w:tcPr>
            <w:tcW w:type="dxa" w:w="2300"/>
            <w:tcMar>
              <w:top w:type="dxa" w:w="80"/>
              <w:left w:type="dxa" w:w="100"/>
              <w:bottom w:type="dxa" w:w="80"/>
              <w:right w:type="dxa" w:w="100"/>
            </w:tcMar>
            <w:vAlign w:val="center"/>
          </w:tcPr>
          <w:p>
            <w:pPr>
              <w:jc w:val="center"/>
            </w:pPr>
            <w:r>
              <w:rPr>
                <w:b w:val="false"/>
                <w:bCs w:val="false"/>
                <w:color w:val="222222"/>
                <w:sz w:val="19"/>
                <w:szCs w:val="19"/>
              </w:rPr>
              <w:t xml:space="preserve">9</w:t>
            </w:r>
          </w:p>
        </w:tc>
        <w:tc>
          <w:tcPr>
            <w:tcW w:type="dxa" w:w="2400"/>
            <w:tcMar>
              <w:top w:type="dxa" w:w="80"/>
              <w:left w:type="dxa" w:w="100"/>
              <w:bottom w:type="dxa" w:w="80"/>
              <w:right w:type="dxa" w:w="100"/>
            </w:tcMar>
            <w:vAlign w:val="center"/>
          </w:tcPr>
          <w:p>
            <w:pPr>
              <w:jc w:val="center"/>
            </w:pPr>
            <w:r>
              <w:rPr>
                <w:b w:val="false"/>
                <w:bCs w:val="false"/>
                <w:color w:val="222222"/>
                <w:sz w:val="19"/>
                <w:szCs w:val="19"/>
              </w:rPr>
              <w:t xml:space="preserve">17</w:t>
            </w:r>
          </w:p>
        </w:tc>
      </w:tr>
      <w:tr>
        <w:tc>
          <w:tcPr>
            <w:tcW w:type="dxa" w:w="23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High</w:t>
            </w:r>
          </w:p>
        </w:tc>
        <w:tc>
          <w:tcPr>
            <w:tcW w:type="dxa" w:w="23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70</w:t>
            </w:r>
          </w:p>
        </w:tc>
        <w:tc>
          <w:tcPr>
            <w:tcW w:type="dxa" w:w="23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95</w:t>
            </w:r>
          </w:p>
        </w:tc>
        <w:tc>
          <w:tcPr>
            <w:tcW w:type="dxa" w:w="24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165</w:t>
            </w:r>
          </w:p>
        </w:tc>
      </w:tr>
      <w:tr>
        <w:tc>
          <w:tcPr>
            <w:tcW w:type="dxa" w:w="2350"/>
            <w:tcMar>
              <w:top w:type="dxa" w:w="80"/>
              <w:left w:type="dxa" w:w="100"/>
              <w:bottom w:type="dxa" w:w="80"/>
              <w:right w:type="dxa" w:w="100"/>
            </w:tcMar>
            <w:vAlign w:val="center"/>
          </w:tcPr>
          <w:p>
            <w:pPr>
              <w:jc w:val="left"/>
            </w:pPr>
            <w:r>
              <w:rPr>
                <w:b w:val="false"/>
                <w:bCs w:val="false"/>
                <w:color w:val="222222"/>
                <w:sz w:val="19"/>
                <w:szCs w:val="19"/>
              </w:rPr>
              <w:t xml:space="preserve">Medium</w:t>
            </w:r>
          </w:p>
        </w:tc>
        <w:tc>
          <w:tcPr>
            <w:tcW w:type="dxa" w:w="2300"/>
            <w:tcMar>
              <w:top w:type="dxa" w:w="80"/>
              <w:left w:type="dxa" w:w="100"/>
              <w:bottom w:type="dxa" w:w="80"/>
              <w:right w:type="dxa" w:w="100"/>
            </w:tcMar>
            <w:vAlign w:val="center"/>
          </w:tcPr>
          <w:p>
            <w:pPr>
              <w:jc w:val="center"/>
            </w:pPr>
            <w:r>
              <w:rPr>
                <w:b w:val="false"/>
                <w:bCs w:val="false"/>
                <w:color w:val="222222"/>
                <w:sz w:val="19"/>
                <w:szCs w:val="19"/>
              </w:rPr>
              <w:t xml:space="preserve">392</w:t>
            </w:r>
          </w:p>
        </w:tc>
        <w:tc>
          <w:tcPr>
            <w:tcW w:type="dxa" w:w="2300"/>
            <w:tcMar>
              <w:top w:type="dxa" w:w="80"/>
              <w:left w:type="dxa" w:w="100"/>
              <w:bottom w:type="dxa" w:w="80"/>
              <w:right w:type="dxa" w:w="100"/>
            </w:tcMar>
            <w:vAlign w:val="center"/>
          </w:tcPr>
          <w:p>
            <w:pPr>
              <w:jc w:val="center"/>
            </w:pPr>
            <w:r>
              <w:rPr>
                <w:b w:val="false"/>
                <w:bCs w:val="false"/>
                <w:color w:val="222222"/>
                <w:sz w:val="19"/>
                <w:szCs w:val="19"/>
              </w:rPr>
              <w:t xml:space="preserve">123</w:t>
            </w:r>
          </w:p>
        </w:tc>
        <w:tc>
          <w:tcPr>
            <w:tcW w:type="dxa" w:w="2400"/>
            <w:tcMar>
              <w:top w:type="dxa" w:w="80"/>
              <w:left w:type="dxa" w:w="100"/>
              <w:bottom w:type="dxa" w:w="80"/>
              <w:right w:type="dxa" w:w="100"/>
            </w:tcMar>
            <w:vAlign w:val="center"/>
          </w:tcPr>
          <w:p>
            <w:pPr>
              <w:jc w:val="center"/>
            </w:pPr>
            <w:r>
              <w:rPr>
                <w:b w:val="false"/>
                <w:bCs w:val="false"/>
                <w:color w:val="222222"/>
                <w:sz w:val="19"/>
                <w:szCs w:val="19"/>
              </w:rPr>
              <w:t xml:space="preserve">515</w:t>
            </w:r>
          </w:p>
        </w:tc>
      </w:tr>
      <w:tr>
        <w:tc>
          <w:tcPr>
            <w:tcW w:type="dxa" w:w="23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Low</w:t>
            </w:r>
          </w:p>
        </w:tc>
        <w:tc>
          <w:tcPr>
            <w:tcW w:type="dxa" w:w="23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26</w:t>
            </w:r>
          </w:p>
        </w:tc>
        <w:tc>
          <w:tcPr>
            <w:tcW w:type="dxa" w:w="23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6</w:t>
            </w:r>
          </w:p>
        </w:tc>
        <w:tc>
          <w:tcPr>
            <w:tcW w:type="dxa" w:w="24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32</w:t>
            </w:r>
          </w:p>
        </w:tc>
      </w:tr>
    </w:tbl>
    <w:p>
      <w:pPr>
        <w:spacing w:after="160" w:line="276"/>
      </w:pPr>
      <w:r>
        <w:rPr>
          <w:color w:val="222222"/>
          <w:sz w:val="21"/>
          <w:szCs w:val="21"/>
        </w:rPr>
        <w:t xml:space="preserve">Azure carries fewer findings overall but a higher share are High/Critical — its identity and firewall checks (Entra ID, SQL Server firewall) surfaced sharper issues than AWS's broader VPC/EC2 noise volume.</w:t>
      </w:r>
    </w:p>
    <w:p>
      <w:pPr>
        <w:pStyle w:val="Heading2"/>
        <w:spacing w:after="120" w:before="280"/>
      </w:pPr>
      <w:r>
        <w:rPr>
          <w:b/>
          <w:bCs/>
          <w:color w:val="1B2A4A"/>
          <w:sz w:val="25"/>
          <w:szCs w:val="25"/>
        </w:rPr>
        <w:t xml:space="preserve">6.3  Priority Scoring</w:t>
      </w:r>
    </w:p>
    <w:p>
      <w:pPr>
        <w:spacing w:after="160" w:line="276"/>
      </w:pPr>
      <w:r>
        <w:rPr>
          <w:color w:val="222222"/>
          <w:sz w:val="21"/>
          <w:szCs w:val="21"/>
        </w:rPr>
        <w:t xml:space="preserve">Priority Score = CVSS × Exposure Score × Blast Radius. Applying this formula to all 729 findings produced four action bands: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1300"/>
        <w:gridCol w:w="1300"/>
        <w:gridCol w:w="2250"/>
      </w:tblGrid>
      <w:tr>
        <w:trPr>
          <w:tblHeader/>
        </w:trPr>
        <w:tc>
          <w:tcPr>
            <w:tcW w:type="dxa" w:w="1700"/>
            <w:shd w:fill="1B2A4A" w:color="auto" w:val="clear"/>
            <w:tcMar>
              <w:top w:type="dxa" w:w="80"/>
              <w:left w:type="dxa" w:w="100"/>
              <w:bottom w:type="dxa" w:w="80"/>
              <w:right w:type="dxa" w:w="100"/>
            </w:tcMar>
            <w:vAlign w:val="center"/>
          </w:tcPr>
          <w:p>
            <w:pPr>
              <w:jc w:val="center"/>
            </w:pPr>
            <w:r>
              <w:rPr>
                <w:b/>
                <w:bCs/>
                <w:color w:val="FFFFFF"/>
                <w:sz w:val="19"/>
                <w:szCs w:val="19"/>
              </w:rPr>
              <w:t xml:space="preserve">Band</w:t>
            </w:r>
          </w:p>
        </w:tc>
        <w:tc>
          <w:tcPr>
            <w:tcW w:type="dxa" w:w="1500"/>
            <w:shd w:fill="1B2A4A" w:color="auto" w:val="clear"/>
            <w:tcMar>
              <w:top w:type="dxa" w:w="80"/>
              <w:left w:type="dxa" w:w="100"/>
              <w:bottom w:type="dxa" w:w="80"/>
              <w:right w:type="dxa" w:w="100"/>
            </w:tcMar>
            <w:vAlign w:val="center"/>
          </w:tcPr>
          <w:p>
            <w:pPr>
              <w:jc w:val="center"/>
            </w:pPr>
            <w:r>
              <w:rPr>
                <w:b/>
                <w:bCs/>
                <w:color w:val="FFFFFF"/>
                <w:sz w:val="19"/>
                <w:szCs w:val="19"/>
              </w:rPr>
              <w:t xml:space="preserve">Score Range</w:t>
            </w:r>
          </w:p>
        </w:tc>
        <w:tc>
          <w:tcPr>
            <w:tcW w:type="dxa" w:w="1300"/>
            <w:shd w:fill="1B2A4A" w:color="auto" w:val="clear"/>
            <w:tcMar>
              <w:top w:type="dxa" w:w="80"/>
              <w:left w:type="dxa" w:w="100"/>
              <w:bottom w:type="dxa" w:w="80"/>
              <w:right w:type="dxa" w:w="100"/>
            </w:tcMar>
            <w:vAlign w:val="center"/>
          </w:tcPr>
          <w:p>
            <w:pPr>
              <w:jc w:val="center"/>
            </w:pPr>
            <w:r>
              <w:rPr>
                <w:b/>
                <w:bCs/>
                <w:color w:val="FFFFFF"/>
                <w:sz w:val="19"/>
                <w:szCs w:val="19"/>
              </w:rPr>
              <w:t xml:space="preserve">AWS</w:t>
            </w:r>
          </w:p>
        </w:tc>
        <w:tc>
          <w:tcPr>
            <w:tcW w:type="dxa" w:w="1300"/>
            <w:shd w:fill="1B2A4A" w:color="auto" w:val="clear"/>
            <w:tcMar>
              <w:top w:type="dxa" w:w="80"/>
              <w:left w:type="dxa" w:w="100"/>
              <w:bottom w:type="dxa" w:w="80"/>
              <w:right w:type="dxa" w:w="100"/>
            </w:tcMar>
            <w:vAlign w:val="center"/>
          </w:tcPr>
          <w:p>
            <w:pPr>
              <w:jc w:val="center"/>
            </w:pPr>
            <w:r>
              <w:rPr>
                <w:b/>
                <w:bCs/>
                <w:color w:val="FFFFFF"/>
                <w:sz w:val="19"/>
                <w:szCs w:val="19"/>
              </w:rPr>
              <w:t xml:space="preserve">Azure</w:t>
            </w:r>
          </w:p>
        </w:tc>
        <w:tc>
          <w:tcPr>
            <w:tcW w:type="dxa" w:w="1300"/>
            <w:shd w:fill="1B2A4A" w:color="auto" w:val="clear"/>
            <w:tcMar>
              <w:top w:type="dxa" w:w="80"/>
              <w:left w:type="dxa" w:w="100"/>
              <w:bottom w:type="dxa" w:w="80"/>
              <w:right w:type="dxa" w:w="100"/>
            </w:tcMar>
            <w:vAlign w:val="center"/>
          </w:tcPr>
          <w:p>
            <w:pPr>
              <w:jc w:val="center"/>
            </w:pPr>
            <w:r>
              <w:rPr>
                <w:b/>
                <w:bCs/>
                <w:color w:val="FFFFFF"/>
                <w:sz w:val="19"/>
                <w:szCs w:val="19"/>
              </w:rPr>
              <w:t xml:space="preserve">Total</w:t>
            </w:r>
          </w:p>
        </w:tc>
        <w:tc>
          <w:tcPr>
            <w:tcW w:type="dxa" w:w="2250"/>
            <w:shd w:fill="1B2A4A" w:color="auto" w:val="clear"/>
            <w:tcMar>
              <w:top w:type="dxa" w:w="80"/>
              <w:left w:type="dxa" w:w="100"/>
              <w:bottom w:type="dxa" w:w="80"/>
              <w:right w:type="dxa" w:w="100"/>
            </w:tcMar>
            <w:vAlign w:val="center"/>
          </w:tcPr>
          <w:p>
            <w:pPr>
              <w:jc w:val="center"/>
            </w:pPr>
            <w:r>
              <w:rPr>
                <w:b/>
                <w:bCs/>
                <w:color w:val="FFFFFF"/>
                <w:sz w:val="19"/>
                <w:szCs w:val="19"/>
              </w:rPr>
              <w:t xml:space="preserve">% of All Findings</w:t>
            </w:r>
          </w:p>
        </w:tc>
      </w:tr>
      <w:tr>
        <w:tc>
          <w:tcPr>
            <w:tcW w:type="dxa" w:w="1700"/>
            <w:tcMar>
              <w:top w:type="dxa" w:w="80"/>
              <w:left w:type="dxa" w:w="100"/>
              <w:bottom w:type="dxa" w:w="80"/>
              <w:right w:type="dxa" w:w="100"/>
            </w:tcMar>
            <w:vAlign w:val="center"/>
          </w:tcPr>
          <w:p>
            <w:pPr>
              <w:jc w:val="left"/>
            </w:pPr>
            <w:r>
              <w:rPr>
                <w:b w:val="false"/>
                <w:bCs w:val="false"/>
                <w:color w:val="222222"/>
                <w:sz w:val="19"/>
                <w:szCs w:val="19"/>
              </w:rPr>
              <w:t xml:space="preserve">P0 · Critical</w:t>
            </w:r>
          </w:p>
        </w:tc>
        <w:tc>
          <w:tcPr>
            <w:tcW w:type="dxa" w:w="1500"/>
            <w:tcMar>
              <w:top w:type="dxa" w:w="80"/>
              <w:left w:type="dxa" w:w="100"/>
              <w:bottom w:type="dxa" w:w="80"/>
              <w:right w:type="dxa" w:w="100"/>
            </w:tcMar>
            <w:vAlign w:val="center"/>
          </w:tcPr>
          <w:p>
            <w:pPr>
              <w:jc w:val="center"/>
            </w:pPr>
            <w:r>
              <w:rPr>
                <w:b w:val="false"/>
                <w:bCs w:val="false"/>
                <w:color w:val="222222"/>
                <w:sz w:val="19"/>
                <w:szCs w:val="19"/>
              </w:rPr>
              <w:t xml:space="preserve">≥ 100</w:t>
            </w:r>
          </w:p>
        </w:tc>
        <w:tc>
          <w:tcPr>
            <w:tcW w:type="dxa" w:w="1300"/>
            <w:tcMar>
              <w:top w:type="dxa" w:w="80"/>
              <w:left w:type="dxa" w:w="100"/>
              <w:bottom w:type="dxa" w:w="80"/>
              <w:right w:type="dxa" w:w="100"/>
            </w:tcMar>
            <w:vAlign w:val="center"/>
          </w:tcPr>
          <w:p>
            <w:pPr>
              <w:jc w:val="center"/>
            </w:pPr>
            <w:r>
              <w:rPr>
                <w:b w:val="false"/>
                <w:bCs w:val="false"/>
                <w:color w:val="222222"/>
                <w:sz w:val="19"/>
                <w:szCs w:val="19"/>
              </w:rPr>
              <w:t xml:space="preserve">1</w:t>
            </w:r>
          </w:p>
        </w:tc>
        <w:tc>
          <w:tcPr>
            <w:tcW w:type="dxa" w:w="1300"/>
            <w:tcMar>
              <w:top w:type="dxa" w:w="80"/>
              <w:left w:type="dxa" w:w="100"/>
              <w:bottom w:type="dxa" w:w="80"/>
              <w:right w:type="dxa" w:w="100"/>
            </w:tcMar>
            <w:vAlign w:val="center"/>
          </w:tcPr>
          <w:p>
            <w:pPr>
              <w:jc w:val="center"/>
            </w:pPr>
            <w:r>
              <w:rPr>
                <w:b w:val="false"/>
                <w:bCs w:val="false"/>
                <w:color w:val="222222"/>
                <w:sz w:val="19"/>
                <w:szCs w:val="19"/>
              </w:rPr>
              <w:t xml:space="preserve">0</w:t>
            </w:r>
          </w:p>
        </w:tc>
        <w:tc>
          <w:tcPr>
            <w:tcW w:type="dxa" w:w="1300"/>
            <w:tcMar>
              <w:top w:type="dxa" w:w="80"/>
              <w:left w:type="dxa" w:w="100"/>
              <w:bottom w:type="dxa" w:w="80"/>
              <w:right w:type="dxa" w:w="100"/>
            </w:tcMar>
            <w:vAlign w:val="center"/>
          </w:tcPr>
          <w:p>
            <w:pPr>
              <w:jc w:val="center"/>
            </w:pPr>
            <w:r>
              <w:rPr>
                <w:b w:val="false"/>
                <w:bCs w:val="false"/>
                <w:color w:val="222222"/>
                <w:sz w:val="19"/>
                <w:szCs w:val="19"/>
              </w:rPr>
              <w:t xml:space="preserve">1</w:t>
            </w:r>
          </w:p>
        </w:tc>
        <w:tc>
          <w:tcPr>
            <w:tcW w:type="dxa" w:w="2250"/>
            <w:tcMar>
              <w:top w:type="dxa" w:w="80"/>
              <w:left w:type="dxa" w:w="100"/>
              <w:bottom w:type="dxa" w:w="80"/>
              <w:right w:type="dxa" w:w="100"/>
            </w:tcMar>
            <w:vAlign w:val="center"/>
          </w:tcPr>
          <w:p>
            <w:pPr>
              <w:jc w:val="center"/>
            </w:pPr>
            <w:r>
              <w:rPr>
                <w:b w:val="false"/>
                <w:bCs w:val="false"/>
                <w:color w:val="222222"/>
                <w:sz w:val="19"/>
                <w:szCs w:val="19"/>
              </w:rPr>
              <w:t xml:space="preserve">0.1%</w:t>
            </w:r>
          </w:p>
        </w:tc>
      </w:tr>
      <w:tr>
        <w:tc>
          <w:tcPr>
            <w:tcW w:type="dxa" w:w="17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P1 · High</w:t>
            </w:r>
          </w:p>
        </w:tc>
        <w:tc>
          <w:tcPr>
            <w:tcW w:type="dxa" w:w="15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60–99</w:t>
            </w:r>
          </w:p>
        </w:tc>
        <w:tc>
          <w:tcPr>
            <w:tcW w:type="dxa" w:w="13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15</w:t>
            </w:r>
          </w:p>
        </w:tc>
        <w:tc>
          <w:tcPr>
            <w:tcW w:type="dxa" w:w="13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13</w:t>
            </w:r>
          </w:p>
        </w:tc>
        <w:tc>
          <w:tcPr>
            <w:tcW w:type="dxa" w:w="13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28</w:t>
            </w:r>
          </w:p>
        </w:tc>
        <w:tc>
          <w:tcPr>
            <w:tcW w:type="dxa" w:w="2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3.8%</w:t>
            </w:r>
          </w:p>
        </w:tc>
      </w:tr>
      <w:tr>
        <w:tc>
          <w:tcPr>
            <w:tcW w:type="dxa" w:w="1700"/>
            <w:tcMar>
              <w:top w:type="dxa" w:w="80"/>
              <w:left w:type="dxa" w:w="100"/>
              <w:bottom w:type="dxa" w:w="80"/>
              <w:right w:type="dxa" w:w="100"/>
            </w:tcMar>
            <w:vAlign w:val="center"/>
          </w:tcPr>
          <w:p>
            <w:pPr>
              <w:jc w:val="left"/>
            </w:pPr>
            <w:r>
              <w:rPr>
                <w:b w:val="false"/>
                <w:bCs w:val="false"/>
                <w:color w:val="222222"/>
                <w:sz w:val="19"/>
                <w:szCs w:val="19"/>
              </w:rPr>
              <w:t xml:space="preserve">P2 · Medium</w:t>
            </w:r>
          </w:p>
        </w:tc>
        <w:tc>
          <w:tcPr>
            <w:tcW w:type="dxa" w:w="1500"/>
            <w:tcMar>
              <w:top w:type="dxa" w:w="80"/>
              <w:left w:type="dxa" w:w="100"/>
              <w:bottom w:type="dxa" w:w="80"/>
              <w:right w:type="dxa" w:w="100"/>
            </w:tcMar>
            <w:vAlign w:val="center"/>
          </w:tcPr>
          <w:p>
            <w:pPr>
              <w:jc w:val="center"/>
            </w:pPr>
            <w:r>
              <w:rPr>
                <w:b w:val="false"/>
                <w:bCs w:val="false"/>
                <w:color w:val="222222"/>
                <w:sz w:val="19"/>
                <w:szCs w:val="19"/>
              </w:rPr>
              <w:t xml:space="preserve">30–59</w:t>
            </w:r>
          </w:p>
        </w:tc>
        <w:tc>
          <w:tcPr>
            <w:tcW w:type="dxa" w:w="1300"/>
            <w:tcMar>
              <w:top w:type="dxa" w:w="80"/>
              <w:left w:type="dxa" w:w="100"/>
              <w:bottom w:type="dxa" w:w="80"/>
              <w:right w:type="dxa" w:w="100"/>
            </w:tcMar>
            <w:vAlign w:val="center"/>
          </w:tcPr>
          <w:p>
            <w:pPr>
              <w:jc w:val="center"/>
            </w:pPr>
            <w:r>
              <w:rPr>
                <w:b w:val="false"/>
                <w:bCs w:val="false"/>
                <w:color w:val="222222"/>
                <w:sz w:val="19"/>
                <w:szCs w:val="19"/>
              </w:rPr>
              <w:t xml:space="preserve">44</w:t>
            </w:r>
          </w:p>
        </w:tc>
        <w:tc>
          <w:tcPr>
            <w:tcW w:type="dxa" w:w="1300"/>
            <w:tcMar>
              <w:top w:type="dxa" w:w="80"/>
              <w:left w:type="dxa" w:w="100"/>
              <w:bottom w:type="dxa" w:w="80"/>
              <w:right w:type="dxa" w:w="100"/>
            </w:tcMar>
            <w:vAlign w:val="center"/>
          </w:tcPr>
          <w:p>
            <w:pPr>
              <w:jc w:val="center"/>
            </w:pPr>
            <w:r>
              <w:rPr>
                <w:b w:val="false"/>
                <w:bCs w:val="false"/>
                <w:color w:val="222222"/>
                <w:sz w:val="19"/>
                <w:szCs w:val="19"/>
              </w:rPr>
              <w:t xml:space="preserve">18</w:t>
            </w:r>
          </w:p>
        </w:tc>
        <w:tc>
          <w:tcPr>
            <w:tcW w:type="dxa" w:w="1300"/>
            <w:tcMar>
              <w:top w:type="dxa" w:w="80"/>
              <w:left w:type="dxa" w:w="100"/>
              <w:bottom w:type="dxa" w:w="80"/>
              <w:right w:type="dxa" w:w="100"/>
            </w:tcMar>
            <w:vAlign w:val="center"/>
          </w:tcPr>
          <w:p>
            <w:pPr>
              <w:jc w:val="center"/>
            </w:pPr>
            <w:r>
              <w:rPr>
                <w:b w:val="false"/>
                <w:bCs w:val="false"/>
                <w:color w:val="222222"/>
                <w:sz w:val="19"/>
                <w:szCs w:val="19"/>
              </w:rPr>
              <w:t xml:space="preserve">62</w:t>
            </w:r>
          </w:p>
        </w:tc>
        <w:tc>
          <w:tcPr>
            <w:tcW w:type="dxa" w:w="2250"/>
            <w:tcMar>
              <w:top w:type="dxa" w:w="80"/>
              <w:left w:type="dxa" w:w="100"/>
              <w:bottom w:type="dxa" w:w="80"/>
              <w:right w:type="dxa" w:w="100"/>
            </w:tcMar>
            <w:vAlign w:val="center"/>
          </w:tcPr>
          <w:p>
            <w:pPr>
              <w:jc w:val="center"/>
            </w:pPr>
            <w:r>
              <w:rPr>
                <w:b w:val="false"/>
                <w:bCs w:val="false"/>
                <w:color w:val="222222"/>
                <w:sz w:val="19"/>
                <w:szCs w:val="19"/>
              </w:rPr>
              <w:t xml:space="preserve">8.5%</w:t>
            </w:r>
          </w:p>
        </w:tc>
      </w:tr>
      <w:tr>
        <w:tc>
          <w:tcPr>
            <w:tcW w:type="dxa" w:w="17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P3 · Low</w:t>
            </w:r>
          </w:p>
        </w:tc>
        <w:tc>
          <w:tcPr>
            <w:tcW w:type="dxa" w:w="15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&lt; 30</w:t>
            </w:r>
          </w:p>
        </w:tc>
        <w:tc>
          <w:tcPr>
            <w:tcW w:type="dxa" w:w="13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436</w:t>
            </w:r>
          </w:p>
        </w:tc>
        <w:tc>
          <w:tcPr>
            <w:tcW w:type="dxa" w:w="13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202</w:t>
            </w:r>
          </w:p>
        </w:tc>
        <w:tc>
          <w:tcPr>
            <w:tcW w:type="dxa" w:w="13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638</w:t>
            </w:r>
          </w:p>
        </w:tc>
        <w:tc>
          <w:tcPr>
            <w:tcW w:type="dxa" w:w="2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87.5%</w:t>
            </w:r>
          </w:p>
        </w:tc>
      </w:tr>
    </w:tbl>
    <w:p>
      <w:pPr>
        <w:spacing w:after="160" w:line="276"/>
      </w:pPr>
      <w:r>
        <w:rPr>
          <w:color w:val="222222"/>
          <w:sz w:val="21"/>
          <w:szCs w:val="21"/>
        </w:rPr>
        <w:t xml:space="preserve">Only ~4% of findings (P0+P1) need urgent human attention; the remaining 87.5% queue for scheduled remediation rather than firefighting — the intended outcome of a prioritization layer.</w:t>
      </w:r>
    </w:p>
    <w:p>
      <w:pPr>
        <w:pStyle w:val="Heading3"/>
        <w:spacing w:after="100" w:before="200"/>
      </w:pPr>
      <w:r>
        <w:rPr>
          <w:b/>
          <w:bCs/>
          <w:color w:val="0E7C7B"/>
          <w:sz w:val="22"/>
          <w:szCs w:val="22"/>
        </w:rPr>
        <w:t xml:space="preserve">Top of the priority queue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1450"/>
        <w:gridCol w:w="1250"/>
        <w:gridCol w:w="1400"/>
        <w:gridCol w:w="1150"/>
        <w:gridCol w:w="3500"/>
      </w:tblGrid>
      <w:tr>
        <w:trPr>
          <w:tblHeader/>
        </w:trPr>
        <w:tc>
          <w:tcPr>
            <w:tcW w:type="dxa" w:w="600"/>
            <w:shd w:fill="1B2A4A" w:color="auto" w:val="clear"/>
            <w:tcMar>
              <w:top w:type="dxa" w:w="80"/>
              <w:left w:type="dxa" w:w="100"/>
              <w:bottom w:type="dxa" w:w="80"/>
              <w:right w:type="dxa" w:w="100"/>
            </w:tcMar>
            <w:vAlign w:val="center"/>
          </w:tcPr>
          <w:p>
            <w:pPr>
              <w:jc w:val="center"/>
            </w:pPr>
            <w:r>
              <w:rPr>
                <w:b/>
                <w:bCs/>
                <w:color w:val="FFFFFF"/>
                <w:sz w:val="19"/>
                <w:szCs w:val="19"/>
              </w:rPr>
              <w:t xml:space="preserve">#</w:t>
            </w:r>
          </w:p>
        </w:tc>
        <w:tc>
          <w:tcPr>
            <w:tcW w:type="dxa" w:w="1450"/>
            <w:shd w:fill="1B2A4A" w:color="auto"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1250"/>
            <w:shd w:fill="1B2A4A" w:color="auto" w:val="clear"/>
            <w:tcMar>
              <w:top w:type="dxa" w:w="80"/>
              <w:left w:type="dxa" w:w="100"/>
              <w:bottom w:type="dxa" w:w="80"/>
              <w:right w:type="dxa" w:w="100"/>
            </w:tcMar>
            <w:vAlign w:val="center"/>
          </w:tcPr>
          <w:p>
            <w:pPr>
              <w:jc w:val="center"/>
            </w:pPr>
            <w:r>
              <w:rPr>
                <w:b/>
                <w:bCs/>
                <w:color w:val="FFFFFF"/>
                <w:sz w:val="19"/>
                <w:szCs w:val="19"/>
              </w:rPr>
              <w:t xml:space="preserve">Cloud</w:t>
            </w:r>
          </w:p>
        </w:tc>
        <w:tc>
          <w:tcPr>
            <w:tcW w:type="dxa" w:w="1400"/>
            <w:shd w:fill="1B2A4A" w:color="auto" w:val="clear"/>
            <w:tcMar>
              <w:top w:type="dxa" w:w="80"/>
              <w:left w:type="dxa" w:w="100"/>
              <w:bottom w:type="dxa" w:w="80"/>
              <w:right w:type="dxa" w:w="100"/>
            </w:tcMar>
            <w:vAlign w:val="center"/>
          </w:tcPr>
          <w:p>
            <w:pPr>
              <w:jc w:val="center"/>
            </w:pPr>
            <w:r>
              <w:rPr>
                <w:b/>
                <w:bCs/>
                <w:color w:val="FFFFFF"/>
                <w:sz w:val="19"/>
                <w:szCs w:val="19"/>
              </w:rPr>
              <w:t xml:space="preserve">Severity</w:t>
            </w:r>
          </w:p>
        </w:tc>
        <w:tc>
          <w:tcPr>
            <w:tcW w:type="dxa" w:w="1150"/>
            <w:shd w:fill="1B2A4A" w:color="auto" w:val="clear"/>
            <w:tcMar>
              <w:top w:type="dxa" w:w="80"/>
              <w:left w:type="dxa" w:w="100"/>
              <w:bottom w:type="dxa" w:w="80"/>
              <w:right w:type="dxa" w:w="100"/>
            </w:tcMar>
            <w:vAlign w:val="center"/>
          </w:tcPr>
          <w:p>
            <w:pPr>
              <w:jc w:val="center"/>
            </w:pPr>
            <w:r>
              <w:rPr>
                <w:b/>
                <w:bCs/>
                <w:color w:val="FFFFFF"/>
                <w:sz w:val="19"/>
                <w:szCs w:val="19"/>
              </w:rPr>
              <w:t xml:space="preserve">Score</w:t>
            </w:r>
          </w:p>
        </w:tc>
        <w:tc>
          <w:tcPr>
            <w:tcW w:type="dxa" w:w="3500"/>
            <w:shd w:fill="1B2A4A" w:color="auto" w:val="clear"/>
            <w:tcMar>
              <w:top w:type="dxa" w:w="80"/>
              <w:left w:type="dxa" w:w="100"/>
              <w:bottom w:type="dxa" w:w="80"/>
              <w:right w:type="dxa" w:w="100"/>
            </w:tcMar>
            <w:vAlign w:val="center"/>
          </w:tcPr>
          <w:p>
            <w:pPr>
              <w:jc w:val="center"/>
            </w:pPr>
            <w:r>
              <w:rPr>
                <w:b/>
                <w:bCs/>
                <w:color w:val="FFFFFF"/>
                <w:sz w:val="19"/>
                <w:szCs w:val="19"/>
              </w:rPr>
              <w:t xml:space="preserve">Title</w:t>
            </w:r>
          </w:p>
        </w:tc>
      </w:tr>
      <w:tr>
        <w:tc>
          <w:tcPr>
            <w:tcW w:type="dxa" w:w="600"/>
            <w:tcMar>
              <w:top w:type="dxa" w:w="80"/>
              <w:left w:type="dxa" w:w="100"/>
              <w:bottom w:type="dxa" w:w="80"/>
              <w:right w:type="dxa" w:w="100"/>
            </w:tcMar>
            <w:vAlign w:val="center"/>
          </w:tcPr>
          <w:p>
            <w:pPr>
              <w:jc w:val="center"/>
            </w:pPr>
            <w:r>
              <w:rPr>
                <w:b w:val="false"/>
                <w:bCs w:val="false"/>
                <w:color w:val="222222"/>
                <w:sz w:val="19"/>
                <w:szCs w:val="19"/>
              </w:rPr>
              <w:t xml:space="preserve">1</w:t>
            </w:r>
          </w:p>
        </w:tc>
        <w:tc>
          <w:tcPr>
            <w:tcW w:type="dxa" w:w="1450"/>
            <w:tcMar>
              <w:top w:type="dxa" w:w="80"/>
              <w:left w:type="dxa" w:w="100"/>
              <w:bottom w:type="dxa" w:w="80"/>
              <w:right w:type="dxa" w:w="100"/>
            </w:tcMar>
            <w:vAlign w:val="center"/>
          </w:tcPr>
          <w:p>
            <w:pPr>
              <w:jc w:val="left"/>
            </w:pPr>
            <w:r>
              <w:rPr>
                <w:b w:val="false"/>
                <w:bCs w:val="false"/>
                <w:color w:val="222222"/>
                <w:sz w:val="19"/>
                <w:szCs w:val="19"/>
              </w:rPr>
              <w:t xml:space="preserve">FND-0300</w:t>
            </w:r>
          </w:p>
        </w:tc>
        <w:tc>
          <w:tcPr>
            <w:tcW w:type="dxa" w:w="1250"/>
            <w:tcMar>
              <w:top w:type="dxa" w:w="80"/>
              <w:left w:type="dxa" w:w="100"/>
              <w:bottom w:type="dxa" w:w="80"/>
              <w:right w:type="dxa" w:w="100"/>
            </w:tcMar>
            <w:vAlign w:val="center"/>
          </w:tcPr>
          <w:p>
            <w:pPr>
              <w:jc w:val="center"/>
            </w:pPr>
            <w:r>
              <w:rPr>
                <w:b w:val="false"/>
                <w:bCs w:val="false"/>
                <w:color w:val="222222"/>
                <w:sz w:val="19"/>
                <w:szCs w:val="19"/>
              </w:rPr>
              <w:t xml:space="preserve">AWS</w:t>
            </w:r>
          </w:p>
        </w:tc>
        <w:tc>
          <w:tcPr>
            <w:tcW w:type="dxa" w:w="1400"/>
            <w:tcMar>
              <w:top w:type="dxa" w:w="80"/>
              <w:left w:type="dxa" w:w="100"/>
              <w:bottom w:type="dxa" w:w="80"/>
              <w:right w:type="dxa" w:w="100"/>
            </w:tcMar>
            <w:vAlign w:val="center"/>
          </w:tcPr>
          <w:p>
            <w:pPr>
              <w:jc w:val="center"/>
            </w:pPr>
            <w:r>
              <w:rPr>
                <w:b w:val="false"/>
                <w:bCs w:val="false"/>
                <w:color w:val="222222"/>
                <w:sz w:val="19"/>
                <w:szCs w:val="19"/>
              </w:rPr>
              <w:t xml:space="preserve">Critical</w:t>
            </w:r>
          </w:p>
        </w:tc>
        <w:tc>
          <w:tcPr>
            <w:tcW w:type="dxa" w:w="1150"/>
            <w:tcMar>
              <w:top w:type="dxa" w:w="80"/>
              <w:left w:type="dxa" w:w="100"/>
              <w:bottom w:type="dxa" w:w="80"/>
              <w:right w:type="dxa" w:w="100"/>
            </w:tcMar>
            <w:vAlign w:val="center"/>
          </w:tcPr>
          <w:p>
            <w:pPr>
              <w:jc w:val="center"/>
            </w:pPr>
            <w:r>
              <w:rPr>
                <w:b w:val="false"/>
                <w:bCs w:val="false"/>
                <w:color w:val="222222"/>
                <w:sz w:val="19"/>
                <w:szCs w:val="19"/>
              </w:rPr>
              <w:t xml:space="preserve">114.0</w:t>
            </w:r>
          </w:p>
        </w:tc>
        <w:tc>
          <w:tcPr>
            <w:tcW w:type="dxa" w:w="3500"/>
            <w:tcMar>
              <w:top w:type="dxa" w:w="80"/>
              <w:left w:type="dxa" w:w="100"/>
              <w:bottom w:type="dxa" w:w="80"/>
              <w:right w:type="dxa" w:w="100"/>
            </w:tcMar>
            <w:vAlign w:val="center"/>
          </w:tcPr>
          <w:p>
            <w:pPr>
              <w:jc w:val="left"/>
            </w:pPr>
            <w:r>
              <w:rPr>
                <w:b w:val="false"/>
                <w:bCs w:val="false"/>
                <w:color w:val="222222"/>
                <w:sz w:val="19"/>
                <w:szCs w:val="19"/>
              </w:rPr>
              <w:t xml:space="preserve">RDS instance publicly accessible</w:t>
            </w:r>
          </w:p>
        </w:tc>
      </w:tr>
      <w:tr>
        <w:tc>
          <w:tcPr>
            <w:tcW w:type="dxa" w:w="6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2</w:t>
            </w:r>
          </w:p>
        </w:tc>
        <w:tc>
          <w:tcPr>
            <w:tcW w:type="dxa" w:w="14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FND-0464</w:t>
            </w:r>
          </w:p>
        </w:tc>
        <w:tc>
          <w:tcPr>
            <w:tcW w:type="dxa" w:w="1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AWS</w:t>
            </w:r>
          </w:p>
        </w:tc>
        <w:tc>
          <w:tcPr>
            <w:tcW w:type="dxa" w:w="14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High</w:t>
            </w:r>
          </w:p>
        </w:tc>
        <w:tc>
          <w:tcPr>
            <w:tcW w:type="dxa" w:w="11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90.0</w:t>
            </w:r>
          </w:p>
        </w:tc>
        <w:tc>
          <w:tcPr>
            <w:tcW w:type="dxa" w:w="35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RDS instance publicly accessible</w:t>
            </w:r>
          </w:p>
        </w:tc>
      </w:tr>
      <w:tr>
        <w:tc>
          <w:tcPr>
            <w:tcW w:type="dxa" w:w="600"/>
            <w:tcMar>
              <w:top w:type="dxa" w:w="80"/>
              <w:left w:type="dxa" w:w="100"/>
              <w:bottom w:type="dxa" w:w="80"/>
              <w:right w:type="dxa" w:w="100"/>
            </w:tcMar>
            <w:vAlign w:val="center"/>
          </w:tcPr>
          <w:p>
            <w:pPr>
              <w:jc w:val="center"/>
            </w:pPr>
            <w:r>
              <w:rPr>
                <w:b w:val="false"/>
                <w:bCs w:val="false"/>
                <w:color w:val="222222"/>
                <w:sz w:val="19"/>
                <w:szCs w:val="19"/>
              </w:rPr>
              <w:t xml:space="preserve">3</w:t>
            </w:r>
          </w:p>
        </w:tc>
        <w:tc>
          <w:tcPr>
            <w:tcW w:type="dxa" w:w="1450"/>
            <w:tcMar>
              <w:top w:type="dxa" w:w="80"/>
              <w:left w:type="dxa" w:w="100"/>
              <w:bottom w:type="dxa" w:w="80"/>
              <w:right w:type="dxa" w:w="100"/>
            </w:tcMar>
            <w:vAlign w:val="center"/>
          </w:tcPr>
          <w:p>
            <w:pPr>
              <w:jc w:val="left"/>
            </w:pPr>
            <w:r>
              <w:rPr>
                <w:b w:val="false"/>
                <w:bCs w:val="false"/>
                <w:color w:val="222222"/>
                <w:sz w:val="19"/>
                <w:szCs w:val="19"/>
              </w:rPr>
              <w:t xml:space="preserve">FND-0061</w:t>
            </w:r>
          </w:p>
        </w:tc>
        <w:tc>
          <w:tcPr>
            <w:tcW w:type="dxa" w:w="1250"/>
            <w:tcMar>
              <w:top w:type="dxa" w:w="80"/>
              <w:left w:type="dxa" w:w="100"/>
              <w:bottom w:type="dxa" w:w="80"/>
              <w:right w:type="dxa" w:w="100"/>
            </w:tcMar>
            <w:vAlign w:val="center"/>
          </w:tcPr>
          <w:p>
            <w:pPr>
              <w:jc w:val="center"/>
            </w:pPr>
            <w:r>
              <w:rPr>
                <w:b w:val="false"/>
                <w:bCs w:val="false"/>
                <w:color w:val="222222"/>
                <w:sz w:val="19"/>
                <w:szCs w:val="19"/>
              </w:rPr>
              <w:t xml:space="preserve">AWS</w:t>
            </w:r>
          </w:p>
        </w:tc>
        <w:tc>
          <w:tcPr>
            <w:tcW w:type="dxa" w:w="1400"/>
            <w:tcMar>
              <w:top w:type="dxa" w:w="80"/>
              <w:left w:type="dxa" w:w="100"/>
              <w:bottom w:type="dxa" w:w="80"/>
              <w:right w:type="dxa" w:w="100"/>
            </w:tcMar>
            <w:vAlign w:val="center"/>
          </w:tcPr>
          <w:p>
            <w:pPr>
              <w:jc w:val="center"/>
            </w:pPr>
            <w:r>
              <w:rPr>
                <w:b w:val="false"/>
                <w:bCs w:val="false"/>
                <w:color w:val="222222"/>
                <w:sz w:val="19"/>
                <w:szCs w:val="19"/>
              </w:rPr>
              <w:t xml:space="preserve">High</w:t>
            </w:r>
          </w:p>
        </w:tc>
        <w:tc>
          <w:tcPr>
            <w:tcW w:type="dxa" w:w="1150"/>
            <w:tcMar>
              <w:top w:type="dxa" w:w="80"/>
              <w:left w:type="dxa" w:w="100"/>
              <w:bottom w:type="dxa" w:w="80"/>
              <w:right w:type="dxa" w:w="100"/>
            </w:tcMar>
            <w:vAlign w:val="center"/>
          </w:tcPr>
          <w:p>
            <w:pPr>
              <w:jc w:val="center"/>
            </w:pPr>
            <w:r>
              <w:rPr>
                <w:b w:val="false"/>
                <w:bCs w:val="false"/>
                <w:color w:val="222222"/>
                <w:sz w:val="19"/>
                <w:szCs w:val="19"/>
              </w:rPr>
              <w:t xml:space="preserve">90.0</w:t>
            </w:r>
          </w:p>
        </w:tc>
        <w:tc>
          <w:tcPr>
            <w:tcW w:type="dxa" w:w="3500"/>
            <w:tcMar>
              <w:top w:type="dxa" w:w="80"/>
              <w:left w:type="dxa" w:w="100"/>
              <w:bottom w:type="dxa" w:w="80"/>
              <w:right w:type="dxa" w:w="100"/>
            </w:tcMar>
            <w:vAlign w:val="center"/>
          </w:tcPr>
          <w:p>
            <w:pPr>
              <w:jc w:val="left"/>
            </w:pPr>
            <w:r>
              <w:rPr>
                <w:b w:val="false"/>
                <w:bCs w:val="false"/>
                <w:color w:val="222222"/>
                <w:sz w:val="19"/>
                <w:szCs w:val="19"/>
              </w:rPr>
              <w:t xml:space="preserve">IAM inline policy allows privilege escalation</w:t>
            </w:r>
          </w:p>
        </w:tc>
      </w:tr>
      <w:tr>
        <w:tc>
          <w:tcPr>
            <w:tcW w:type="dxa" w:w="6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4</w:t>
            </w:r>
          </w:p>
        </w:tc>
        <w:tc>
          <w:tcPr>
            <w:tcW w:type="dxa" w:w="14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FND-0315</w:t>
            </w:r>
          </w:p>
        </w:tc>
        <w:tc>
          <w:tcPr>
            <w:tcW w:type="dxa" w:w="1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Azure</w:t>
            </w:r>
          </w:p>
        </w:tc>
        <w:tc>
          <w:tcPr>
            <w:tcW w:type="dxa" w:w="14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Critical</w:t>
            </w:r>
          </w:p>
        </w:tc>
        <w:tc>
          <w:tcPr>
            <w:tcW w:type="dxa" w:w="11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85.5</w:t>
            </w:r>
          </w:p>
        </w:tc>
        <w:tc>
          <w:tcPr>
            <w:tcW w:type="dxa" w:w="35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SQL Server firewall allows all IPs</w:t>
            </w:r>
          </w:p>
        </w:tc>
      </w:tr>
      <w:tr>
        <w:tc>
          <w:tcPr>
            <w:tcW w:type="dxa" w:w="600"/>
            <w:tcMar>
              <w:top w:type="dxa" w:w="80"/>
              <w:left w:type="dxa" w:w="100"/>
              <w:bottom w:type="dxa" w:w="80"/>
              <w:right w:type="dxa" w:w="100"/>
            </w:tcMar>
            <w:vAlign w:val="center"/>
          </w:tcPr>
          <w:p>
            <w:pPr>
              <w:jc w:val="center"/>
            </w:pPr>
            <w:r>
              <w:rPr>
                <w:b w:val="false"/>
                <w:bCs w:val="false"/>
                <w:color w:val="222222"/>
                <w:sz w:val="19"/>
                <w:szCs w:val="19"/>
              </w:rPr>
              <w:t xml:space="preserve">5</w:t>
            </w:r>
          </w:p>
        </w:tc>
        <w:tc>
          <w:tcPr>
            <w:tcW w:type="dxa" w:w="1450"/>
            <w:tcMar>
              <w:top w:type="dxa" w:w="80"/>
              <w:left w:type="dxa" w:w="100"/>
              <w:bottom w:type="dxa" w:w="80"/>
              <w:right w:type="dxa" w:w="100"/>
            </w:tcMar>
            <w:vAlign w:val="center"/>
          </w:tcPr>
          <w:p>
            <w:pPr>
              <w:jc w:val="left"/>
            </w:pPr>
            <w:r>
              <w:rPr>
                <w:b w:val="false"/>
                <w:bCs w:val="false"/>
                <w:color w:val="222222"/>
                <w:sz w:val="19"/>
                <w:szCs w:val="19"/>
              </w:rPr>
              <w:t xml:space="preserve">FND-0040</w:t>
            </w:r>
          </w:p>
        </w:tc>
        <w:tc>
          <w:tcPr>
            <w:tcW w:type="dxa" w:w="1250"/>
            <w:tcMar>
              <w:top w:type="dxa" w:w="80"/>
              <w:left w:type="dxa" w:w="100"/>
              <w:bottom w:type="dxa" w:w="80"/>
              <w:right w:type="dxa" w:w="100"/>
            </w:tcMar>
            <w:vAlign w:val="center"/>
          </w:tcPr>
          <w:p>
            <w:pPr>
              <w:jc w:val="center"/>
            </w:pPr>
            <w:r>
              <w:rPr>
                <w:b w:val="false"/>
                <w:bCs w:val="false"/>
                <w:color w:val="222222"/>
                <w:sz w:val="19"/>
                <w:szCs w:val="19"/>
              </w:rPr>
              <w:t xml:space="preserve">AWS</w:t>
            </w:r>
          </w:p>
        </w:tc>
        <w:tc>
          <w:tcPr>
            <w:tcW w:type="dxa" w:w="1400"/>
            <w:tcMar>
              <w:top w:type="dxa" w:w="80"/>
              <w:left w:type="dxa" w:w="100"/>
              <w:bottom w:type="dxa" w:w="80"/>
              <w:right w:type="dxa" w:w="100"/>
            </w:tcMar>
            <w:vAlign w:val="center"/>
          </w:tcPr>
          <w:p>
            <w:pPr>
              <w:jc w:val="center"/>
            </w:pPr>
            <w:r>
              <w:rPr>
                <w:b w:val="false"/>
                <w:bCs w:val="false"/>
                <w:color w:val="222222"/>
                <w:sz w:val="19"/>
                <w:szCs w:val="19"/>
              </w:rPr>
              <w:t xml:space="preserve">Critical</w:t>
            </w:r>
          </w:p>
        </w:tc>
        <w:tc>
          <w:tcPr>
            <w:tcW w:type="dxa" w:w="1150"/>
            <w:tcMar>
              <w:top w:type="dxa" w:w="80"/>
              <w:left w:type="dxa" w:w="100"/>
              <w:bottom w:type="dxa" w:w="80"/>
              <w:right w:type="dxa" w:w="100"/>
            </w:tcMar>
            <w:vAlign w:val="center"/>
          </w:tcPr>
          <w:p>
            <w:pPr>
              <w:jc w:val="center"/>
            </w:pPr>
            <w:r>
              <w:rPr>
                <w:b w:val="false"/>
                <w:bCs w:val="false"/>
                <w:color w:val="222222"/>
                <w:sz w:val="19"/>
                <w:szCs w:val="19"/>
              </w:rPr>
              <w:t xml:space="preserve">85.5</w:t>
            </w:r>
          </w:p>
        </w:tc>
        <w:tc>
          <w:tcPr>
            <w:tcW w:type="dxa" w:w="3500"/>
            <w:tcMar>
              <w:top w:type="dxa" w:w="80"/>
              <w:left w:type="dxa" w:w="100"/>
              <w:bottom w:type="dxa" w:w="80"/>
              <w:right w:type="dxa" w:w="100"/>
            </w:tcMar>
            <w:vAlign w:val="center"/>
          </w:tcPr>
          <w:p>
            <w:pPr>
              <w:jc w:val="left"/>
            </w:pPr>
            <w:r>
              <w:rPr>
                <w:b w:val="false"/>
                <w:bCs w:val="false"/>
                <w:color w:val="222222"/>
                <w:sz w:val="19"/>
                <w:szCs w:val="19"/>
              </w:rPr>
              <w:t xml:space="preserve">EC2 security group allows ingress from the internet</w:t>
            </w:r>
          </w:p>
        </w:tc>
      </w:tr>
      <w:tr>
        <w:tc>
          <w:tcPr>
            <w:tcW w:type="dxa" w:w="6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6</w:t>
            </w:r>
          </w:p>
        </w:tc>
        <w:tc>
          <w:tcPr>
            <w:tcW w:type="dxa" w:w="14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FND-0299</w:t>
            </w:r>
          </w:p>
        </w:tc>
        <w:tc>
          <w:tcPr>
            <w:tcW w:type="dxa" w:w="1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AWS</w:t>
            </w:r>
          </w:p>
        </w:tc>
        <w:tc>
          <w:tcPr>
            <w:tcW w:type="dxa" w:w="14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Critical</w:t>
            </w:r>
          </w:p>
        </w:tc>
        <w:tc>
          <w:tcPr>
            <w:tcW w:type="dxa" w:w="11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85.5</w:t>
            </w:r>
          </w:p>
        </w:tc>
        <w:tc>
          <w:tcPr>
            <w:tcW w:type="dxa" w:w="35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Security group allows MySQL (3306) from 0.0.0.0/0</w:t>
            </w:r>
          </w:p>
        </w:tc>
      </w:tr>
      <w:tr>
        <w:tc>
          <w:tcPr>
            <w:tcW w:type="dxa" w:w="600"/>
            <w:tcMar>
              <w:top w:type="dxa" w:w="80"/>
              <w:left w:type="dxa" w:w="100"/>
              <w:bottom w:type="dxa" w:w="80"/>
              <w:right w:type="dxa" w:w="100"/>
            </w:tcMar>
            <w:vAlign w:val="center"/>
          </w:tcPr>
          <w:p>
            <w:pPr>
              <w:jc w:val="center"/>
            </w:pPr>
            <w:r>
              <w:rPr>
                <w:b w:val="false"/>
                <w:bCs w:val="false"/>
                <w:color w:val="222222"/>
                <w:sz w:val="19"/>
                <w:szCs w:val="19"/>
              </w:rPr>
              <w:t xml:space="preserve">7</w:t>
            </w:r>
          </w:p>
        </w:tc>
        <w:tc>
          <w:tcPr>
            <w:tcW w:type="dxa" w:w="1450"/>
            <w:tcMar>
              <w:top w:type="dxa" w:w="80"/>
              <w:left w:type="dxa" w:w="100"/>
              <w:bottom w:type="dxa" w:w="80"/>
              <w:right w:type="dxa" w:w="100"/>
            </w:tcMar>
            <w:vAlign w:val="center"/>
          </w:tcPr>
          <w:p>
            <w:pPr>
              <w:jc w:val="left"/>
            </w:pPr>
            <w:r>
              <w:rPr>
                <w:b w:val="false"/>
                <w:bCs w:val="false"/>
                <w:color w:val="222222"/>
                <w:sz w:val="19"/>
                <w:szCs w:val="19"/>
              </w:rPr>
              <w:t xml:space="preserve">FND-0260</w:t>
            </w:r>
          </w:p>
        </w:tc>
        <w:tc>
          <w:tcPr>
            <w:tcW w:type="dxa" w:w="1250"/>
            <w:tcMar>
              <w:top w:type="dxa" w:w="80"/>
              <w:left w:type="dxa" w:w="100"/>
              <w:bottom w:type="dxa" w:w="80"/>
              <w:right w:type="dxa" w:w="100"/>
            </w:tcMar>
            <w:vAlign w:val="center"/>
          </w:tcPr>
          <w:p>
            <w:pPr>
              <w:jc w:val="center"/>
            </w:pPr>
            <w:r>
              <w:rPr>
                <w:b w:val="false"/>
                <w:bCs w:val="false"/>
                <w:color w:val="222222"/>
                <w:sz w:val="19"/>
                <w:szCs w:val="19"/>
              </w:rPr>
              <w:t xml:space="preserve">Azure</w:t>
            </w:r>
          </w:p>
        </w:tc>
        <w:tc>
          <w:tcPr>
            <w:tcW w:type="dxa" w:w="1400"/>
            <w:tcMar>
              <w:top w:type="dxa" w:w="80"/>
              <w:left w:type="dxa" w:w="100"/>
              <w:bottom w:type="dxa" w:w="80"/>
              <w:right w:type="dxa" w:w="100"/>
            </w:tcMar>
            <w:vAlign w:val="center"/>
          </w:tcPr>
          <w:p>
            <w:pPr>
              <w:jc w:val="center"/>
            </w:pPr>
            <w:r>
              <w:rPr>
                <w:b w:val="false"/>
                <w:bCs w:val="false"/>
                <w:color w:val="222222"/>
                <w:sz w:val="19"/>
                <w:szCs w:val="19"/>
              </w:rPr>
              <w:t xml:space="preserve">Critical</w:t>
            </w:r>
          </w:p>
        </w:tc>
        <w:tc>
          <w:tcPr>
            <w:tcW w:type="dxa" w:w="1150"/>
            <w:tcMar>
              <w:top w:type="dxa" w:w="80"/>
              <w:left w:type="dxa" w:w="100"/>
              <w:bottom w:type="dxa" w:w="80"/>
              <w:right w:type="dxa" w:w="100"/>
            </w:tcMar>
            <w:vAlign w:val="center"/>
          </w:tcPr>
          <w:p>
            <w:pPr>
              <w:jc w:val="center"/>
            </w:pPr>
            <w:r>
              <w:rPr>
                <w:b w:val="false"/>
                <w:bCs w:val="false"/>
                <w:color w:val="222222"/>
                <w:sz w:val="19"/>
                <w:szCs w:val="19"/>
              </w:rPr>
              <w:t xml:space="preserve">85.5</w:t>
            </w:r>
          </w:p>
        </w:tc>
        <w:tc>
          <w:tcPr>
            <w:tcW w:type="dxa" w:w="3500"/>
            <w:tcMar>
              <w:top w:type="dxa" w:w="80"/>
              <w:left w:type="dxa" w:w="100"/>
              <w:bottom w:type="dxa" w:w="80"/>
              <w:right w:type="dxa" w:w="100"/>
            </w:tcMar>
            <w:vAlign w:val="center"/>
          </w:tcPr>
          <w:p>
            <w:pPr>
              <w:jc w:val="left"/>
            </w:pPr>
            <w:r>
              <w:rPr>
                <w:b w:val="false"/>
                <w:bCs w:val="false"/>
                <w:color w:val="222222"/>
                <w:sz w:val="19"/>
                <w:szCs w:val="19"/>
              </w:rPr>
              <w:t xml:space="preserve">Azure SQL Server missing firewall rules</w:t>
            </w:r>
          </w:p>
        </w:tc>
      </w:tr>
    </w:tbl>
    <w:p>
      <w:pPr>
        <w:pStyle w:val="Heading2"/>
        <w:spacing w:after="120" w:before="280"/>
      </w:pPr>
      <w:r>
        <w:rPr>
          <w:b/>
          <w:bCs/>
          <w:color w:val="1B2A4A"/>
          <w:sz w:val="25"/>
          <w:szCs w:val="25"/>
        </w:rPr>
        <w:t xml:space="preserve">6.4  ML Risk Classifier — RandomForest + SMOTE</w:t>
      </w:r>
    </w:p>
    <w:p>
      <w:pPr>
        <w:spacing w:after="160" w:line="276"/>
      </w:pPr>
      <w:r>
        <w:rPr>
          <w:color w:val="222222"/>
          <w:sz w:val="21"/>
          <w:szCs w:val="21"/>
        </w:rPr>
        <w:t xml:space="preserve">Features: CVSS, exposure, blast radius, service, severity, cloud provider. Split: 510 findings train / 219 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1B2A4A" w:color="auto" w:val="clear"/>
            <w:tcMar>
              <w:top w:type="dxa" w:w="80"/>
              <w:left w:type="dxa" w:w="100"/>
              <w:bottom w:type="dxa" w:w="80"/>
              <w:right w:type="dxa" w:w="100"/>
            </w:tcMar>
            <w:vAlign w:val="center"/>
          </w:tcPr>
          <w:p>
            <w:pPr>
              <w:jc w:val="center"/>
            </w:pPr>
            <w:r>
              <w:rPr>
                <w:b/>
                <w:bCs/>
                <w:color w:val="FFFFFF"/>
                <w:sz w:val="19"/>
                <w:szCs w:val="19"/>
              </w:rPr>
              <w:t xml:space="preserve">Metric</w:t>
            </w:r>
          </w:p>
        </w:tc>
        <w:tc>
          <w:tcPr>
            <w:tcW w:type="dxa" w:w="3000"/>
            <w:shd w:fill="1B2A4A" w:color="auto" w:val="clear"/>
            <w:tcMar>
              <w:top w:type="dxa" w:w="80"/>
              <w:left w:type="dxa" w:w="100"/>
              <w:bottom w:type="dxa" w:w="80"/>
              <w:right w:type="dxa" w:w="100"/>
            </w:tcMar>
            <w:vAlign w:val="center"/>
          </w:tcPr>
          <w:p>
            <w:pPr>
              <w:jc w:val="center"/>
            </w:pPr>
            <w:r>
              <w:rPr>
                <w:b/>
                <w:bCs/>
                <w:color w:val="FFFFFF"/>
                <w:sz w:val="19"/>
                <w:szCs w:val="19"/>
              </w:rPr>
              <w:t xml:space="preserve">Baseline (no SMOTE)</w:t>
            </w:r>
          </w:p>
        </w:tc>
        <w:tc>
          <w:tcPr>
            <w:tcW w:type="dxa" w:w="3000"/>
            <w:shd w:fill="1B2A4A" w:color="auto" w:val="clear"/>
            <w:tcMar>
              <w:top w:type="dxa" w:w="80"/>
              <w:left w:type="dxa" w:w="100"/>
              <w:bottom w:type="dxa" w:w="80"/>
              <w:right w:type="dxa" w:w="100"/>
            </w:tcMar>
            <w:vAlign w:val="center"/>
          </w:tcPr>
          <w:p>
            <w:pPr>
              <w:jc w:val="center"/>
            </w:pPr>
            <w:r>
              <w:rPr>
                <w:b/>
                <w:bCs/>
                <w:color w:val="FFFFFF"/>
                <w:sz w:val="19"/>
                <w:szCs w:val="19"/>
              </w:rPr>
              <w:t xml:space="preserve">SMOTE-Balanced</w:t>
            </w:r>
          </w:p>
        </w:tc>
      </w:tr>
      <w:tr>
        <w:tc>
          <w:tcPr>
            <w:tcW w:type="dxa" w:w="3350"/>
            <w:tcMar>
              <w:top w:type="dxa" w:w="80"/>
              <w:left w:type="dxa" w:w="100"/>
              <w:bottom w:type="dxa" w:w="80"/>
              <w:right w:type="dxa" w:w="100"/>
            </w:tcMar>
            <w:vAlign w:val="center"/>
          </w:tcPr>
          <w:p>
            <w:pPr>
              <w:jc w:val="left"/>
            </w:pPr>
            <w:r>
              <w:rPr>
                <w:b w:val="false"/>
                <w:bCs w:val="false"/>
                <w:color w:val="222222"/>
                <w:sz w:val="19"/>
                <w:szCs w:val="19"/>
              </w:rPr>
              <w:t xml:space="preserve">CV Accuracy</w:t>
            </w:r>
          </w:p>
        </w:tc>
        <w:tc>
          <w:tcPr>
            <w:tcW w:type="dxa" w:w="3000"/>
            <w:tcMar>
              <w:top w:type="dxa" w:w="80"/>
              <w:left w:type="dxa" w:w="100"/>
              <w:bottom w:type="dxa" w:w="80"/>
              <w:right w:type="dxa" w:w="100"/>
            </w:tcMar>
            <w:vAlign w:val="center"/>
          </w:tcPr>
          <w:p>
            <w:pPr>
              <w:jc w:val="left"/>
            </w:pPr>
            <w:r>
              <w:rPr>
                <w:b w:val="false"/>
                <w:bCs w:val="false"/>
                <w:color w:val="222222"/>
                <w:sz w:val="19"/>
                <w:szCs w:val="19"/>
              </w:rPr>
              <w:t xml:space="preserve">87.8% ± 7.5%</w:t>
            </w:r>
          </w:p>
        </w:tc>
        <w:tc>
          <w:tcPr>
            <w:tcW w:type="dxa" w:w="3000"/>
            <w:tcMar>
              <w:top w:type="dxa" w:w="80"/>
              <w:left w:type="dxa" w:w="100"/>
              <w:bottom w:type="dxa" w:w="80"/>
              <w:right w:type="dxa" w:w="100"/>
            </w:tcMar>
            <w:vAlign w:val="center"/>
          </w:tcPr>
          <w:p>
            <w:pPr>
              <w:jc w:val="left"/>
            </w:pPr>
            <w:r>
              <w:rPr>
                <w:b w:val="false"/>
                <w:bCs w:val="false"/>
                <w:color w:val="222222"/>
                <w:sz w:val="19"/>
                <w:szCs w:val="19"/>
              </w:rPr>
              <w:t xml:space="preserve">92.6% ± 8.7%</w:t>
            </w:r>
          </w:p>
        </w:tc>
      </w:tr>
      <w:tr>
        <w:tc>
          <w:tcPr>
            <w:tcW w:type="dxa" w:w="33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CV Macro-F1</w:t>
            </w:r>
          </w:p>
        </w:tc>
        <w:tc>
          <w:tcPr>
            <w:tcW w:type="dxa" w:w="30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76.7% ± 6.2%</w:t>
            </w:r>
          </w:p>
        </w:tc>
        <w:tc>
          <w:tcPr>
            <w:tcW w:type="dxa" w:w="30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82.4% ± 7.6%</w:t>
            </w:r>
          </w:p>
        </w:tc>
      </w:tr>
      <w:tr>
        <w:tc>
          <w:tcPr>
            <w:tcW w:type="dxa" w:w="3350"/>
            <w:tcMar>
              <w:top w:type="dxa" w:w="80"/>
              <w:left w:type="dxa" w:w="100"/>
              <w:bottom w:type="dxa" w:w="80"/>
              <w:right w:type="dxa" w:w="100"/>
            </w:tcMar>
            <w:vAlign w:val="center"/>
          </w:tcPr>
          <w:p>
            <w:pPr>
              <w:jc w:val="left"/>
            </w:pPr>
            <w:r>
              <w:rPr>
                <w:b w:val="false"/>
                <w:bCs w:val="false"/>
                <w:color w:val="222222"/>
                <w:sz w:val="19"/>
                <w:szCs w:val="19"/>
              </w:rPr>
              <w:t xml:space="preserve">HIGH-class Precision</w:t>
            </w:r>
          </w:p>
        </w:tc>
        <w:tc>
          <w:tcPr>
            <w:tcW w:type="dxa" w:w="3000"/>
            <w:tcMar>
              <w:top w:type="dxa" w:w="80"/>
              <w:left w:type="dxa" w:w="100"/>
              <w:bottom w:type="dxa" w:w="80"/>
              <w:right w:type="dxa" w:w="100"/>
            </w:tcMar>
            <w:vAlign w:val="center"/>
          </w:tcPr>
          <w:p>
            <w:pPr>
              <w:jc w:val="left"/>
            </w:pPr>
            <w:r>
              <w:rPr>
                <w:b w:val="false"/>
                <w:bCs w:val="false"/>
                <w:color w:val="222222"/>
                <w:sz w:val="19"/>
                <w:szCs w:val="19"/>
              </w:rPr>
              <w:t xml:space="preserve">20.0%</w:t>
            </w:r>
          </w:p>
        </w:tc>
        <w:tc>
          <w:tcPr>
            <w:tcW w:type="dxa" w:w="3000"/>
            <w:tcMar>
              <w:top w:type="dxa" w:w="80"/>
              <w:left w:type="dxa" w:w="100"/>
              <w:bottom w:type="dxa" w:w="80"/>
              <w:right w:type="dxa" w:w="100"/>
            </w:tcMar>
            <w:vAlign w:val="center"/>
          </w:tcPr>
          <w:p>
            <w:pPr>
              <w:jc w:val="left"/>
            </w:pPr>
            <w:r>
              <w:rPr>
                <w:b w:val="false"/>
                <w:bCs w:val="false"/>
                <w:color w:val="222222"/>
                <w:sz w:val="19"/>
                <w:szCs w:val="19"/>
              </w:rPr>
              <w:t xml:space="preserve">100.0%</w:t>
            </w:r>
          </w:p>
        </w:tc>
      </w:tr>
      <w:tr>
        <w:tc>
          <w:tcPr>
            <w:tcW w:type="dxa" w:w="33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HIGH-class Recall</w:t>
            </w:r>
          </w:p>
        </w:tc>
        <w:tc>
          <w:tcPr>
            <w:tcW w:type="dxa" w:w="30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85.7%</w:t>
            </w:r>
          </w:p>
        </w:tc>
        <w:tc>
          <w:tcPr>
            <w:tcW w:type="dxa" w:w="30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71.4%</w:t>
            </w:r>
          </w:p>
        </w:tc>
      </w:tr>
      <w:tr>
        <w:tc>
          <w:tcPr>
            <w:tcW w:type="dxa" w:w="3350"/>
            <w:tcMar>
              <w:top w:type="dxa" w:w="80"/>
              <w:left w:type="dxa" w:w="100"/>
              <w:bottom w:type="dxa" w:w="80"/>
              <w:right w:type="dxa" w:w="100"/>
            </w:tcMar>
            <w:vAlign w:val="center"/>
          </w:tcPr>
          <w:p>
            <w:pPr>
              <w:jc w:val="left"/>
            </w:pPr>
            <w:r>
              <w:rPr>
                <w:b w:val="false"/>
                <w:bCs w:val="false"/>
                <w:color w:val="222222"/>
                <w:sz w:val="19"/>
                <w:szCs w:val="19"/>
              </w:rPr>
              <w:t xml:space="preserve">HIGH-class F1</w:t>
            </w:r>
          </w:p>
        </w:tc>
        <w:tc>
          <w:tcPr>
            <w:tcW w:type="dxa" w:w="3000"/>
            <w:tcMar>
              <w:top w:type="dxa" w:w="80"/>
              <w:left w:type="dxa" w:w="100"/>
              <w:bottom w:type="dxa" w:w="80"/>
              <w:right w:type="dxa" w:w="100"/>
            </w:tcMar>
            <w:vAlign w:val="center"/>
          </w:tcPr>
          <w:p>
            <w:pPr>
              <w:jc w:val="left"/>
            </w:pPr>
            <w:r>
              <w:rPr>
                <w:b w:val="false"/>
                <w:bCs w:val="false"/>
                <w:color w:val="222222"/>
                <w:sz w:val="19"/>
                <w:szCs w:val="19"/>
              </w:rPr>
              <w:t xml:space="preserve">32.4%</w:t>
            </w:r>
          </w:p>
        </w:tc>
        <w:tc>
          <w:tcPr>
            <w:tcW w:type="dxa" w:w="3000"/>
            <w:tcMar>
              <w:top w:type="dxa" w:w="80"/>
              <w:left w:type="dxa" w:w="100"/>
              <w:bottom w:type="dxa" w:w="80"/>
              <w:right w:type="dxa" w:w="100"/>
            </w:tcMar>
            <w:vAlign w:val="center"/>
          </w:tcPr>
          <w:p>
            <w:pPr>
              <w:jc w:val="left"/>
            </w:pPr>
            <w:r>
              <w:rPr>
                <w:b w:val="false"/>
                <w:bCs w:val="false"/>
                <w:color w:val="222222"/>
                <w:sz w:val="19"/>
                <w:szCs w:val="19"/>
              </w:rPr>
              <w:t xml:space="preserve">83.3%</w:t>
            </w:r>
          </w:p>
        </w:tc>
      </w:tr>
    </w:tbl>
    <w:p>
      <w:pPr>
        <w:spacing w:after="160" w:line="276"/>
      </w:pPr>
      <w:r>
        <w:rPr>
          <w:color w:val="222222"/>
          <w:sz w:val="21"/>
          <w:szCs w:val="21"/>
        </w:rPr>
        <w:t xml:space="preserve">Test-set accuracy on a single held-out split reached 88.6%, with a 0.019 gap between training and cross-validation accuracy after SMOTE — a good fit with low overfitting. HIGH is only 3.4% of findings (25 of 729); before SMOTE the model over-flagged this class constantly (80% false-positive rate on HIGH calls), which is dangerous for a triage tool that a human is meant to trust. SMOTE rebalancing corrected this: HIGH-class precision moved from 1-in-5 correct to 100% correct, at the cost of catching a smaller share of the true HIGH findings (recall dropped from 85.7% to 71.4%) — an explicit, documented precision/recall trade-off rather than an unexamined win.</w:t>
      </w:r>
    </w:p>
    <w:p>
      <w:pPr>
        <w:spacing w:after="6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28925"/>
                    </a:xfrm>
                    <a:prstGeom prst="rect">
                      <a:avLst/>
                    </a:prstGeom>
                  </pic:spPr>
                </pic:pic>
              </a:graphicData>
            </a:graphic>
          </wp:inline>
        </w:drawing>
      </w:r>
    </w:p>
    <w:p>
      <w:pPr>
        <w:spacing w:after="240" w:before="60"/>
        <w:jc w:val="center"/>
      </w:pPr>
      <w:r>
        <w:rPr>
          <w:i/>
          <w:iCs/>
          <w:color w:val="5F6368"/>
          <w:sz w:val="18"/>
          <w:szCs w:val="18"/>
        </w:rPr>
        <w:t xml:space="preserve">Figure 2 — SMOTE-balanced RandomForest dashboard: confusion matrix, feature importance, and class-wise precision/recall (multi-cloud).</w:t>
      </w:r>
    </w:p>
    <w:p>
      <w:pPr>
        <w:spacing w:after="60" w:before="120"/>
        <w:jc w:val="center"/>
      </w:pPr>
      <w:r>
        <w:drawing>
          <wp:inline distT="0" distB="0" distL="0" distR="0">
            <wp:extent cx="5715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448175"/>
                    </a:xfrm>
                    <a:prstGeom prst="rect">
                      <a:avLst/>
                    </a:prstGeom>
                  </pic:spPr>
                </pic:pic>
              </a:graphicData>
            </a:graphic>
          </wp:inline>
        </w:drawing>
      </w:r>
    </w:p>
    <w:p>
      <w:pPr>
        <w:spacing w:after="240" w:before="60"/>
        <w:jc w:val="center"/>
      </w:pPr>
      <w:r>
        <w:rPr>
          <w:i/>
          <w:iCs/>
          <w:color w:val="5F6368"/>
          <w:sz w:val="18"/>
          <w:szCs w:val="18"/>
        </w:rPr>
        <w:t xml:space="preserve">Figure 3 — Before vs. after SMOTE: class-balance and HIGH-class precision/recall comparison.</w:t>
      </w:r>
    </w:p>
    <w:p>
      <w:pPr>
        <w:spacing w:after="160" w:line="276"/>
      </w:pPr>
      <w:r>
        <w:rPr>
          <w:color w:val="222222"/>
          <w:sz w:val="21"/>
          <w:szCs w:val="21"/>
        </w:rPr>
        <w:t xml:space="preserve">Feature importance confirms the model is learning from the right signal: CVSS (48.9%) and severity (32.4%) dominate, with exposure (11.5%) and service (7.2%) contributing secondary signal — not an opaque or spurious fit.</w:t>
      </w:r>
    </w:p>
    <w:p>
      <w:r>
        <w:br w:type="page"/>
      </w:r>
    </w:p>
    <w:p>
      <w:pPr>
        <w:pStyle w:val="Heading1"/>
        <w:pBdr>
          <w:bottom w:val="single" w:color="0E7C7B" w:sz="6" w:space="4"/>
        </w:pBdr>
        <w:spacing w:after="160" w:before="360"/>
      </w:pPr>
      <w:r>
        <w:rPr>
          <w:b/>
          <w:bCs/>
          <w:color w:val="1B2A4A"/>
          <w:sz w:val="30"/>
          <w:szCs w:val="30"/>
        </w:rPr>
        <w:t xml:space="preserve">7. Results — GenAI Remediation Guidance &amp; Privacy Safeguards</w:t>
      </w:r>
    </w:p>
    <w:p>
      <w:pPr>
        <w:pStyle w:val="Heading2"/>
        <w:spacing w:after="120" w:before="280"/>
      </w:pPr>
      <w:r>
        <w:rPr>
          <w:b/>
          <w:bCs/>
          <w:color w:val="1B2A4A"/>
          <w:sz w:val="25"/>
          <w:szCs w:val="25"/>
        </w:rPr>
        <w:t xml:space="preserve">7.1  Retrieval-Augmented Remediation Guidance</w:t>
      </w:r>
    </w:p>
    <w:p>
      <w:pPr>
        <w:spacing w:after="160" w:line="276"/>
      </w:pPr>
      <w:r>
        <w:rPr>
          <w:color w:val="222222"/>
          <w:sz w:val="21"/>
          <w:szCs w:val="21"/>
        </w:rPr>
        <w:t xml:space="preserve">The 15 top-priority findings from the P0/P1 bands were routed through a three-stage RAG pipeline:</w:t>
      </w:r>
    </w:p>
    <w:p>
      <w:pPr>
        <w:pStyle w:val="ListParagraph"/>
        <w:numPr>
          <w:ilvl w:val="0"/>
          <w:numId w:val="1"/>
        </w:numPr>
        <w:spacing w:after="80" w:line="264"/>
      </w:pPr>
      <w:r>
        <w:rPr>
          <w:color w:val="222222"/>
          <w:sz w:val="21"/>
          <w:szCs w:val="21"/>
        </w:rPr>
        <w:t xml:space="preserve">Retrieve — top-k=3 chunks pulled from a compliance knowledge base (CIS AWS Foundations Benchmark v5.0.0, Microsoft Cloud Security Benchmark, AWS Well-Architected Framework, plus ISO 27001:2022, HIPAA, and DPDP Act 2023 chunks) via nv-embedqa-e5-v5 embeddings.</w:t>
      </w:r>
    </w:p>
    <w:p>
      <w:pPr>
        <w:pStyle w:val="ListParagraph"/>
        <w:numPr>
          <w:ilvl w:val="0"/>
          <w:numId w:val="1"/>
        </w:numPr>
        <w:spacing w:after="80" w:line="264"/>
      </w:pPr>
      <w:r>
        <w:rPr>
          <w:color w:val="222222"/>
          <w:sz w:val="21"/>
          <w:szCs w:val="21"/>
        </w:rPr>
        <w:t xml:space="preserve">Generate — meta/llama-3.1-8b-instruct (NVIDIA NIM API) drafts a 2-line, plain-English fix for each finding, grounded in the retrieved control text.</w:t>
      </w:r>
    </w:p>
    <w:p>
      <w:pPr>
        <w:pStyle w:val="ListParagraph"/>
        <w:numPr>
          <w:ilvl w:val="0"/>
          <w:numId w:val="1"/>
        </w:numPr>
        <w:spacing w:after="80" w:line="264"/>
      </w:pPr>
      <w:r>
        <w:rPr>
          <w:color w:val="222222"/>
          <w:sz w:val="21"/>
          <w:szCs w:val="21"/>
        </w:rPr>
        <w:t xml:space="preserve">Verify — a dual embedding-similarity grounding check validates the generated guidance against both the retrieved control text and the raw scanner finding before acceptance (Stage A ≥ 0.55, Stage B ≥ 0.35); an LLM-as-judge verifier was trialled and rejected during Week 2 for producing inconsistent verdicts.</w:t>
      </w:r>
    </w:p>
    <w:p>
      <w:pPr>
        <w:spacing w:after="160" w:line="276"/>
      </w:pPr>
      <w:r>
        <w:rPr>
          <w:color w:val="222222"/>
          <w:sz w:val="21"/>
          <w:szCs w:val="21"/>
        </w:rPr>
        <w:t xml:space="preserve">Result: 14 of 15 findings (93%) verified automatically against raw scan data; the remaining 1 was correctly flagged REVIEW and routed to a human check rather than silently accepted. Example: FND-0300 (RDS Instance Publicly Accessible, AWS, Critical) retrieved the matching CIS AWS Foundations Benchmark v5.0.0 control, generated a 2-line fix, and passed the embedding-similarity verification against the raw finding before being marked usable.</w:t>
      </w:r>
    </w:p>
    <w:p>
      <w:pPr>
        <w:pStyle w:val="Heading2"/>
        <w:spacing w:after="120" w:before="280"/>
      </w:pPr>
      <w:r>
        <w:rPr>
          <w:b/>
          <w:bCs/>
          <w:color w:val="1B2A4A"/>
          <w:sz w:val="25"/>
          <w:szCs w:val="25"/>
        </w:rPr>
        <w:t xml:space="preserve">7.2  OWASP LLM06 Redaction Engine</w:t>
      </w:r>
    </w:p>
    <w:p>
      <w:pPr>
        <w:spacing w:after="160" w:line="276"/>
      </w:pPr>
      <w:r>
        <w:rPr>
          <w:color w:val="222222"/>
          <w:sz w:val="21"/>
          <w:szCs w:val="21"/>
        </w:rPr>
        <w:t xml:space="preserve">Before any finding text reaches the LLM, a redaction engine strips sensitive identifiers, mapped in-memory only, never persisted or sent externally. Across the processed findings, 167 unique sensitive values were redacted across 13 categories: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1450"/>
        <w:gridCol w:w="2900"/>
        <w:gridCol w:w="1450"/>
      </w:tblGrid>
      <w:tr>
        <w:trPr>
          <w:tblHeader/>
        </w:trPr>
        <w:tc>
          <w:tcPr>
            <w:tcW w:type="dxa" w:w="2900"/>
            <w:shd w:fill="1B2A4A" w:color="auto" w:val="clear"/>
            <w:tcMar>
              <w:top w:type="dxa" w:w="80"/>
              <w:left w:type="dxa" w:w="100"/>
              <w:bottom w:type="dxa" w:w="80"/>
              <w:right w:type="dxa" w:w="100"/>
            </w:tcMar>
            <w:vAlign w:val="center"/>
          </w:tcPr>
          <w:p>
            <w:pPr>
              <w:jc w:val="center"/>
            </w:pPr>
            <w:r>
              <w:rPr>
                <w:b/>
                <w:bCs/>
                <w:color w:val="FFFFFF"/>
                <w:sz w:val="19"/>
                <w:szCs w:val="19"/>
              </w:rPr>
              <w:t xml:space="preserve">Category</w:t>
            </w:r>
          </w:p>
        </w:tc>
        <w:tc>
          <w:tcPr>
            <w:tcW w:type="dxa" w:w="1450"/>
            <w:shd w:fill="1B2A4A" w:color="auto" w:val="clear"/>
            <w:tcMar>
              <w:top w:type="dxa" w:w="80"/>
              <w:left w:type="dxa" w:w="100"/>
              <w:bottom w:type="dxa" w:w="80"/>
              <w:right w:type="dxa" w:w="100"/>
            </w:tcMar>
            <w:vAlign w:val="center"/>
          </w:tcPr>
          <w:p>
            <w:pPr>
              <w:jc w:val="center"/>
            </w:pPr>
            <w:r>
              <w:rPr>
                <w:b/>
                <w:bCs/>
                <w:color w:val="FFFFFF"/>
                <w:sz w:val="19"/>
                <w:szCs w:val="19"/>
              </w:rPr>
              <w:t xml:space="preserve">Count</w:t>
            </w:r>
          </w:p>
        </w:tc>
        <w:tc>
          <w:tcPr>
            <w:tcW w:type="dxa" w:w="2900"/>
            <w:shd w:fill="1B2A4A" w:color="auto" w:val="clear"/>
            <w:tcMar>
              <w:top w:type="dxa" w:w="80"/>
              <w:left w:type="dxa" w:w="100"/>
              <w:bottom w:type="dxa" w:w="80"/>
              <w:right w:type="dxa" w:w="100"/>
            </w:tcMar>
            <w:vAlign w:val="center"/>
          </w:tcPr>
          <w:p>
            <w:pPr>
              <w:jc w:val="center"/>
            </w:pPr>
            <w:r>
              <w:rPr>
                <w:b/>
                <w:bCs/>
                <w:color w:val="FFFFFF"/>
                <w:sz w:val="19"/>
                <w:szCs w:val="19"/>
              </w:rPr>
              <w:t xml:space="preserve">Category</w:t>
            </w:r>
          </w:p>
        </w:tc>
        <w:tc>
          <w:tcPr>
            <w:tcW w:type="dxa" w:w="1450"/>
            <w:shd w:fill="1B2A4A" w:color="auto" w:val="clear"/>
            <w:tcMar>
              <w:top w:type="dxa" w:w="80"/>
              <w:left w:type="dxa" w:w="100"/>
              <w:bottom w:type="dxa" w:w="80"/>
              <w:right w:type="dxa" w:w="100"/>
            </w:tcMar>
            <w:vAlign w:val="center"/>
          </w:tcPr>
          <w:p>
            <w:pPr>
              <w:jc w:val="center"/>
            </w:pPr>
            <w:r>
              <w:rPr>
                <w:b/>
                <w:bCs/>
                <w:color w:val="FFFFFF"/>
                <w:sz w:val="19"/>
                <w:szCs w:val="19"/>
              </w:rPr>
              <w:t xml:space="preserve">Count</w:t>
            </w:r>
          </w:p>
        </w:tc>
      </w:tr>
      <w:tr>
        <w:tc>
          <w:tcPr>
            <w:tcW w:type="dxa" w:w="2900"/>
            <w:tcMar>
              <w:top w:type="dxa" w:w="80"/>
              <w:left w:type="dxa" w:w="100"/>
              <w:bottom w:type="dxa" w:w="80"/>
              <w:right w:type="dxa" w:w="100"/>
            </w:tcMar>
            <w:vAlign w:val="center"/>
          </w:tcPr>
          <w:p>
            <w:pPr>
              <w:jc w:val="left"/>
            </w:pPr>
            <w:r>
              <w:rPr>
                <w:b w:val="false"/>
                <w:bCs w:val="false"/>
                <w:color w:val="222222"/>
                <w:sz w:val="19"/>
                <w:szCs w:val="19"/>
              </w:rPr>
              <w:t xml:space="preserve">Subnet IDs</w:t>
            </w:r>
          </w:p>
        </w:tc>
        <w:tc>
          <w:tcPr>
            <w:tcW w:type="dxa" w:w="1450"/>
            <w:tcMar>
              <w:top w:type="dxa" w:w="80"/>
              <w:left w:type="dxa" w:w="100"/>
              <w:bottom w:type="dxa" w:w="80"/>
              <w:right w:type="dxa" w:w="100"/>
            </w:tcMar>
            <w:vAlign w:val="center"/>
          </w:tcPr>
          <w:p>
            <w:pPr>
              <w:jc w:val="center"/>
            </w:pPr>
            <w:r>
              <w:rPr>
                <w:b w:val="false"/>
                <w:bCs w:val="false"/>
                <w:color w:val="222222"/>
                <w:sz w:val="19"/>
                <w:szCs w:val="19"/>
              </w:rPr>
              <w:t xml:space="preserve">57</w:t>
            </w:r>
          </w:p>
        </w:tc>
        <w:tc>
          <w:tcPr>
            <w:tcW w:type="dxa" w:w="2900"/>
            <w:tcMar>
              <w:top w:type="dxa" w:w="80"/>
              <w:left w:type="dxa" w:w="100"/>
              <w:bottom w:type="dxa" w:w="80"/>
              <w:right w:type="dxa" w:w="100"/>
            </w:tcMar>
            <w:vAlign w:val="center"/>
          </w:tcPr>
          <w:p>
            <w:pPr>
              <w:jc w:val="left"/>
            </w:pPr>
            <w:r>
              <w:rPr>
                <w:b w:val="false"/>
                <w:bCs w:val="false"/>
                <w:color w:val="222222"/>
                <w:sz w:val="19"/>
                <w:szCs w:val="19"/>
              </w:rPr>
              <w:t xml:space="preserve">Network ACL IDs</w:t>
            </w:r>
          </w:p>
        </w:tc>
        <w:tc>
          <w:tcPr>
            <w:tcW w:type="dxa" w:w="1450"/>
            <w:tcMar>
              <w:top w:type="dxa" w:w="80"/>
              <w:left w:type="dxa" w:w="100"/>
              <w:bottom w:type="dxa" w:w="80"/>
              <w:right w:type="dxa" w:w="100"/>
            </w:tcMar>
            <w:vAlign w:val="center"/>
          </w:tcPr>
          <w:p>
            <w:pPr>
              <w:jc w:val="center"/>
            </w:pPr>
            <w:r>
              <w:rPr>
                <w:b w:val="false"/>
                <w:bCs w:val="false"/>
                <w:color w:val="222222"/>
                <w:sz w:val="19"/>
                <w:szCs w:val="19"/>
              </w:rPr>
              <w:t xml:space="preserve">18</w:t>
            </w:r>
          </w:p>
        </w:tc>
      </w:tr>
      <w:tr>
        <w:tc>
          <w:tcPr>
            <w:tcW w:type="dxa" w:w="29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AWS Secret Keys</w:t>
            </w:r>
          </w:p>
        </w:tc>
        <w:tc>
          <w:tcPr>
            <w:tcW w:type="dxa" w:w="14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27</w:t>
            </w:r>
          </w:p>
        </w:tc>
        <w:tc>
          <w:tcPr>
            <w:tcW w:type="dxa" w:w="29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Project Resource Names</w:t>
            </w:r>
          </w:p>
        </w:tc>
        <w:tc>
          <w:tcPr>
            <w:tcW w:type="dxa" w:w="14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15</w:t>
            </w:r>
          </w:p>
        </w:tc>
      </w:tr>
      <w:tr>
        <w:tc>
          <w:tcPr>
            <w:tcW w:type="dxa" w:w="2900"/>
            <w:tcMar>
              <w:top w:type="dxa" w:w="80"/>
              <w:left w:type="dxa" w:w="100"/>
              <w:bottom w:type="dxa" w:w="80"/>
              <w:right w:type="dxa" w:w="100"/>
            </w:tcMar>
            <w:vAlign w:val="center"/>
          </w:tcPr>
          <w:p>
            <w:pPr>
              <w:jc w:val="left"/>
            </w:pPr>
            <w:r>
              <w:rPr>
                <w:b w:val="false"/>
                <w:bCs w:val="false"/>
                <w:color w:val="222222"/>
                <w:sz w:val="19"/>
                <w:szCs w:val="19"/>
              </w:rPr>
              <w:t xml:space="preserve">Security Group IDs</w:t>
            </w:r>
          </w:p>
        </w:tc>
        <w:tc>
          <w:tcPr>
            <w:tcW w:type="dxa" w:w="1450"/>
            <w:tcMar>
              <w:top w:type="dxa" w:w="80"/>
              <w:left w:type="dxa" w:w="100"/>
              <w:bottom w:type="dxa" w:w="80"/>
              <w:right w:type="dxa" w:w="100"/>
            </w:tcMar>
            <w:vAlign w:val="center"/>
          </w:tcPr>
          <w:p>
            <w:pPr>
              <w:jc w:val="center"/>
            </w:pPr>
            <w:r>
              <w:rPr>
                <w:b w:val="false"/>
                <w:bCs w:val="false"/>
                <w:color w:val="222222"/>
                <w:sz w:val="19"/>
                <w:szCs w:val="19"/>
              </w:rPr>
              <w:t xml:space="preserve">21</w:t>
            </w:r>
          </w:p>
        </w:tc>
        <w:tc>
          <w:tcPr>
            <w:tcW w:type="dxa" w:w="2900"/>
            <w:tcMar>
              <w:top w:type="dxa" w:w="80"/>
              <w:left w:type="dxa" w:w="100"/>
              <w:bottom w:type="dxa" w:w="80"/>
              <w:right w:type="dxa" w:w="100"/>
            </w:tcMar>
            <w:vAlign w:val="center"/>
          </w:tcPr>
          <w:p>
            <w:pPr>
              <w:jc w:val="left"/>
            </w:pPr>
            <w:r>
              <w:rPr>
                <w:b w:val="false"/>
                <w:bCs w:val="false"/>
                <w:color w:val="222222"/>
                <w:sz w:val="19"/>
                <w:szCs w:val="19"/>
              </w:rPr>
              <w:t xml:space="preserve">IPv4 Addresses</w:t>
            </w:r>
          </w:p>
        </w:tc>
        <w:tc>
          <w:tcPr>
            <w:tcW w:type="dxa" w:w="1450"/>
            <w:tcMar>
              <w:top w:type="dxa" w:w="80"/>
              <w:left w:type="dxa" w:w="100"/>
              <w:bottom w:type="dxa" w:w="80"/>
              <w:right w:type="dxa" w:w="100"/>
            </w:tcMar>
            <w:vAlign w:val="center"/>
          </w:tcPr>
          <w:p>
            <w:pPr>
              <w:jc w:val="center"/>
            </w:pPr>
            <w:r>
              <w:rPr>
                <w:b w:val="false"/>
                <w:bCs w:val="false"/>
                <w:color w:val="222222"/>
                <w:sz w:val="19"/>
                <w:szCs w:val="19"/>
              </w:rPr>
              <w:t xml:space="preserve">3</w:t>
            </w:r>
          </w:p>
        </w:tc>
      </w:tr>
      <w:tr>
        <w:tc>
          <w:tcPr>
            <w:tcW w:type="dxa" w:w="29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VPC IDs</w:t>
            </w:r>
          </w:p>
        </w:tc>
        <w:tc>
          <w:tcPr>
            <w:tcW w:type="dxa" w:w="14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18</w:t>
            </w:r>
          </w:p>
        </w:tc>
        <w:tc>
          <w:tcPr>
            <w:tcW w:type="dxa" w:w="29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Azure Subscription IDs</w:t>
            </w:r>
          </w:p>
        </w:tc>
        <w:tc>
          <w:tcPr>
            <w:tcW w:type="dxa" w:w="14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3</w:t>
            </w:r>
          </w:p>
        </w:tc>
      </w:tr>
      <w:tr>
        <w:tc>
          <w:tcPr>
            <w:tcW w:type="dxa" w:w="2900"/>
            <w:tcMar>
              <w:top w:type="dxa" w:w="80"/>
              <w:left w:type="dxa" w:w="100"/>
              <w:bottom w:type="dxa" w:w="80"/>
              <w:right w:type="dxa" w:w="100"/>
            </w:tcMar>
            <w:vAlign w:val="center"/>
          </w:tcPr>
          <w:p>
            <w:pPr>
              <w:jc w:val="left"/>
            </w:pPr>
            <w:r>
              <w:rPr>
                <w:b w:val="false"/>
                <w:bCs w:val="false"/>
                <w:color w:val="222222"/>
                <w:sz w:val="19"/>
                <w:szCs w:val="19"/>
              </w:rPr>
              <w:t xml:space="preserve">Instance ID</w:t>
            </w:r>
          </w:p>
        </w:tc>
        <w:tc>
          <w:tcPr>
            <w:tcW w:type="dxa" w:w="1450"/>
            <w:tcMar>
              <w:top w:type="dxa" w:w="80"/>
              <w:left w:type="dxa" w:w="100"/>
              <w:bottom w:type="dxa" w:w="80"/>
              <w:right w:type="dxa" w:w="100"/>
            </w:tcMar>
            <w:vAlign w:val="center"/>
          </w:tcPr>
          <w:p>
            <w:pPr>
              <w:jc w:val="center"/>
            </w:pPr>
            <w:r>
              <w:rPr>
                <w:b w:val="false"/>
                <w:bCs w:val="false"/>
                <w:color w:val="222222"/>
                <w:sz w:val="19"/>
                <w:szCs w:val="19"/>
              </w:rPr>
              <w:t xml:space="preserve">1</w:t>
            </w:r>
          </w:p>
        </w:tc>
        <w:tc>
          <w:tcPr>
            <w:tcW w:type="dxa" w:w="2900"/>
            <w:tcMar>
              <w:top w:type="dxa" w:w="80"/>
              <w:left w:type="dxa" w:w="100"/>
              <w:bottom w:type="dxa" w:w="80"/>
              <w:right w:type="dxa" w:w="100"/>
            </w:tcMar>
            <w:vAlign w:val="center"/>
          </w:tcPr>
          <w:p>
            <w:pPr>
              <w:jc w:val="left"/>
            </w:pPr>
            <w:r>
              <w:rPr>
                <w:b w:val="false"/>
                <w:bCs w:val="false"/>
                <w:color w:val="222222"/>
                <w:sz w:val="19"/>
                <w:szCs w:val="19"/>
              </w:rPr>
              <w:t xml:space="preserve">IAM ARN</w:t>
            </w:r>
          </w:p>
        </w:tc>
        <w:tc>
          <w:tcPr>
            <w:tcW w:type="dxa" w:w="1450"/>
            <w:tcMar>
              <w:top w:type="dxa" w:w="80"/>
              <w:left w:type="dxa" w:w="100"/>
              <w:bottom w:type="dxa" w:w="80"/>
              <w:right w:type="dxa" w:w="100"/>
            </w:tcMar>
            <w:vAlign w:val="center"/>
          </w:tcPr>
          <w:p>
            <w:pPr>
              <w:jc w:val="center"/>
            </w:pPr>
            <w:r>
              <w:rPr>
                <w:b w:val="false"/>
                <w:bCs w:val="false"/>
                <w:color w:val="222222"/>
                <w:sz w:val="19"/>
                <w:szCs w:val="19"/>
              </w:rPr>
              <w:t xml:space="preserve">1</w:t>
            </w:r>
          </w:p>
        </w:tc>
      </w:tr>
      <w:tr>
        <w:tc>
          <w:tcPr>
            <w:tcW w:type="dxa" w:w="29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RDS Endpoint</w:t>
            </w:r>
          </w:p>
        </w:tc>
        <w:tc>
          <w:tcPr>
            <w:tcW w:type="dxa" w:w="14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w:t>
            </w:r>
          </w:p>
        </w:tc>
        <w:tc>
          <w:tcPr>
            <w:tcW w:type="dxa" w:w="29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Volume ID</w:t>
            </w:r>
          </w:p>
        </w:tc>
        <w:tc>
          <w:tcPr>
            <w:tcW w:type="dxa" w:w="14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w:t>
            </w:r>
          </w:p>
        </w:tc>
      </w:tr>
      <w:tr>
        <w:tc>
          <w:tcPr>
            <w:tcW w:type="dxa" w:w="2900"/>
            <w:tcMar>
              <w:top w:type="dxa" w:w="80"/>
              <w:left w:type="dxa" w:w="100"/>
              <w:bottom w:type="dxa" w:w="80"/>
              <w:right w:type="dxa" w:w="100"/>
            </w:tcMar>
            <w:vAlign w:val="center"/>
          </w:tcPr>
          <w:p>
            <w:pPr>
              <w:jc w:val="left"/>
            </w:pPr>
            <w:r>
              <w:rPr>
                <w:b w:val="false"/>
                <w:bCs w:val="false"/>
                <w:color w:val="222222"/>
                <w:sz w:val="19"/>
                <w:szCs w:val="19"/>
              </w:rPr>
              <w:t xml:space="preserve">Account ID</w:t>
            </w:r>
          </w:p>
        </w:tc>
        <w:tc>
          <w:tcPr>
            <w:tcW w:type="dxa" w:w="1450"/>
            <w:tcMar>
              <w:top w:type="dxa" w:w="80"/>
              <w:left w:type="dxa" w:w="100"/>
              <w:bottom w:type="dxa" w:w="80"/>
              <w:right w:type="dxa" w:w="100"/>
            </w:tcMar>
            <w:vAlign w:val="center"/>
          </w:tcPr>
          <w:p>
            <w:pPr>
              <w:jc w:val="center"/>
            </w:pPr>
            <w:r>
              <w:rPr>
                <w:b w:val="false"/>
                <w:bCs w:val="false"/>
                <w:color w:val="222222"/>
                <w:sz w:val="19"/>
                <w:szCs w:val="19"/>
              </w:rPr>
              <w:t xml:space="preserve">1</w:t>
            </w:r>
          </w:p>
        </w:tc>
        <w:tc>
          <w:tcPr>
            <w:tcW w:type="dxa" w:w="2900"/>
            <w:tcMar>
              <w:top w:type="dxa" w:w="80"/>
              <w:left w:type="dxa" w:w="100"/>
              <w:bottom w:type="dxa" w:w="80"/>
              <w:right w:type="dxa" w:w="100"/>
            </w:tcMar>
            <w:vAlign w:val="center"/>
          </w:tcPr>
          <w:p>
            <w:pPr>
              <w:jc w:val="left"/>
            </w:pPr>
            <w:r>
              <w:rPr>
                <w:b w:val="false"/>
                <w:bCs w:val="false"/>
                <w:color w:val="222222"/>
                <w:sz w:val="19"/>
                <w:szCs w:val="19"/>
              </w:rPr>
              <w:t xml:space="preserve"/>
            </w:r>
          </w:p>
        </w:tc>
        <w:tc>
          <w:tcPr>
            <w:tcW w:type="dxa" w:w="1450"/>
            <w:tcMar>
              <w:top w:type="dxa" w:w="80"/>
              <w:left w:type="dxa" w:w="100"/>
              <w:bottom w:type="dxa" w:w="80"/>
              <w:right w:type="dxa" w:w="100"/>
            </w:tcMar>
            <w:vAlign w:val="center"/>
          </w:tcPr>
          <w:p>
            <w:pPr>
              <w:jc w:val="center"/>
            </w:pPr>
            <w:r>
              <w:rPr>
                <w:b w:val="false"/>
                <w:bCs w:val="false"/>
                <w:color w:val="222222"/>
                <w:sz w:val="19"/>
                <w:szCs w:val="19"/>
              </w:rPr>
              <w:t xml:space="preserve"/>
            </w:r>
          </w:p>
        </w:tc>
      </w:tr>
    </w:tbl>
    <w:p>
      <w:pPr>
        <w:pBdr>
          <w:left w:val="single" w:color="0E7C7B" w:sz="24" w:space="8"/>
        </w:pBdr>
        <w:shd w:fill="E6F2F1" w:color="auto" w:val="clear"/>
        <w:spacing w:after="200" w:before="100"/>
        <w:ind w:left="100"/>
      </w:pPr>
      <w:r>
        <w:rPr>
          <w:color w:val="222222"/>
          <w:sz w:val="20"/>
          <w:szCs w:val="20"/>
        </w:rPr>
        <w:t xml:space="preserve">This redaction engine was a stretch goal in the original capstone brief ("privacy-preserving redaction") and was delivered inside Week 2 rather than deferred to a later phase.</w:t>
      </w:r>
    </w:p>
    <w:p>
      <w:r>
        <w:br w:type="page"/>
      </w:r>
    </w:p>
    <w:p>
      <w:pPr>
        <w:pStyle w:val="Heading1"/>
        <w:pBdr>
          <w:bottom w:val="single" w:color="0E7C7B" w:sz="6" w:space="4"/>
        </w:pBdr>
        <w:spacing w:after="160" w:before="360"/>
      </w:pPr>
      <w:r>
        <w:rPr>
          <w:b/>
          <w:bCs/>
          <w:color w:val="1B2A4A"/>
          <w:sz w:val="30"/>
          <w:szCs w:val="30"/>
        </w:rPr>
        <w:t xml:space="preserve">8. Auto-Remediation Implementation</w:t>
      </w:r>
    </w:p>
    <w:p>
      <w:pPr>
        <w:spacing w:after="160" w:line="276"/>
      </w:pPr>
      <w:r>
        <w:rPr>
          <w:color w:val="222222"/>
          <w:sz w:val="21"/>
          <w:szCs w:val="21"/>
        </w:rPr>
        <w:t xml:space="preserve">Two remediation tracks were built on the same underlying Lambda logic, sharing a single least-privilege execution role scoped to exactly: s3:GetPublicAccessBlock, s3:PutPublicAccessBlock, s3:GetEncryptionConfiguration, s3:PutEncryptionConfiguration, iam:ListAccessKeys, iam:UpdateAccessKey, and rds:DescribeDBInstances.</w:t>
      </w:r>
    </w:p>
    <w:p>
      <w:pPr>
        <w:pStyle w:val="Heading2"/>
        <w:spacing w:after="120" w:before="280"/>
      </w:pPr>
      <w:r>
        <w:rPr>
          <w:b/>
          <w:bCs/>
          <w:color w:val="1B2A4A"/>
          <w:sz w:val="25"/>
          <w:szCs w:val="25"/>
        </w:rPr>
        <w:t xml:space="preserve">8.1  Track 1 — Semi-Automatic (Human-Invoked)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50"/>
      </w:tblGrid>
      <w:tr>
        <w:trPr>
          <w:tblHeader/>
        </w:trPr>
        <w:tc>
          <w:tcPr>
            <w:tcW w:type="dxa" w:w="3200"/>
            <w:shd w:fill="1B2A4A" w:color="auto" w:val="clear"/>
            <w:tcMar>
              <w:top w:type="dxa" w:w="80"/>
              <w:left w:type="dxa" w:w="100"/>
              <w:bottom w:type="dxa" w:w="80"/>
              <w:right w:type="dxa" w:w="100"/>
            </w:tcMar>
            <w:vAlign w:val="center"/>
          </w:tcPr>
          <w:p>
            <w:pPr>
              <w:jc w:val="center"/>
            </w:pPr>
            <w:r>
              <w:rPr>
                <w:b/>
                <w:bCs/>
                <w:color w:val="FFFFFF"/>
                <w:sz w:val="19"/>
                <w:szCs w:val="19"/>
              </w:rPr>
              <w:t xml:space="preserve">Function</w:t>
            </w:r>
          </w:p>
        </w:tc>
        <w:tc>
          <w:tcPr>
            <w:tcW w:type="dxa" w:w="1700"/>
            <w:shd w:fill="1B2A4A" w:color="auto" w:val="clear"/>
            <w:tcMar>
              <w:top w:type="dxa" w:w="80"/>
              <w:left w:type="dxa" w:w="100"/>
              <w:bottom w:type="dxa" w:w="80"/>
              <w:right w:type="dxa" w:w="100"/>
            </w:tcMar>
            <w:vAlign w:val="center"/>
          </w:tcPr>
          <w:p>
            <w:pPr>
              <w:jc w:val="center"/>
            </w:pPr>
            <w:r>
              <w:rPr>
                <w:b/>
                <w:bCs/>
                <w:color w:val="FFFFFF"/>
                <w:sz w:val="19"/>
                <w:szCs w:val="19"/>
              </w:rPr>
              <w:t xml:space="preserve">Finding(s)</w:t>
            </w:r>
          </w:p>
        </w:tc>
        <w:tc>
          <w:tcPr>
            <w:tcW w:type="dxa" w:w="4450"/>
            <w:shd w:fill="1B2A4A" w:color="auto" w:val="clear"/>
            <w:tcMar>
              <w:top w:type="dxa" w:w="80"/>
              <w:left w:type="dxa" w:w="100"/>
              <w:bottom w:type="dxa" w:w="80"/>
              <w:right w:type="dxa" w:w="100"/>
            </w:tcMar>
            <w:vAlign w:val="center"/>
          </w:tcPr>
          <w:p>
            <w:pPr>
              <w:jc w:val="center"/>
            </w:pPr>
            <w:r>
              <w:rPr>
                <w:b/>
                <w:bCs/>
                <w:color w:val="FFFFFF"/>
                <w:sz w:val="19"/>
                <w:szCs w:val="19"/>
              </w:rPr>
              <w:t xml:space="preserve">Fix</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remediate_s3_public_access.py</w:t>
            </w:r>
          </w:p>
        </w:tc>
        <w:tc>
          <w:tcPr>
            <w:tcW w:type="dxa" w:w="1700"/>
            <w:tcMar>
              <w:top w:type="dxa" w:w="80"/>
              <w:left w:type="dxa" w:w="100"/>
              <w:bottom w:type="dxa" w:w="80"/>
              <w:right w:type="dxa" w:w="100"/>
            </w:tcMar>
            <w:vAlign w:val="center"/>
          </w:tcPr>
          <w:p>
            <w:pPr>
              <w:jc w:val="left"/>
            </w:pPr>
            <w:r>
              <w:rPr>
                <w:b w:val="false"/>
                <w:bCs w:val="false"/>
                <w:color w:val="222222"/>
                <w:sz w:val="19"/>
                <w:szCs w:val="19"/>
              </w:rPr>
              <w:t xml:space="preserve">M04 / M06</w:t>
            </w:r>
          </w:p>
        </w:tc>
        <w:tc>
          <w:tcPr>
            <w:tcW w:type="dxa" w:w="4450"/>
            <w:tcMar>
              <w:top w:type="dxa" w:w="80"/>
              <w:left w:type="dxa" w:w="100"/>
              <w:bottom w:type="dxa" w:w="80"/>
              <w:right w:type="dxa" w:w="100"/>
            </w:tcMar>
            <w:vAlign w:val="center"/>
          </w:tcPr>
          <w:p>
            <w:pPr>
              <w:jc w:val="left"/>
            </w:pPr>
            <w:r>
              <w:rPr>
                <w:b w:val="false"/>
                <w:bCs w:val="false"/>
                <w:color w:val="222222"/>
                <w:sz w:val="19"/>
                <w:szCs w:val="19"/>
              </w:rPr>
              <w:t xml:space="preserve">Re-enables S3 Block Public Access (all four flags)</w:t>
            </w:r>
          </w:p>
        </w:tc>
      </w:tr>
      <w:tr>
        <w:tc>
          <w:tcPr>
            <w:tcW w:type="dxa" w:w="32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remediate_iam_key_rotation.py</w:t>
            </w:r>
          </w:p>
        </w:tc>
        <w:tc>
          <w:tcPr>
            <w:tcW w:type="dxa" w:w="17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M01</w:t>
            </w:r>
          </w:p>
        </w:tc>
        <w:tc>
          <w:tcPr>
            <w:tcW w:type="dxa" w:w="44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Deactivates (never deletes) an exposed IAM access key</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remediate_default_encryption.py</w:t>
            </w:r>
          </w:p>
        </w:tc>
        <w:tc>
          <w:tcPr>
            <w:tcW w:type="dxa" w:w="1700"/>
            <w:tcMar>
              <w:top w:type="dxa" w:w="80"/>
              <w:left w:type="dxa" w:w="100"/>
              <w:bottom w:type="dxa" w:w="80"/>
              <w:right w:type="dxa" w:w="100"/>
            </w:tcMar>
            <w:vAlign w:val="center"/>
          </w:tcPr>
          <w:p>
            <w:pPr>
              <w:jc w:val="left"/>
            </w:pPr>
            <w:r>
              <w:rPr>
                <w:b w:val="false"/>
                <w:bCs w:val="false"/>
                <w:color w:val="222222"/>
                <w:sz w:val="19"/>
                <w:szCs w:val="19"/>
              </w:rPr>
              <w:t xml:space="preserve">M07 / M09</w:t>
            </w:r>
          </w:p>
        </w:tc>
        <w:tc>
          <w:tcPr>
            <w:tcW w:type="dxa" w:w="4450"/>
            <w:tcMar>
              <w:top w:type="dxa" w:w="80"/>
              <w:left w:type="dxa" w:w="100"/>
              <w:bottom w:type="dxa" w:w="80"/>
              <w:right w:type="dxa" w:w="100"/>
            </w:tcMar>
            <w:vAlign w:val="center"/>
          </w:tcPr>
          <w:p>
            <w:pPr>
              <w:jc w:val="left"/>
            </w:pPr>
            <w:r>
              <w:rPr>
                <w:b w:val="false"/>
                <w:bCs w:val="false"/>
                <w:color w:val="222222"/>
                <w:sz w:val="19"/>
                <w:szCs w:val="19"/>
              </w:rPr>
              <w:t xml:space="preserve">Enables SSE-S3 default encryption on S3; flags unencrypted RDS for human review — never auto-fixed, because the only remediation path is a disruptive snapshot/restore cycle</w:t>
            </w:r>
          </w:p>
        </w:tc>
      </w:tr>
    </w:tbl>
    <w:p>
      <w:pPr>
        <w:spacing w:after="160" w:line="276"/>
      </w:pPr>
      <w:r>
        <w:rPr>
          <w:color w:val="222222"/>
          <w:sz w:val="21"/>
          <w:szCs w:val="21"/>
        </w:rPr>
        <w:t xml:space="preserve">Every function defaults to dry_run: true; a live change requires an explicit override, tested via aws lambda invoke with the payload's dry_run flag flipped only after a clean dry-run response and a matching CloudWatch log entry.</w:t>
      </w:r>
    </w:p>
    <w:p>
      <w:pPr>
        <w:pStyle w:val="Heading2"/>
        <w:spacing w:after="120" w:before="280"/>
      </w:pPr>
      <w:r>
        <w:rPr>
          <w:b/>
          <w:bCs/>
          <w:color w:val="1B2A4A"/>
          <w:sz w:val="25"/>
          <w:szCs w:val="25"/>
        </w:rPr>
        <w:t xml:space="preserve">8.2  Track 2 — Fully Automated, Human-Approval-Gated</w:t>
      </w:r>
    </w:p>
    <w:p>
      <w:pPr>
        <w:spacing w:after="160" w:line="276"/>
      </w:pPr>
      <w:r>
        <w:rPr>
          <w:color w:val="222222"/>
          <w:sz w:val="21"/>
          <w:szCs w:val="21"/>
        </w:rPr>
        <w:t xml:space="preserve">The same remediation logic is wrapped in an event-driven pipeline with a mandatory human-approval gate for every live change:</w:t>
      </w:r>
    </w:p>
    <w:p>
      <w:pPr>
        <w:pStyle w:val="ListParagraph"/>
        <w:numPr>
          <w:ilvl w:val="0"/>
          <w:numId w:val="1"/>
        </w:numPr>
        <w:spacing w:after="80" w:line="264"/>
      </w:pPr>
      <w:r>
        <w:rPr>
          <w:color w:val="222222"/>
          <w:sz w:val="21"/>
          <w:szCs w:val="21"/>
        </w:rPr>
        <w:t xml:space="preserve">A finding is published as JSON to the cloudguardian-remediation SNS topic.</w:t>
      </w:r>
    </w:p>
    <w:p>
      <w:pPr>
        <w:pStyle w:val="ListParagraph"/>
        <w:numPr>
          <w:ilvl w:val="0"/>
          <w:numId w:val="1"/>
        </w:numPr>
        <w:spacing w:after="80" w:line="264"/>
      </w:pPr>
      <w:r>
        <w:rPr>
          <w:color w:val="222222"/>
          <w:sz w:val="21"/>
          <w:szCs w:val="21"/>
        </w:rPr>
        <w:t xml:space="preserve">starter.py (subscribed to the topic) starts a new AWS Step Functions execution per finding.</w:t>
      </w:r>
    </w:p>
    <w:p>
      <w:pPr>
        <w:pStyle w:val="ListParagraph"/>
        <w:numPr>
          <w:ilvl w:val="0"/>
          <w:numId w:val="1"/>
        </w:numPr>
        <w:spacing w:after="80" w:line="264"/>
      </w:pPr>
      <w:r>
        <w:rPr>
          <w:color w:val="222222"/>
          <w:sz w:val="21"/>
          <w:szCs w:val="21"/>
        </w:rPr>
        <w:t xml:space="preserve">The state machine's RequestApproval state uses the arn:aws:states:::lambda:invoke.waitForTaskToken integration — it invokes notifier.py, which emails the analyst an Approve/Reject link, and then genuinely pauses.</w:t>
      </w:r>
    </w:p>
    <w:p>
      <w:pPr>
        <w:pStyle w:val="ListParagraph"/>
        <w:numPr>
          <w:ilvl w:val="0"/>
          <w:numId w:val="1"/>
        </w:numPr>
        <w:spacing w:after="80" w:line="264"/>
      </w:pPr>
      <w:r>
        <w:rPr>
          <w:color w:val="222222"/>
          <w:sz w:val="21"/>
          <w:szCs w:val="21"/>
        </w:rPr>
        <w:t xml:space="preserve">The analyst clicks a link; the request hits an API Gateway HTTP route (GET /respond) handled by approval_handler.py, which calls sfn.send_task_success() on approve or sfn.send_task_failure() on reject.</w:t>
      </w:r>
    </w:p>
    <w:p>
      <w:pPr>
        <w:pStyle w:val="ListParagraph"/>
        <w:numPr>
          <w:ilvl w:val="0"/>
          <w:numId w:val="1"/>
        </w:numPr>
        <w:spacing w:after="80" w:line="264"/>
      </w:pPr>
      <w:r>
        <w:rPr>
          <w:color w:val="222222"/>
          <w:sz w:val="21"/>
          <w:szCs w:val="21"/>
        </w:rPr>
        <w:t xml:space="preserve">On approve, the IsApproved Choice state routes to InvokeRemediation, which invokes the remediator dispatcher with dry_run hardcoded to false and requested_by set to "approved-via-email" — the pre-approval dry_run flag only matters before a human has signed off.</w:t>
      </w:r>
    </w:p>
    <w:p>
      <w:pPr>
        <w:pStyle w:val="ListParagraph"/>
        <w:numPr>
          <w:ilvl w:val="0"/>
          <w:numId w:val="1"/>
        </w:numPr>
        <w:spacing w:after="80" w:line="264"/>
      </w:pPr>
      <w:r>
        <w:rPr>
          <w:color w:val="222222"/>
          <w:sz w:val="21"/>
          <w:szCs w:val="21"/>
        </w:rPr>
        <w:t xml:space="preserve">On reject, or if the 3600-second (1-hour) approval window expires, or any error occurs, the workflow moves to a terminal Rejected state and no AWS resource is touched.</w:t>
      </w:r>
    </w:p>
    <w:p>
      <w:pPr>
        <w:pStyle w:val="ListParagraph"/>
        <w:numPr>
          <w:ilvl w:val="0"/>
          <w:numId w:val="1"/>
        </w:numPr>
        <w:spacing w:after="80" w:line="264"/>
      </w:pPr>
      <w:r>
        <w:rPr>
          <w:color w:val="222222"/>
          <w:sz w:val="21"/>
          <w:szCs w:val="21"/>
        </w:rPr>
        <w:t xml:space="preserve">remediator.py matches finding_type against a fixed allow-list (FINDING_ROUTES) and calls the matching handler, which re-checks current state for idempotency before calling the relevant boto3 API and writing a structured JSON audit log line to CloudWatch.</w:t>
      </w:r>
    </w:p>
    <w:p>
      <w:r>
        <w:br w:type="page"/>
      </w:r>
    </w:p>
    <w:p>
      <w:pPr>
        <w:pStyle w:val="Heading1"/>
        <w:pBdr>
          <w:bottom w:val="single" w:color="0E7C7B" w:sz="6" w:space="4"/>
        </w:pBdr>
        <w:spacing w:after="160" w:before="360"/>
      </w:pPr>
      <w:r>
        <w:rPr>
          <w:b/>
          <w:bCs/>
          <w:color w:val="1B2A4A"/>
          <w:sz w:val="30"/>
          <w:szCs w:val="30"/>
        </w:rPr>
        <w:t xml:space="preserve">9. Live Testing &amp; Before/After Evidence</w:t>
      </w:r>
    </w:p>
    <w:p>
      <w:pPr>
        <w:pStyle w:val="Heading2"/>
        <w:spacing w:after="120" w:before="280"/>
      </w:pPr>
      <w:r>
        <w:rPr>
          <w:b/>
          <w:bCs/>
          <w:color w:val="1B2A4A"/>
          <w:sz w:val="25"/>
          <w:szCs w:val="25"/>
        </w:rPr>
        <w:t xml:space="preserve">9.1  Live End-to-End Approval Test</w:t>
      </w:r>
    </w:p>
    <w:p>
      <w:pPr>
        <w:spacing w:after="160" w:line="276"/>
      </w:pPr>
      <w:r>
        <w:rPr>
          <w:color w:val="222222"/>
          <w:sz w:val="21"/>
          <w:szCs w:val="21"/>
        </w:rPr>
        <w:t xml:space="preserve">The complete approval chain was exercised against a real S3 bucket, cloudguardian-target-bucket-test02:</w:t>
      </w:r>
    </w:p>
    <w:p>
      <w:pPr>
        <w:pStyle w:val="ListParagraph"/>
        <w:numPr>
          <w:ilvl w:val="0"/>
          <w:numId w:val="1"/>
        </w:numPr>
        <w:spacing w:after="80" w:line="264"/>
      </w:pPr>
      <w:r>
        <w:rPr>
          <w:color w:val="222222"/>
          <w:sz w:val="21"/>
          <w:szCs w:val="21"/>
        </w:rPr>
        <w:t xml:space="preserve">Step 1 — the bucket's public-access-block was deliberately disabled (all four flags set to false) to simulate a genuine misconfiguration.</w:t>
      </w:r>
    </w:p>
    <w:p>
      <w:pPr>
        <w:pStyle w:val="ListParagraph"/>
        <w:numPr>
          <w:ilvl w:val="0"/>
          <w:numId w:val="1"/>
        </w:numPr>
        <w:spacing w:after="80" w:line="264"/>
      </w:pPr>
      <w:r>
        <w:rPr>
          <w:color w:val="222222"/>
          <w:sz w:val="21"/>
          <w:szCs w:val="21"/>
        </w:rPr>
        <w:t xml:space="preserve">Step 2 — a finding was published to SNS with dry_run: false and requested_by: "live-test".</w:t>
      </w:r>
    </w:p>
    <w:p>
      <w:pPr>
        <w:pStyle w:val="ListParagraph"/>
        <w:numPr>
          <w:ilvl w:val="0"/>
          <w:numId w:val="1"/>
        </w:numPr>
        <w:spacing w:after="80" w:line="264"/>
      </w:pPr>
      <w:r>
        <w:rPr>
          <w:color w:val="222222"/>
          <w:sz w:val="21"/>
          <w:szCs w:val="21"/>
        </w:rPr>
        <w:t xml:space="preserve">Step 3 — the Starter Lambda began a new Step Functions execution (finding-dca88eae).</w:t>
      </w:r>
    </w:p>
    <w:p>
      <w:pPr>
        <w:pStyle w:val="ListParagraph"/>
        <w:numPr>
          <w:ilvl w:val="0"/>
          <w:numId w:val="1"/>
        </w:numPr>
        <w:spacing w:after="80" w:line="264"/>
      </w:pPr>
      <w:r>
        <w:rPr>
          <w:color w:val="222222"/>
          <w:sz w:val="21"/>
          <w:szCs w:val="21"/>
        </w:rPr>
        <w:t xml:space="preserve">Step 4 — the Notifier Lambda ran in 295 ms and published the approval email.</w:t>
      </w:r>
    </w:p>
    <w:p>
      <w:pPr>
        <w:pStyle w:val="ListParagraph"/>
        <w:numPr>
          <w:ilvl w:val="0"/>
          <w:numId w:val="1"/>
        </w:numPr>
        <w:spacing w:after="80" w:line="264"/>
      </w:pPr>
      <w:r>
        <w:rPr>
          <w:color w:val="222222"/>
          <w:sz w:val="21"/>
          <w:szCs w:val="21"/>
        </w:rPr>
        <w:t xml:space="preserve">Step 5 — the analyst received the email and clicked Approve.</w:t>
      </w:r>
    </w:p>
    <w:p>
      <w:pPr>
        <w:pStyle w:val="ListParagraph"/>
        <w:numPr>
          <w:ilvl w:val="0"/>
          <w:numId w:val="1"/>
        </w:numPr>
        <w:spacing w:after="80" w:line="264"/>
      </w:pPr>
      <w:r>
        <w:rPr>
          <w:color w:val="222222"/>
          <w:sz w:val="21"/>
          <w:szCs w:val="21"/>
        </w:rPr>
        <w:t xml:space="preserve">Step 6 — the Approval Handler resumed the state machine via SendTaskSuccess.</w:t>
      </w:r>
    </w:p>
    <w:p>
      <w:pPr>
        <w:pStyle w:val="ListParagraph"/>
        <w:numPr>
          <w:ilvl w:val="0"/>
          <w:numId w:val="1"/>
        </w:numPr>
        <w:spacing w:after="80" w:line="264"/>
      </w:pPr>
      <w:r>
        <w:rPr>
          <w:color w:val="222222"/>
          <w:sz w:val="21"/>
          <w:szCs w:val="21"/>
        </w:rPr>
        <w:t xml:space="preserve">Step 7 — the state machine invoked the remediator Lambda with dry_run forced to false.</w:t>
      </w:r>
    </w:p>
    <w:p>
      <w:pPr>
        <w:pStyle w:val="ListParagraph"/>
        <w:numPr>
          <w:ilvl w:val="0"/>
          <w:numId w:val="1"/>
        </w:numPr>
        <w:spacing w:after="80" w:line="264"/>
      </w:pPr>
      <w:r>
        <w:rPr>
          <w:color w:val="222222"/>
          <w:sz w:val="21"/>
          <w:szCs w:val="21"/>
        </w:rPr>
        <w:t xml:space="preserve">Step 8 — the dispatcher routed to remediate_s3_public_access.py, which called s3.put_public_access_block().</w:t>
      </w:r>
    </w:p>
    <w:p>
      <w:pPr>
        <w:pBdr>
          <w:left w:val="single" w:color="0E7C7B" w:sz="24" w:space="8"/>
        </w:pBdr>
        <w:shd w:fill="E6F2F1" w:color="auto" w:val="clear"/>
        <w:spacing w:after="200" w:before="100"/>
        <w:ind w:left="100"/>
      </w:pPr>
      <w:r>
        <w:rPr>
          <w:color w:val="222222"/>
          <w:sz w:val="20"/>
          <w:szCs w:val="20"/>
        </w:rPr>
        <w:t xml:space="preserve">CONFIRMED — CloudWatch log (result: SUCCESS): the remediator applied {BlockPublicAcls: true, IgnorePublicAcls: true, BlockPublicPolicy: true, RestrictPublicBuckets: true} to cloudguardian-target-bucket-test02, requested_by "approved-via-email". Independently confirmed afterward via aws s3api get-public-access-block — all four flags returned true.</w:t>
      </w:r>
    </w:p>
    <w:p>
      <w:pPr>
        <w:spacing w:after="160" w:line="276"/>
      </w:pPr>
      <w:r>
        <w:rPr>
          <w:color w:val="222222"/>
          <w:sz w:val="21"/>
          <w:szCs w:val="21"/>
        </w:rPr>
        <w:t xml:space="preserve">Three Step Functions executions were recorded during testing (finding-100a548d, finding-b8f08d1d, and the documented finding-dca88eae) — all reached SUCCEEDED, confirming the approval-and-remediate path is repeatable, not a one-off result.</w:t>
      </w:r>
    </w:p>
    <w:p>
      <w:pPr>
        <w:pStyle w:val="Heading2"/>
        <w:spacing w:after="120" w:before="280"/>
      </w:pPr>
      <w:r>
        <w:rPr>
          <w:b/>
          <w:bCs/>
          <w:color w:val="1B2A4A"/>
          <w:sz w:val="25"/>
          <w:szCs w:val="25"/>
        </w:rPr>
        <w:t xml:space="preserve">9.2  Deployment Sequence</w:t>
      </w:r>
    </w:p>
    <w:p>
      <w:pPr>
        <w:spacing w:after="160" w:line="276"/>
      </w:pPr>
      <w:r>
        <w:rPr>
          <w:color w:val="222222"/>
          <w:sz w:val="21"/>
          <w:szCs w:val="21"/>
        </w:rPr>
        <w:t xml:space="preserve">All Terraform and AWS CLI work ran as the kali user (never root) from ~/cloudguardian-remediation, in this order: package the dispatcher and three remediation modules into a single Lambda zip → terraform init → import pre-existing IAM role and SNS topic under Terraform management (avoiding EntityAlreadyExists conflicts) → terraform plan / apply → add approval.tf → plan / apply again.</w:t>
      </w:r>
    </w:p>
    <w:p>
      <w:pPr>
        <w:pStyle w:val="Heading2"/>
        <w:spacing w:after="120" w:before="280"/>
      </w:pPr>
      <w:r>
        <w:rPr>
          <w:b/>
          <w:bCs/>
          <w:color w:val="1B2A4A"/>
          <w:sz w:val="25"/>
          <w:szCs w:val="25"/>
        </w:rPr>
        <w:t xml:space="preserve">9.3  Before/After Prowler Compliance Rescan</w:t>
      </w:r>
    </w:p>
    <w:p>
      <w:pPr>
        <w:spacing w:after="160" w:line="276"/>
      </w:pPr>
      <w:r>
        <w:rPr>
          <w:color w:val="222222"/>
          <w:sz w:val="21"/>
          <w:szCs w:val="21"/>
        </w:rPr>
        <w:t xml:space="preserve">A live S3 remediation run was independently verified with a before/after Prowler compliance scan (ISO 27001:2022 + HIPAA), reported here without cherry-picking: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50"/>
        <w:gridCol w:w="2250"/>
        <w:gridCol w:w="2250"/>
      </w:tblGrid>
      <w:tr>
        <w:trPr>
          <w:tblHeader/>
        </w:trPr>
        <w:tc>
          <w:tcPr>
            <w:tcW w:type="dxa" w:w="2600"/>
            <w:shd w:fill="1B2A4A" w:color="auto" w:val="clear"/>
            <w:tcMar>
              <w:top w:type="dxa" w:w="80"/>
              <w:left w:type="dxa" w:w="100"/>
              <w:bottom w:type="dxa" w:w="80"/>
              <w:right w:type="dxa" w:w="100"/>
            </w:tcMar>
            <w:vAlign w:val="center"/>
          </w:tcPr>
          <w:p>
            <w:pPr>
              <w:jc w:val="center"/>
            </w:pPr>
            <w:r>
              <w:rPr>
                <w:b/>
                <w:bCs/>
                <w:color w:val="FFFFFF"/>
                <w:sz w:val="19"/>
                <w:szCs w:val="19"/>
              </w:rPr>
              <w:t xml:space="preserve">Metric</w:t>
            </w:r>
          </w:p>
        </w:tc>
        <w:tc>
          <w:tcPr>
            <w:tcW w:type="dxa" w:w="2250"/>
            <w:shd w:fill="1B2A4A" w:color="auto" w:val="clear"/>
            <w:tcMar>
              <w:top w:type="dxa" w:w="80"/>
              <w:left w:type="dxa" w:w="100"/>
              <w:bottom w:type="dxa" w:w="80"/>
              <w:right w:type="dxa" w:w="100"/>
            </w:tcMar>
            <w:vAlign w:val="center"/>
          </w:tcPr>
          <w:p>
            <w:pPr>
              <w:jc w:val="center"/>
            </w:pPr>
            <w:r>
              <w:rPr>
                <w:b/>
                <w:bCs/>
                <w:color w:val="FFFFFF"/>
                <w:sz w:val="19"/>
                <w:szCs w:val="19"/>
              </w:rPr>
              <w:t xml:space="preserve">Before</w:t>
            </w:r>
          </w:p>
        </w:tc>
        <w:tc>
          <w:tcPr>
            <w:tcW w:type="dxa" w:w="2250"/>
            <w:shd w:fill="1B2A4A" w:color="auto" w:val="clear"/>
            <w:tcMar>
              <w:top w:type="dxa" w:w="80"/>
              <w:left w:type="dxa" w:w="100"/>
              <w:bottom w:type="dxa" w:w="80"/>
              <w:right w:type="dxa" w:w="100"/>
            </w:tcMar>
            <w:vAlign w:val="center"/>
          </w:tcPr>
          <w:p>
            <w:pPr>
              <w:jc w:val="center"/>
            </w:pPr>
            <w:r>
              <w:rPr>
                <w:b/>
                <w:bCs/>
                <w:color w:val="FFFFFF"/>
                <w:sz w:val="19"/>
                <w:szCs w:val="19"/>
              </w:rPr>
              <w:t xml:space="preserve">After</w:t>
            </w:r>
          </w:p>
        </w:tc>
        <w:tc>
          <w:tcPr>
            <w:tcW w:type="dxa" w:w="2250"/>
            <w:shd w:fill="1B2A4A" w:color="auto" w:val="clear"/>
            <w:tcMar>
              <w:top w:type="dxa" w:w="80"/>
              <w:left w:type="dxa" w:w="100"/>
              <w:bottom w:type="dxa" w:w="80"/>
              <w:right w:type="dxa" w:w="100"/>
            </w:tcMar>
            <w:vAlign w:val="center"/>
          </w:tcPr>
          <w:p>
            <w:pPr>
              <w:jc w:val="center"/>
            </w:pPr>
            <w:r>
              <w:rPr>
                <w:b/>
                <w:bCs/>
                <w:color w:val="FFFFFF"/>
                <w:sz w:val="19"/>
                <w:szCs w:val="19"/>
              </w:rPr>
              <w:t xml:space="preserve">Change</w:t>
            </w:r>
          </w:p>
        </w:tc>
      </w:tr>
      <w:tr>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Total findings</w:t>
            </w:r>
          </w:p>
        </w:tc>
        <w:tc>
          <w:tcPr>
            <w:tcW w:type="dxa" w:w="2250"/>
            <w:tcMar>
              <w:top w:type="dxa" w:w="80"/>
              <w:left w:type="dxa" w:w="100"/>
              <w:bottom w:type="dxa" w:w="80"/>
              <w:right w:type="dxa" w:w="100"/>
            </w:tcMar>
            <w:vAlign w:val="center"/>
          </w:tcPr>
          <w:p>
            <w:pPr>
              <w:jc w:val="center"/>
            </w:pPr>
            <w:r>
              <w:rPr>
                <w:b w:val="false"/>
                <w:bCs w:val="false"/>
                <w:color w:val="222222"/>
                <w:sz w:val="19"/>
                <w:szCs w:val="19"/>
              </w:rPr>
              <w:t xml:space="preserve">178</w:t>
            </w:r>
          </w:p>
        </w:tc>
        <w:tc>
          <w:tcPr>
            <w:tcW w:type="dxa" w:w="2250"/>
            <w:tcMar>
              <w:top w:type="dxa" w:w="80"/>
              <w:left w:type="dxa" w:w="100"/>
              <w:bottom w:type="dxa" w:w="80"/>
              <w:right w:type="dxa" w:w="100"/>
            </w:tcMar>
            <w:vAlign w:val="center"/>
          </w:tcPr>
          <w:p>
            <w:pPr>
              <w:jc w:val="center"/>
            </w:pPr>
            <w:r>
              <w:rPr>
                <w:b w:val="false"/>
                <w:bCs w:val="false"/>
                <w:color w:val="222222"/>
                <w:sz w:val="19"/>
                <w:szCs w:val="19"/>
              </w:rPr>
              <w:t xml:space="preserve">197</w:t>
            </w:r>
          </w:p>
        </w:tc>
        <w:tc>
          <w:tcPr>
            <w:tcW w:type="dxa" w:w="2250"/>
            <w:tcMar>
              <w:top w:type="dxa" w:w="80"/>
              <w:left w:type="dxa" w:w="100"/>
              <w:bottom w:type="dxa" w:w="80"/>
              <w:right w:type="dxa" w:w="100"/>
            </w:tcMar>
            <w:vAlign w:val="center"/>
          </w:tcPr>
          <w:p>
            <w:pPr>
              <w:jc w:val="center"/>
            </w:pPr>
            <w:r>
              <w:rPr>
                <w:b w:val="false"/>
                <w:bCs w:val="false"/>
                <w:color w:val="222222"/>
                <w:sz w:val="19"/>
                <w:szCs w:val="19"/>
              </w:rPr>
              <w:t xml:space="preserve">+19</w:t>
            </w:r>
          </w:p>
        </w:tc>
      </w:tr>
      <w:tr>
        <w:tc>
          <w:tcPr>
            <w:tcW w:type="dxa" w:w="26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PASS</w:t>
            </w:r>
          </w:p>
        </w:tc>
        <w:tc>
          <w:tcPr>
            <w:tcW w:type="dxa" w:w="2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94</w:t>
            </w:r>
          </w:p>
        </w:tc>
        <w:tc>
          <w:tcPr>
            <w:tcW w:type="dxa" w:w="2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106</w:t>
            </w:r>
          </w:p>
        </w:tc>
        <w:tc>
          <w:tcPr>
            <w:tcW w:type="dxa" w:w="2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+12</w:t>
            </w:r>
          </w:p>
        </w:tc>
      </w:tr>
      <w:tr>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FAIL</w:t>
            </w:r>
          </w:p>
        </w:tc>
        <w:tc>
          <w:tcPr>
            <w:tcW w:type="dxa" w:w="2250"/>
            <w:tcMar>
              <w:top w:type="dxa" w:w="80"/>
              <w:left w:type="dxa" w:w="100"/>
              <w:bottom w:type="dxa" w:w="80"/>
              <w:right w:type="dxa" w:w="100"/>
            </w:tcMar>
            <w:vAlign w:val="center"/>
          </w:tcPr>
          <w:p>
            <w:pPr>
              <w:jc w:val="center"/>
            </w:pPr>
            <w:r>
              <w:rPr>
                <w:b w:val="false"/>
                <w:bCs w:val="false"/>
                <w:color w:val="222222"/>
                <w:sz w:val="19"/>
                <w:szCs w:val="19"/>
              </w:rPr>
              <w:t xml:space="preserve">82</w:t>
            </w:r>
          </w:p>
        </w:tc>
        <w:tc>
          <w:tcPr>
            <w:tcW w:type="dxa" w:w="2250"/>
            <w:tcMar>
              <w:top w:type="dxa" w:w="80"/>
              <w:left w:type="dxa" w:w="100"/>
              <w:bottom w:type="dxa" w:w="80"/>
              <w:right w:type="dxa" w:w="100"/>
            </w:tcMar>
            <w:vAlign w:val="center"/>
          </w:tcPr>
          <w:p>
            <w:pPr>
              <w:jc w:val="center"/>
            </w:pPr>
            <w:r>
              <w:rPr>
                <w:b w:val="false"/>
                <w:bCs w:val="false"/>
                <w:color w:val="222222"/>
                <w:sz w:val="19"/>
                <w:szCs w:val="19"/>
              </w:rPr>
              <w:t xml:space="preserve">89</w:t>
            </w:r>
          </w:p>
        </w:tc>
        <w:tc>
          <w:tcPr>
            <w:tcW w:type="dxa" w:w="2250"/>
            <w:tcMar>
              <w:top w:type="dxa" w:w="80"/>
              <w:left w:type="dxa" w:w="100"/>
              <w:bottom w:type="dxa" w:w="80"/>
              <w:right w:type="dxa" w:w="100"/>
            </w:tcMar>
            <w:vAlign w:val="center"/>
          </w:tcPr>
          <w:p>
            <w:pPr>
              <w:jc w:val="center"/>
            </w:pPr>
            <w:r>
              <w:rPr>
                <w:b w:val="false"/>
                <w:bCs w:val="false"/>
                <w:color w:val="222222"/>
                <w:sz w:val="19"/>
                <w:szCs w:val="19"/>
              </w:rPr>
              <w:t xml:space="preserve">+7</w:t>
            </w:r>
          </w:p>
        </w:tc>
      </w:tr>
      <w:tr>
        <w:tc>
          <w:tcPr>
            <w:tcW w:type="dxa" w:w="26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Pass rate</w:t>
            </w:r>
          </w:p>
        </w:tc>
        <w:tc>
          <w:tcPr>
            <w:tcW w:type="dxa" w:w="2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53.4%</w:t>
            </w:r>
          </w:p>
        </w:tc>
        <w:tc>
          <w:tcPr>
            <w:tcW w:type="dxa" w:w="2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54.4%</w:t>
            </w:r>
          </w:p>
        </w:tc>
        <w:tc>
          <w:tcPr>
            <w:tcW w:type="dxa" w:w="2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+1.0 pt</w:t>
            </w:r>
          </w:p>
        </w:tc>
      </w:tr>
      <w:tr>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Critical FAILs</w:t>
            </w:r>
          </w:p>
        </w:tc>
        <w:tc>
          <w:tcPr>
            <w:tcW w:type="dxa" w:w="2250"/>
            <w:tcMar>
              <w:top w:type="dxa" w:w="80"/>
              <w:left w:type="dxa" w:w="100"/>
              <w:bottom w:type="dxa" w:w="80"/>
              <w:right w:type="dxa" w:w="100"/>
            </w:tcMar>
            <w:vAlign w:val="center"/>
          </w:tcPr>
          <w:p>
            <w:pPr>
              <w:jc w:val="center"/>
            </w:pPr>
            <w:r>
              <w:rPr>
                <w:b w:val="false"/>
                <w:bCs w:val="false"/>
                <w:color w:val="222222"/>
                <w:sz w:val="19"/>
                <w:szCs w:val="19"/>
              </w:rPr>
              <w:t xml:space="preserve">4</w:t>
            </w:r>
          </w:p>
        </w:tc>
        <w:tc>
          <w:tcPr>
            <w:tcW w:type="dxa" w:w="2250"/>
            <w:tcMar>
              <w:top w:type="dxa" w:w="80"/>
              <w:left w:type="dxa" w:w="100"/>
              <w:bottom w:type="dxa" w:w="80"/>
              <w:right w:type="dxa" w:w="100"/>
            </w:tcMar>
            <w:vAlign w:val="center"/>
          </w:tcPr>
          <w:p>
            <w:pPr>
              <w:jc w:val="center"/>
            </w:pPr>
            <w:r>
              <w:rPr>
                <w:b w:val="false"/>
                <w:bCs w:val="false"/>
                <w:color w:val="222222"/>
                <w:sz w:val="19"/>
                <w:szCs w:val="19"/>
              </w:rPr>
              <w:t xml:space="preserve">4</w:t>
            </w:r>
          </w:p>
        </w:tc>
        <w:tc>
          <w:tcPr>
            <w:tcW w:type="dxa" w:w="2250"/>
            <w:tcMar>
              <w:top w:type="dxa" w:w="80"/>
              <w:left w:type="dxa" w:w="100"/>
              <w:bottom w:type="dxa" w:w="80"/>
              <w:right w:type="dxa" w:w="100"/>
            </w:tcMar>
            <w:vAlign w:val="center"/>
          </w:tcPr>
          <w:p>
            <w:pPr>
              <w:jc w:val="center"/>
            </w:pPr>
            <w:r>
              <w:rPr>
                <w:b w:val="false"/>
                <w:bCs w:val="false"/>
                <w:color w:val="222222"/>
                <w:sz w:val="19"/>
                <w:szCs w:val="19"/>
              </w:rPr>
              <w:t xml:space="preserve">—</w:t>
            </w:r>
          </w:p>
        </w:tc>
      </w:tr>
      <w:tr>
        <w:tc>
          <w:tcPr>
            <w:tcW w:type="dxa" w:w="26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High FAILs</w:t>
            </w:r>
          </w:p>
        </w:tc>
        <w:tc>
          <w:tcPr>
            <w:tcW w:type="dxa" w:w="2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17</w:t>
            </w:r>
          </w:p>
        </w:tc>
        <w:tc>
          <w:tcPr>
            <w:tcW w:type="dxa" w:w="2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17</w:t>
            </w:r>
          </w:p>
        </w:tc>
        <w:tc>
          <w:tcPr>
            <w:tcW w:type="dxa" w:w="2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w:t>
            </w:r>
          </w:p>
        </w:tc>
      </w:tr>
    </w:tbl>
    <w:p>
      <w:pPr>
        <w:spacing w:after="160" w:line="276"/>
      </w:pPr>
      <w:r>
        <w:rPr>
          <w:color w:val="222222"/>
          <w:sz w:val="21"/>
          <w:szCs w:val="21"/>
        </w:rPr>
        <w:t xml:space="preserve">The honest reading: the +19 new findings are almost entirely the three new remediation Lambdas themselves being scanned as new resources, not regressions. The target bucket's s3_bucket_public_access and s3_bucket_policy_public_write_access checks were already PASS before the run and remained PASS after — but the status text changed from "does not allow public write access in the bucket policy" to "S3 public access blocked at bucket level", evidence the Lambda actively hardened a control that was already compliant on paper. Account-level S3 Block Public Access, S3 KMS encryption, versioning, TLS-only policy, and access logging remained unresolved — outside this Lambda's declared scope. One new gap was introduced by the remediation deployment itself: the three Lambdas' CloudWatch log groups are not KMS-encrypted (medium severity) — flagged here rather than omitted.</w:t>
      </w:r>
    </w:p>
    <w:p>
      <w:pPr>
        <w:pBdr>
          <w:left w:val="single" w:color="C77700" w:sz="24" w:space="8"/>
        </w:pBdr>
        <w:shd w:fill="E6F2F1" w:color="auto" w:val="clear"/>
        <w:spacing w:after="200" w:before="100"/>
        <w:ind w:left="100"/>
      </w:pPr>
      <w:r>
        <w:rPr>
          <w:color w:val="222222"/>
          <w:sz w:val="20"/>
          <w:szCs w:val="20"/>
        </w:rPr>
        <w:t xml:space="preserve">Unrelated and still open after remediation (not in scope for the S3 Lambda): RDS instance publicly exposed, an account-wide AdministratorAccess policy, an inline IAM policy allowing *:*, EC2 SSH open to the internet, RDS storage/transport not encrypted, EBS default encryption disabled, IMDSv2 not enforced, and recent root-user activity.</w:t>
      </w:r>
    </w:p>
    <w:p>
      <w:r>
        <w:br w:type="page"/>
      </w:r>
    </w:p>
    <w:p>
      <w:pPr>
        <w:pStyle w:val="Heading1"/>
        <w:pBdr>
          <w:bottom w:val="single" w:color="0E7C7B" w:sz="6" w:space="4"/>
        </w:pBdr>
        <w:spacing w:after="160" w:before="360"/>
      </w:pPr>
      <w:r>
        <w:rPr>
          <w:b/>
          <w:bCs/>
          <w:color w:val="1B2A4A"/>
          <w:sz w:val="30"/>
          <w:szCs w:val="30"/>
        </w:rPr>
        <w:t xml:space="preserve">10. Compliance Crosswalk</w:t>
      </w:r>
    </w:p>
    <w:p>
      <w:pPr>
        <w:spacing w:after="160" w:line="276"/>
      </w:pPr>
      <w:r>
        <w:rPr>
          <w:color w:val="222222"/>
          <w:sz w:val="21"/>
          <w:szCs w:val="21"/>
        </w:rPr>
        <w:t xml:space="preserve">All 729 consolidated findings were mapped, using TF-IDF + cosine similarity over each framework's control text, to four compliance frameworks — exposed as a Streamlit app so the mapping can be re-run against any future findings export.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1650"/>
        <w:gridCol w:w="1250"/>
        <w:gridCol w:w="1750"/>
        <w:gridCol w:w="1200"/>
        <w:gridCol w:w="1200"/>
      </w:tblGrid>
      <w:tr>
        <w:trPr>
          <w:tblHeader/>
        </w:trPr>
        <w:tc>
          <w:tcPr>
            <w:tcW w:type="dxa" w:w="2300"/>
            <w:shd w:fill="1B2A4A" w:color="auto" w:val="clear"/>
            <w:tcMar>
              <w:top w:type="dxa" w:w="80"/>
              <w:left w:type="dxa" w:w="100"/>
              <w:bottom w:type="dxa" w:w="80"/>
              <w:right w:type="dxa" w:w="100"/>
            </w:tcMar>
            <w:vAlign w:val="center"/>
          </w:tcPr>
          <w:p>
            <w:pPr>
              <w:jc w:val="center"/>
            </w:pPr>
            <w:r>
              <w:rPr>
                <w:b/>
                <w:bCs/>
                <w:color w:val="FFFFFF"/>
                <w:sz w:val="19"/>
                <w:szCs w:val="19"/>
              </w:rPr>
              <w:t xml:space="preserve">Domain</w:t>
            </w:r>
          </w:p>
        </w:tc>
        <w:tc>
          <w:tcPr>
            <w:tcW w:type="dxa" w:w="1650"/>
            <w:shd w:fill="1B2A4A" w:color="auto" w:val="clear"/>
            <w:tcMar>
              <w:top w:type="dxa" w:w="80"/>
              <w:left w:type="dxa" w:w="100"/>
              <w:bottom w:type="dxa" w:w="80"/>
              <w:right w:type="dxa" w:w="100"/>
            </w:tcMar>
            <w:vAlign w:val="center"/>
          </w:tcPr>
          <w:p>
            <w:pPr>
              <w:jc w:val="center"/>
            </w:pPr>
            <w:r>
              <w:rPr>
                <w:b/>
                <w:bCs/>
                <w:color w:val="FFFFFF"/>
                <w:sz w:val="19"/>
                <w:szCs w:val="19"/>
              </w:rPr>
              <w:t xml:space="preserve">ISO 27001 Annex A</w:t>
            </w:r>
          </w:p>
        </w:tc>
        <w:tc>
          <w:tcPr>
            <w:tcW w:type="dxa" w:w="1250"/>
            <w:shd w:fill="1B2A4A" w:color="auto" w:val="clear"/>
            <w:tcMar>
              <w:top w:type="dxa" w:w="80"/>
              <w:left w:type="dxa" w:w="100"/>
              <w:bottom w:type="dxa" w:w="80"/>
              <w:right w:type="dxa" w:w="100"/>
            </w:tcMar>
            <w:vAlign w:val="center"/>
          </w:tcPr>
          <w:p>
            <w:pPr>
              <w:jc w:val="center"/>
            </w:pPr>
            <w:r>
              <w:rPr>
                <w:b/>
                <w:bCs/>
                <w:color w:val="FFFFFF"/>
                <w:sz w:val="19"/>
                <w:szCs w:val="19"/>
              </w:rPr>
              <w:t xml:space="preserve">DPDP Act 2023</w:t>
            </w:r>
          </w:p>
        </w:tc>
        <w:tc>
          <w:tcPr>
            <w:tcW w:type="dxa" w:w="1750"/>
            <w:shd w:fill="1B2A4A" w:color="auto" w:val="clear"/>
            <w:tcMar>
              <w:top w:type="dxa" w:w="80"/>
              <w:left w:type="dxa" w:w="100"/>
              <w:bottom w:type="dxa" w:w="80"/>
              <w:right w:type="dxa" w:w="100"/>
            </w:tcMar>
            <w:vAlign w:val="center"/>
          </w:tcPr>
          <w:p>
            <w:pPr>
              <w:jc w:val="center"/>
            </w:pPr>
            <w:r>
              <w:rPr>
                <w:b/>
                <w:bCs/>
                <w:color w:val="FFFFFF"/>
                <w:sz w:val="19"/>
                <w:szCs w:val="19"/>
              </w:rPr>
              <w:t xml:space="preserve">HIPAA</w:t>
            </w:r>
          </w:p>
        </w:tc>
        <w:tc>
          <w:tcPr>
            <w:tcW w:type="dxa" w:w="1200"/>
            <w:shd w:fill="1B2A4A" w:color="auto" w:val="clear"/>
            <w:tcMar>
              <w:top w:type="dxa" w:w="80"/>
              <w:left w:type="dxa" w:w="100"/>
              <w:bottom w:type="dxa" w:w="80"/>
              <w:right w:type="dxa" w:w="100"/>
            </w:tcMar>
            <w:vAlign w:val="center"/>
          </w:tcPr>
          <w:p>
            <w:pPr>
              <w:jc w:val="center"/>
            </w:pPr>
            <w:r>
              <w:rPr>
                <w:b/>
                <w:bCs/>
                <w:color w:val="FFFFFF"/>
                <w:sz w:val="19"/>
                <w:szCs w:val="19"/>
              </w:rPr>
              <w:t xml:space="preserve">PCI-DSS 4.0</w:t>
            </w:r>
          </w:p>
        </w:tc>
        <w:tc>
          <w:tcPr>
            <w:tcW w:type="dxa" w:w="1200"/>
            <w:shd w:fill="1B2A4A" w:color="auto" w:val="clear"/>
            <w:tcMar>
              <w:top w:type="dxa" w:w="80"/>
              <w:left w:type="dxa" w:w="100"/>
              <w:bottom w:type="dxa" w:w="80"/>
              <w:right w:type="dxa" w:w="100"/>
            </w:tcMar>
            <w:vAlign w:val="center"/>
          </w:tcPr>
          <w:p>
            <w:pPr>
              <w:jc w:val="center"/>
            </w:pPr>
            <w:r>
              <w:rPr>
                <w:b/>
                <w:bCs/>
                <w:color w:val="FFFFFF"/>
                <w:sz w:val="19"/>
                <w:szCs w:val="19"/>
              </w:rPr>
              <w:t xml:space="preserve">CIS Controls v8</w:t>
            </w:r>
          </w:p>
        </w:tc>
      </w:tr>
      <w:tr>
        <w:tc>
          <w:tcPr>
            <w:tcW w:type="dxa" w:w="2300"/>
            <w:tcMar>
              <w:top w:type="dxa" w:w="80"/>
              <w:left w:type="dxa" w:w="100"/>
              <w:bottom w:type="dxa" w:w="80"/>
              <w:right w:type="dxa" w:w="100"/>
            </w:tcMar>
            <w:vAlign w:val="center"/>
          </w:tcPr>
          <w:p>
            <w:pPr>
              <w:jc w:val="center"/>
            </w:pPr>
            <w:r>
              <w:rPr>
                <w:b w:val="false"/>
                <w:bCs w:val="false"/>
                <w:color w:val="222222"/>
                <w:sz w:val="19"/>
                <w:szCs w:val="19"/>
              </w:rPr>
              <w:t xml:space="preserve">Encryption at Rest</w:t>
            </w:r>
          </w:p>
        </w:tc>
        <w:tc>
          <w:tcPr>
            <w:tcW w:type="dxa" w:w="1650"/>
            <w:tcMar>
              <w:top w:type="dxa" w:w="80"/>
              <w:left w:type="dxa" w:w="100"/>
              <w:bottom w:type="dxa" w:w="80"/>
              <w:right w:type="dxa" w:w="100"/>
            </w:tcMar>
            <w:vAlign w:val="center"/>
          </w:tcPr>
          <w:p>
            <w:pPr>
              <w:jc w:val="center"/>
            </w:pPr>
            <w:r>
              <w:rPr>
                <w:b w:val="false"/>
                <w:bCs w:val="false"/>
                <w:color w:val="222222"/>
                <w:sz w:val="19"/>
                <w:szCs w:val="19"/>
              </w:rPr>
              <w:t xml:space="preserve">A.8.24</w:t>
            </w:r>
          </w:p>
        </w:tc>
        <w:tc>
          <w:tcPr>
            <w:tcW w:type="dxa" w:w="1250"/>
            <w:tcMar>
              <w:top w:type="dxa" w:w="80"/>
              <w:left w:type="dxa" w:w="100"/>
              <w:bottom w:type="dxa" w:w="80"/>
              <w:right w:type="dxa" w:w="100"/>
            </w:tcMar>
            <w:vAlign w:val="center"/>
          </w:tcPr>
          <w:p>
            <w:pPr>
              <w:jc w:val="center"/>
            </w:pPr>
            <w:r>
              <w:rPr>
                <w:b w:val="false"/>
                <w:bCs w:val="false"/>
                <w:color w:val="222222"/>
                <w:sz w:val="19"/>
                <w:szCs w:val="19"/>
              </w:rPr>
              <w:t xml:space="preserve">§8</w:t>
            </w:r>
          </w:p>
        </w:tc>
        <w:tc>
          <w:tcPr>
            <w:tcW w:type="dxa" w:w="1750"/>
            <w:tcMar>
              <w:top w:type="dxa" w:w="80"/>
              <w:left w:type="dxa" w:w="100"/>
              <w:bottom w:type="dxa" w:w="80"/>
              <w:right w:type="dxa" w:w="100"/>
            </w:tcMar>
            <w:vAlign w:val="center"/>
          </w:tcPr>
          <w:p>
            <w:pPr>
              <w:jc w:val="center"/>
            </w:pPr>
            <w:r>
              <w:rPr>
                <w:b w:val="false"/>
                <w:bCs w:val="false"/>
                <w:color w:val="222222"/>
                <w:sz w:val="19"/>
                <w:szCs w:val="19"/>
              </w:rPr>
              <w:t xml:space="preserve">§164.312(a)(2)(iv)</w:t>
            </w:r>
          </w:p>
        </w:tc>
        <w:tc>
          <w:tcPr>
            <w:tcW w:type="dxa" w:w="1200"/>
            <w:tcMar>
              <w:top w:type="dxa" w:w="80"/>
              <w:left w:type="dxa" w:w="100"/>
              <w:bottom w:type="dxa" w:w="80"/>
              <w:right w:type="dxa" w:w="100"/>
            </w:tcMar>
            <w:vAlign w:val="center"/>
          </w:tcPr>
          <w:p>
            <w:pPr>
              <w:jc w:val="center"/>
            </w:pPr>
            <w:r>
              <w:rPr>
                <w:b w:val="false"/>
                <w:bCs w:val="false"/>
                <w:color w:val="222222"/>
                <w:sz w:val="19"/>
                <w:szCs w:val="19"/>
              </w:rPr>
              <w:t xml:space="preserve">Req 3.5</w:t>
            </w:r>
          </w:p>
        </w:tc>
        <w:tc>
          <w:tcPr>
            <w:tcW w:type="dxa" w:w="1200"/>
            <w:tcMar>
              <w:top w:type="dxa" w:w="80"/>
              <w:left w:type="dxa" w:w="100"/>
              <w:bottom w:type="dxa" w:w="80"/>
              <w:right w:type="dxa" w:w="100"/>
            </w:tcMar>
            <w:vAlign w:val="center"/>
          </w:tcPr>
          <w:p>
            <w:pPr>
              <w:jc w:val="center"/>
            </w:pPr>
            <w:r>
              <w:rPr>
                <w:b w:val="false"/>
                <w:bCs w:val="false"/>
                <w:color w:val="222222"/>
                <w:sz w:val="19"/>
                <w:szCs w:val="19"/>
              </w:rPr>
              <w:t xml:space="preserve">CIS 3.11</w:t>
            </w:r>
          </w:p>
        </w:tc>
      </w:tr>
      <w:tr>
        <w:tc>
          <w:tcPr>
            <w:tcW w:type="dxa" w:w="23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Access Control</w:t>
            </w:r>
          </w:p>
        </w:tc>
        <w:tc>
          <w:tcPr>
            <w:tcW w:type="dxa" w:w="16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A.5.15, A.8.2</w:t>
            </w:r>
          </w:p>
        </w:tc>
        <w:tc>
          <w:tcPr>
            <w:tcW w:type="dxa" w:w="1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§6</w:t>
            </w:r>
          </w:p>
        </w:tc>
        <w:tc>
          <w:tcPr>
            <w:tcW w:type="dxa" w:w="17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§164.312(a)(1)</w:t>
            </w:r>
          </w:p>
        </w:tc>
        <w:tc>
          <w:tcPr>
            <w:tcW w:type="dxa" w:w="12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Req 7</w:t>
            </w:r>
          </w:p>
        </w:tc>
        <w:tc>
          <w:tcPr>
            <w:tcW w:type="dxa" w:w="12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CIS 6</w:t>
            </w:r>
          </w:p>
        </w:tc>
      </w:tr>
      <w:tr>
        <w:tc>
          <w:tcPr>
            <w:tcW w:type="dxa" w:w="2300"/>
            <w:tcMar>
              <w:top w:type="dxa" w:w="80"/>
              <w:left w:type="dxa" w:w="100"/>
              <w:bottom w:type="dxa" w:w="80"/>
              <w:right w:type="dxa" w:w="100"/>
            </w:tcMar>
            <w:vAlign w:val="center"/>
          </w:tcPr>
          <w:p>
            <w:pPr>
              <w:jc w:val="center"/>
            </w:pPr>
            <w:r>
              <w:rPr>
                <w:b w:val="false"/>
                <w:bCs w:val="false"/>
                <w:color w:val="222222"/>
                <w:sz w:val="19"/>
                <w:szCs w:val="19"/>
              </w:rPr>
              <w:t xml:space="preserve">Logging &amp; Monitoring</w:t>
            </w:r>
          </w:p>
        </w:tc>
        <w:tc>
          <w:tcPr>
            <w:tcW w:type="dxa" w:w="1650"/>
            <w:tcMar>
              <w:top w:type="dxa" w:w="80"/>
              <w:left w:type="dxa" w:w="100"/>
              <w:bottom w:type="dxa" w:w="80"/>
              <w:right w:type="dxa" w:w="100"/>
            </w:tcMar>
            <w:vAlign w:val="center"/>
          </w:tcPr>
          <w:p>
            <w:pPr>
              <w:jc w:val="center"/>
            </w:pPr>
            <w:r>
              <w:rPr>
                <w:b w:val="false"/>
                <w:bCs w:val="false"/>
                <w:color w:val="222222"/>
                <w:sz w:val="19"/>
                <w:szCs w:val="19"/>
              </w:rPr>
              <w:t xml:space="preserve">A.8.15, A.8.16</w:t>
            </w:r>
          </w:p>
        </w:tc>
        <w:tc>
          <w:tcPr>
            <w:tcW w:type="dxa" w:w="1250"/>
            <w:tcMar>
              <w:top w:type="dxa" w:w="80"/>
              <w:left w:type="dxa" w:w="100"/>
              <w:bottom w:type="dxa" w:w="80"/>
              <w:right w:type="dxa" w:w="100"/>
            </w:tcMar>
            <w:vAlign w:val="center"/>
          </w:tcPr>
          <w:p>
            <w:pPr>
              <w:jc w:val="center"/>
            </w:pPr>
            <w:r>
              <w:rPr>
                <w:b w:val="false"/>
                <w:bCs w:val="false"/>
                <w:color w:val="222222"/>
                <w:sz w:val="19"/>
                <w:szCs w:val="19"/>
              </w:rPr>
              <w:t xml:space="preserve">§8</w:t>
            </w:r>
          </w:p>
        </w:tc>
        <w:tc>
          <w:tcPr>
            <w:tcW w:type="dxa" w:w="1750"/>
            <w:tcMar>
              <w:top w:type="dxa" w:w="80"/>
              <w:left w:type="dxa" w:w="100"/>
              <w:bottom w:type="dxa" w:w="80"/>
              <w:right w:type="dxa" w:w="100"/>
            </w:tcMar>
            <w:vAlign w:val="center"/>
          </w:tcPr>
          <w:p>
            <w:pPr>
              <w:jc w:val="center"/>
            </w:pPr>
            <w:r>
              <w:rPr>
                <w:b w:val="false"/>
                <w:bCs w:val="false"/>
                <w:color w:val="222222"/>
                <w:sz w:val="19"/>
                <w:szCs w:val="19"/>
              </w:rPr>
              <w:t xml:space="preserve">§164.312(b)</w:t>
            </w:r>
          </w:p>
        </w:tc>
        <w:tc>
          <w:tcPr>
            <w:tcW w:type="dxa" w:w="1200"/>
            <w:tcMar>
              <w:top w:type="dxa" w:w="80"/>
              <w:left w:type="dxa" w:w="100"/>
              <w:bottom w:type="dxa" w:w="80"/>
              <w:right w:type="dxa" w:w="100"/>
            </w:tcMar>
            <w:vAlign w:val="center"/>
          </w:tcPr>
          <w:p>
            <w:pPr>
              <w:jc w:val="center"/>
            </w:pPr>
            <w:r>
              <w:rPr>
                <w:b w:val="false"/>
                <w:bCs w:val="false"/>
                <w:color w:val="222222"/>
                <w:sz w:val="19"/>
                <w:szCs w:val="19"/>
              </w:rPr>
              <w:t xml:space="preserve">Req 10</w:t>
            </w:r>
          </w:p>
        </w:tc>
        <w:tc>
          <w:tcPr>
            <w:tcW w:type="dxa" w:w="1200"/>
            <w:tcMar>
              <w:top w:type="dxa" w:w="80"/>
              <w:left w:type="dxa" w:w="100"/>
              <w:bottom w:type="dxa" w:w="80"/>
              <w:right w:type="dxa" w:w="100"/>
            </w:tcMar>
            <w:vAlign w:val="center"/>
          </w:tcPr>
          <w:p>
            <w:pPr>
              <w:jc w:val="center"/>
            </w:pPr>
            <w:r>
              <w:rPr>
                <w:b w:val="false"/>
                <w:bCs w:val="false"/>
                <w:color w:val="222222"/>
                <w:sz w:val="19"/>
                <w:szCs w:val="19"/>
              </w:rPr>
              <w:t xml:space="preserve">CIS 8</w:t>
            </w:r>
          </w:p>
        </w:tc>
      </w:tr>
      <w:tr>
        <w:tc>
          <w:tcPr>
            <w:tcW w:type="dxa" w:w="23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Network Security</w:t>
            </w:r>
          </w:p>
        </w:tc>
        <w:tc>
          <w:tcPr>
            <w:tcW w:type="dxa" w:w="16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A.8.20, A.8.22</w:t>
            </w:r>
          </w:p>
        </w:tc>
        <w:tc>
          <w:tcPr>
            <w:tcW w:type="dxa" w:w="12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§8</w:t>
            </w:r>
          </w:p>
        </w:tc>
        <w:tc>
          <w:tcPr>
            <w:tcW w:type="dxa" w:w="17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§164.312(e)(1)</w:t>
            </w:r>
          </w:p>
        </w:tc>
        <w:tc>
          <w:tcPr>
            <w:tcW w:type="dxa" w:w="12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Req 1</w:t>
            </w:r>
          </w:p>
        </w:tc>
        <w:tc>
          <w:tcPr>
            <w:tcW w:type="dxa" w:w="12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CIS 12/13</w:t>
            </w:r>
          </w:p>
        </w:tc>
      </w:tr>
    </w:tbl>
    <w:p>
      <w:pPr>
        <w:spacing w:after="160" w:line="276"/>
      </w:pPr>
      <w:r>
        <w:rPr>
          <w:color w:val="222222"/>
          <w:sz w:val="21"/>
          <w:szCs w:val="21"/>
        </w:rPr>
        <w:t xml:space="preserve">Sample record from the crosswalk output (each of 729 findings receives one row like this):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850"/>
        <w:gridCol w:w="1950"/>
        <w:gridCol w:w="1850"/>
        <w:gridCol w:w="1500"/>
      </w:tblGrid>
      <w:tr>
        <w:trPr>
          <w:tblHeader/>
        </w:trPr>
        <w:tc>
          <w:tcPr>
            <w:tcW w:type="dxa" w:w="2200"/>
            <w:shd w:fill="1B2A4A" w:color="auto" w:val="clear"/>
            <w:tcMar>
              <w:top w:type="dxa" w:w="80"/>
              <w:left w:type="dxa" w:w="100"/>
              <w:bottom w:type="dxa" w:w="80"/>
              <w:right w:type="dxa" w:w="100"/>
            </w:tcMar>
            <w:vAlign w:val="center"/>
          </w:tcPr>
          <w:p>
            <w:pPr>
              <w:jc w:val="center"/>
            </w:pPr>
            <w:r>
              <w:rPr>
                <w:b/>
                <w:bCs/>
                <w:color w:val="FFFFFF"/>
                <w:sz w:val="19"/>
                <w:szCs w:val="19"/>
              </w:rPr>
              <w:t xml:space="preserve">Finding</w:t>
            </w:r>
          </w:p>
        </w:tc>
        <w:tc>
          <w:tcPr>
            <w:tcW w:type="dxa" w:w="1850"/>
            <w:shd w:fill="1B2A4A" w:color="auto" w:val="clear"/>
            <w:tcMar>
              <w:top w:type="dxa" w:w="80"/>
              <w:left w:type="dxa" w:w="100"/>
              <w:bottom w:type="dxa" w:w="80"/>
              <w:right w:type="dxa" w:w="100"/>
            </w:tcMar>
            <w:vAlign w:val="center"/>
          </w:tcPr>
          <w:p>
            <w:pPr>
              <w:jc w:val="center"/>
            </w:pPr>
            <w:r>
              <w:rPr>
                <w:b/>
                <w:bCs/>
                <w:color w:val="FFFFFF"/>
                <w:sz w:val="19"/>
                <w:szCs w:val="19"/>
              </w:rPr>
              <w:t xml:space="preserve">ISO 27001</w:t>
            </w:r>
          </w:p>
        </w:tc>
        <w:tc>
          <w:tcPr>
            <w:tcW w:type="dxa" w:w="1950"/>
            <w:shd w:fill="1B2A4A" w:color="auto" w:val="clear"/>
            <w:tcMar>
              <w:top w:type="dxa" w:w="80"/>
              <w:left w:type="dxa" w:w="100"/>
              <w:bottom w:type="dxa" w:w="80"/>
              <w:right w:type="dxa" w:w="100"/>
            </w:tcMar>
            <w:vAlign w:val="center"/>
          </w:tcPr>
          <w:p>
            <w:pPr>
              <w:jc w:val="center"/>
            </w:pPr>
            <w:r>
              <w:rPr>
                <w:b/>
                <w:bCs/>
                <w:color w:val="FFFFFF"/>
                <w:sz w:val="19"/>
                <w:szCs w:val="19"/>
              </w:rPr>
              <w:t xml:space="preserve">HIPAA</w:t>
            </w:r>
          </w:p>
        </w:tc>
        <w:tc>
          <w:tcPr>
            <w:tcW w:type="dxa" w:w="1850"/>
            <w:shd w:fill="1B2A4A" w:color="auto" w:val="clear"/>
            <w:tcMar>
              <w:top w:type="dxa" w:w="80"/>
              <w:left w:type="dxa" w:w="100"/>
              <w:bottom w:type="dxa" w:w="80"/>
              <w:right w:type="dxa" w:w="100"/>
            </w:tcMar>
            <w:vAlign w:val="center"/>
          </w:tcPr>
          <w:p>
            <w:pPr>
              <w:jc w:val="center"/>
            </w:pPr>
            <w:r>
              <w:rPr>
                <w:b/>
                <w:bCs/>
                <w:color w:val="FFFFFF"/>
                <w:sz w:val="19"/>
                <w:szCs w:val="19"/>
              </w:rPr>
              <w:t xml:space="preserve">CIS v8</w:t>
            </w:r>
          </w:p>
        </w:tc>
        <w:tc>
          <w:tcPr>
            <w:tcW w:type="dxa" w:w="1500"/>
            <w:shd w:fill="1B2A4A" w:color="auto" w:val="clear"/>
            <w:tcMar>
              <w:top w:type="dxa" w:w="80"/>
              <w:left w:type="dxa" w:w="100"/>
              <w:bottom w:type="dxa" w:w="80"/>
              <w:right w:type="dxa" w:w="100"/>
            </w:tcMar>
            <w:vAlign w:val="center"/>
          </w:tcPr>
          <w:p>
            <w:pPr>
              <w:jc w:val="center"/>
            </w:pPr>
            <w:r>
              <w:rPr>
                <w:b/>
                <w:bCs/>
                <w:color w:val="FFFFFF"/>
                <w:sz w:val="19"/>
                <w:szCs w:val="19"/>
              </w:rPr>
              <w:t xml:space="preserve">DPDP 2023</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RDS instance publicly accessible</w:t>
            </w:r>
          </w:p>
        </w:tc>
        <w:tc>
          <w:tcPr>
            <w:tcW w:type="dxa" w:w="1850"/>
            <w:tcMar>
              <w:top w:type="dxa" w:w="80"/>
              <w:left w:type="dxa" w:w="100"/>
              <w:bottom w:type="dxa" w:w="80"/>
              <w:right w:type="dxa" w:w="100"/>
            </w:tcMar>
            <w:vAlign w:val="center"/>
          </w:tcPr>
          <w:p>
            <w:pPr>
              <w:jc w:val="left"/>
            </w:pPr>
            <w:r>
              <w:rPr>
                <w:b w:val="false"/>
                <w:bCs w:val="false"/>
                <w:color w:val="222222"/>
                <w:sz w:val="19"/>
                <w:szCs w:val="19"/>
              </w:rPr>
              <w:t xml:space="preserve">A.8.20 — Network security</w:t>
            </w:r>
          </w:p>
        </w:tc>
        <w:tc>
          <w:tcPr>
            <w:tcW w:type="dxa" w:w="1950"/>
            <w:tcMar>
              <w:top w:type="dxa" w:w="80"/>
              <w:left w:type="dxa" w:w="100"/>
              <w:bottom w:type="dxa" w:w="80"/>
              <w:right w:type="dxa" w:w="100"/>
            </w:tcMar>
            <w:vAlign w:val="center"/>
          </w:tcPr>
          <w:p>
            <w:pPr>
              <w:jc w:val="left"/>
            </w:pPr>
            <w:r>
              <w:rPr>
                <w:b w:val="false"/>
                <w:bCs w:val="false"/>
                <w:color w:val="222222"/>
                <w:sz w:val="19"/>
                <w:szCs w:val="19"/>
              </w:rPr>
              <w:t xml:space="preserve">§164.312(e)(1) — Transmission Security</w:t>
            </w:r>
          </w:p>
        </w:tc>
        <w:tc>
          <w:tcPr>
            <w:tcW w:type="dxa" w:w="1850"/>
            <w:tcMar>
              <w:top w:type="dxa" w:w="80"/>
              <w:left w:type="dxa" w:w="100"/>
              <w:bottom w:type="dxa" w:w="80"/>
              <w:right w:type="dxa" w:w="100"/>
            </w:tcMar>
            <w:vAlign w:val="center"/>
          </w:tcPr>
          <w:p>
            <w:pPr>
              <w:jc w:val="left"/>
            </w:pPr>
            <w:r>
              <w:rPr>
                <w:b w:val="false"/>
                <w:bCs w:val="false"/>
                <w:color w:val="222222"/>
                <w:sz w:val="19"/>
                <w:szCs w:val="19"/>
              </w:rPr>
              <w:t xml:space="preserve">CIS 12.2 — Secure Network Architecture</w:t>
            </w:r>
          </w:p>
        </w:tc>
        <w:tc>
          <w:tcPr>
            <w:tcW w:type="dxa" w:w="1500"/>
            <w:tcMar>
              <w:top w:type="dxa" w:w="80"/>
              <w:left w:type="dxa" w:w="100"/>
              <w:bottom w:type="dxa" w:w="80"/>
              <w:right w:type="dxa" w:w="100"/>
            </w:tcMar>
            <w:vAlign w:val="center"/>
          </w:tcPr>
          <w:p>
            <w:pPr>
              <w:jc w:val="left"/>
            </w:pPr>
            <w:r>
              <w:rPr>
                <w:b w:val="false"/>
                <w:bCs w:val="false"/>
                <w:color w:val="222222"/>
                <w:sz w:val="19"/>
                <w:szCs w:val="19"/>
              </w:rPr>
              <w:t xml:space="preserve">§8(4) — Reasonable security safeguards</w:t>
            </w:r>
          </w:p>
        </w:tc>
      </w:tr>
      <w:tr>
        <w:tc>
          <w:tcPr>
            <w:tcW w:type="dxa" w:w="22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IAM inline policy allows privilege escalation</w:t>
            </w:r>
          </w:p>
        </w:tc>
        <w:tc>
          <w:tcPr>
            <w:tcW w:type="dxa" w:w="18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A.8.3 — Information access restriction</w:t>
            </w:r>
          </w:p>
        </w:tc>
        <w:tc>
          <w:tcPr>
            <w:tcW w:type="dxa" w:w="19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§164.312(a)(1) — Access Control</w:t>
            </w:r>
          </w:p>
        </w:tc>
        <w:tc>
          <w:tcPr>
            <w:tcW w:type="dxa" w:w="18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CIS 5.4 — Restrict Admin Privileges</w:t>
            </w:r>
          </w:p>
        </w:tc>
        <w:tc>
          <w:tcPr>
            <w:tcW w:type="dxa" w:w="15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§5 — Notice and consent</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SQL Server firewall allows all IPs</w:t>
            </w:r>
          </w:p>
        </w:tc>
        <w:tc>
          <w:tcPr>
            <w:tcW w:type="dxa" w:w="1850"/>
            <w:tcMar>
              <w:top w:type="dxa" w:w="80"/>
              <w:left w:type="dxa" w:w="100"/>
              <w:bottom w:type="dxa" w:w="80"/>
              <w:right w:type="dxa" w:w="100"/>
            </w:tcMar>
            <w:vAlign w:val="center"/>
          </w:tcPr>
          <w:p>
            <w:pPr>
              <w:jc w:val="left"/>
            </w:pPr>
            <w:r>
              <w:rPr>
                <w:b w:val="false"/>
                <w:bCs w:val="false"/>
                <w:color w:val="222222"/>
                <w:sz w:val="19"/>
                <w:szCs w:val="19"/>
              </w:rPr>
              <w:t xml:space="preserve">A.8.20 — Network security</w:t>
            </w:r>
          </w:p>
        </w:tc>
        <w:tc>
          <w:tcPr>
            <w:tcW w:type="dxa" w:w="1950"/>
            <w:tcMar>
              <w:top w:type="dxa" w:w="80"/>
              <w:left w:type="dxa" w:w="100"/>
              <w:bottom w:type="dxa" w:w="80"/>
              <w:right w:type="dxa" w:w="100"/>
            </w:tcMar>
            <w:vAlign w:val="center"/>
          </w:tcPr>
          <w:p>
            <w:pPr>
              <w:jc w:val="left"/>
            </w:pPr>
            <w:r>
              <w:rPr>
                <w:b w:val="false"/>
                <w:bCs w:val="false"/>
                <w:color w:val="222222"/>
                <w:sz w:val="19"/>
                <w:szCs w:val="19"/>
              </w:rPr>
              <w:t xml:space="preserve">§164.308(a)(6) — Security Incident Procedures</w:t>
            </w:r>
          </w:p>
        </w:tc>
        <w:tc>
          <w:tcPr>
            <w:tcW w:type="dxa" w:w="1850"/>
            <w:tcMar>
              <w:top w:type="dxa" w:w="80"/>
              <w:left w:type="dxa" w:w="100"/>
              <w:bottom w:type="dxa" w:w="80"/>
              <w:right w:type="dxa" w:w="100"/>
            </w:tcMar>
            <w:vAlign w:val="center"/>
          </w:tcPr>
          <w:p>
            <w:pPr>
              <w:jc w:val="left"/>
            </w:pPr>
            <w:r>
              <w:rPr>
                <w:b w:val="false"/>
                <w:bCs w:val="false"/>
                <w:color w:val="222222"/>
                <w:sz w:val="19"/>
                <w:szCs w:val="19"/>
              </w:rPr>
              <w:t xml:space="preserve">CIS 12.2 — Secure Network Architecture</w:t>
            </w:r>
          </w:p>
        </w:tc>
        <w:tc>
          <w:tcPr>
            <w:tcW w:type="dxa" w:w="1500"/>
            <w:tcMar>
              <w:top w:type="dxa" w:w="80"/>
              <w:left w:type="dxa" w:w="100"/>
              <w:bottom w:type="dxa" w:w="80"/>
              <w:right w:type="dxa" w:w="100"/>
            </w:tcMar>
            <w:vAlign w:val="center"/>
          </w:tcPr>
          <w:p>
            <w:pPr>
              <w:jc w:val="left"/>
            </w:pPr>
            <w:r>
              <w:rPr>
                <w:b w:val="false"/>
                <w:bCs w:val="false"/>
                <w:color w:val="222222"/>
                <w:sz w:val="19"/>
                <w:szCs w:val="19"/>
              </w:rPr>
              <w:t xml:space="preserve">§8(4) — Reasonable security safeguards</w:t>
            </w:r>
          </w:p>
        </w:tc>
      </w:tr>
    </w:tbl>
    <w:p>
      <w:pPr>
        <w:pBdr>
          <w:left w:val="single" w:color="0E7C7B" w:sz="24" w:space="8"/>
        </w:pBdr>
        <w:shd w:fill="E6F2F1" w:color="auto" w:val="clear"/>
        <w:spacing w:after="200" w:before="100"/>
        <w:ind w:left="100"/>
      </w:pPr>
      <w:r>
        <w:rPr>
          <w:color w:val="222222"/>
          <w:sz w:val="20"/>
          <w:szCs w:val="20"/>
        </w:rPr>
        <w:t xml:space="preserve">DPDP Act 2023 has no built-in Prowler framework, so this mapping was produced by extracting unique FAIL findings from the ISO 27001 scan and feeding the unique check list to an LLM with a prompt requesting a DPDP §8(5) ("reasonable security safeguards") mapping and a two-line justification per finding — disclosed here per the LLM usage policy (§14).</w:t>
      </w:r>
    </w:p>
    <w:p>
      <w:pPr>
        <w:pStyle w:val="Heading1"/>
        <w:pBdr>
          <w:bottom w:val="single" w:color="0E7C7B" w:sz="6" w:space="4"/>
        </w:pBdr>
        <w:spacing w:after="160" w:before="360"/>
      </w:pPr>
      <w:r>
        <w:rPr>
          <w:b/>
          <w:bCs/>
          <w:color w:val="1B2A4A"/>
          <w:sz w:val="30"/>
          <w:szCs w:val="30"/>
        </w:rPr>
        <w:t xml:space="preserve">11. Safety, Governance &amp; Design Principles</w:t>
      </w:r>
    </w:p>
    <w:p>
      <w:pPr>
        <w:pStyle w:val="ListParagraph"/>
        <w:numPr>
          <w:ilvl w:val="0"/>
          <w:numId w:val="1"/>
        </w:numPr>
        <w:spacing w:after="80" w:line="264"/>
      </w:pPr>
      <w:r>
        <w:rPr>
          <w:color w:val="222222"/>
          <w:sz w:val="21"/>
          <w:szCs w:val="21"/>
        </w:rPr>
        <w:t xml:space="preserve">Idempotency — every remediation handler checks current state before acting and logs a SKIPPED no-op if the fix is already applied, so re-running a finding never causes duplicate or conflicting changes.</w:t>
      </w:r>
    </w:p>
    <w:p>
      <w:pPr>
        <w:pStyle w:val="ListParagraph"/>
        <w:numPr>
          <w:ilvl w:val="0"/>
          <w:numId w:val="1"/>
        </w:numPr>
        <w:spacing w:after="80" w:line="264"/>
      </w:pPr>
      <w:r>
        <w:rPr>
          <w:color w:val="222222"/>
          <w:sz w:val="21"/>
          <w:szCs w:val="21"/>
        </w:rPr>
        <w:t xml:space="preserve">Reversibility — every automated action can be undone by an administrator: public-access-block flags can be re-opened, IAM keys can be reactivated, and encryption changes only affect newly written data.</w:t>
      </w:r>
    </w:p>
    <w:p>
      <w:pPr>
        <w:pStyle w:val="ListParagraph"/>
        <w:numPr>
          <w:ilvl w:val="0"/>
          <w:numId w:val="1"/>
        </w:numPr>
        <w:spacing w:after="80" w:line="264"/>
      </w:pPr>
      <w:r>
        <w:rPr>
          <w:color w:val="222222"/>
          <w:sz w:val="21"/>
          <w:szCs w:val="21"/>
        </w:rPr>
        <w:t xml:space="preserve">No destructive default — IAM keys are deactivated, never deleted. RDS storage encryption is never auto-applied because the only remediation path (snapshot-and-restore) is disruptive; it is always routed to a human-approval flag instead.</w:t>
      </w:r>
    </w:p>
    <w:p>
      <w:pPr>
        <w:pStyle w:val="ListParagraph"/>
        <w:numPr>
          <w:ilvl w:val="0"/>
          <w:numId w:val="1"/>
        </w:numPr>
        <w:spacing w:after="80" w:line="264"/>
      </w:pPr>
      <w:r>
        <w:rPr>
          <w:color w:val="222222"/>
          <w:sz w:val="21"/>
          <w:szCs w:val="21"/>
        </w:rPr>
        <w:t xml:space="preserve">Explicit allow-list routing — the dispatcher matches finding_type against a fixed dictionary rather than dynamically resolving a function name, so a malformed or unexpected finding_type fails closed (HTTP 400) rather than executing unintended code.</w:t>
      </w:r>
    </w:p>
    <w:p>
      <w:pPr>
        <w:pStyle w:val="ListParagraph"/>
        <w:numPr>
          <w:ilvl w:val="0"/>
          <w:numId w:val="1"/>
        </w:numPr>
        <w:spacing w:after="80" w:line="264"/>
      </w:pPr>
      <w:r>
        <w:rPr>
          <w:color w:val="222222"/>
          <w:sz w:val="21"/>
          <w:szCs w:val="21"/>
        </w:rPr>
        <w:t xml:space="preserve">Human-in-the-loop by default — the production trigger path is the approval workflow, not the direct-invoke path; an analyst must actively click Approve before any live change happens.</w:t>
      </w:r>
    </w:p>
    <w:p>
      <w:pPr>
        <w:pStyle w:val="ListParagraph"/>
        <w:numPr>
          <w:ilvl w:val="0"/>
          <w:numId w:val="1"/>
        </w:numPr>
        <w:spacing w:after="80" w:line="264"/>
      </w:pPr>
      <w:r>
        <w:rPr>
          <w:color w:val="222222"/>
          <w:sz w:val="21"/>
          <w:szCs w:val="21"/>
        </w:rPr>
        <w:t xml:space="preserve">Time-bounded approval — the approval request expires after 3600 seconds; an unanswered finding safely does nothing rather than defaulting to action.</w:t>
      </w:r>
    </w:p>
    <w:p>
      <w:pPr>
        <w:pStyle w:val="ListParagraph"/>
        <w:numPr>
          <w:ilvl w:val="0"/>
          <w:numId w:val="1"/>
        </w:numPr>
        <w:spacing w:after="80" w:line="264"/>
      </w:pPr>
      <w:r>
        <w:rPr>
          <w:color w:val="222222"/>
          <w:sz w:val="21"/>
          <w:szCs w:val="21"/>
        </w:rPr>
        <w:t xml:space="preserve">Least-privilege IAM — each Lambda has its own execution role scoped to only what it needs (e.g. the notifier's role can only sns:Publish to the approval topic).</w:t>
      </w:r>
    </w:p>
    <w:p>
      <w:pPr>
        <w:pStyle w:val="ListParagraph"/>
        <w:numPr>
          <w:ilvl w:val="0"/>
          <w:numId w:val="1"/>
        </w:numPr>
        <w:spacing w:after="80" w:line="264"/>
      </w:pPr>
      <w:r>
        <w:rPr>
          <w:color w:val="222222"/>
          <w:sz w:val="21"/>
          <w:szCs w:val="21"/>
        </w:rPr>
        <w:t xml:space="preserve">Structured audit logging — every remediation attempt (successful, skipped, or errored) writes one structured JSON line to CloudWatch with finding type, resource, requester, dry_run flag, and result.</w:t>
      </w:r>
    </w:p>
    <w:p>
      <w:pPr>
        <w:pStyle w:val="ListParagraph"/>
        <w:numPr>
          <w:ilvl w:val="0"/>
          <w:numId w:val="1"/>
        </w:numPr>
        <w:spacing w:after="80" w:line="264"/>
      </w:pPr>
      <w:r>
        <w:rPr>
          <w:color w:val="222222"/>
          <w:sz w:val="21"/>
          <w:szCs w:val="21"/>
        </w:rPr>
        <w:t xml:space="preserve">Secret hygiene — the IAM key remediation handler logs only the key ID, never the secret access key value.</w:t>
      </w:r>
    </w:p>
    <w:p>
      <w:r>
        <w:br w:type="page"/>
      </w:r>
    </w:p>
    <w:p>
      <w:pPr>
        <w:pStyle w:val="Heading1"/>
        <w:pBdr>
          <w:bottom w:val="single" w:color="0E7C7B" w:sz="6" w:space="4"/>
        </w:pBdr>
        <w:spacing w:after="160" w:before="360"/>
      </w:pPr>
      <w:r>
        <w:rPr>
          <w:b/>
          <w:bCs/>
          <w:color w:val="1B2A4A"/>
          <w:sz w:val="30"/>
          <w:szCs w:val="30"/>
        </w:rPr>
        <w:t xml:space="preserve">12. Deployment Journey — Issues Encountered and Fixes</w:t>
      </w:r>
    </w:p>
    <w:p>
      <w:pPr>
        <w:spacing w:after="160" w:line="276"/>
      </w:pPr>
      <w:r>
        <w:rPr>
          <w:color w:val="222222"/>
          <w:sz w:val="21"/>
          <w:szCs w:val="21"/>
        </w:rPr>
        <w:t xml:space="preserve">Documented here, in the order encountered, because they are common Terraform/shell pitfalls worth remembering for future work.</w:t>
      </w:r>
    </w:p>
    <w:p>
      <w:pPr>
        <w:pStyle w:val="Heading3"/>
        <w:spacing w:after="100" w:before="200"/>
      </w:pPr>
      <w:r>
        <w:rPr>
          <w:b/>
          <w:bCs/>
          <w:color w:val="0E7C7B"/>
          <w:sz w:val="22"/>
          <w:szCs w:val="22"/>
        </w:rPr>
        <w:t xml:space="preserve">Heredoc left open</w:t>
      </w:r>
    </w:p>
    <w:p>
      <w:pPr>
        <w:spacing w:after="160" w:line="276"/>
      </w:pPr>
      <w:r>
        <w:rPr>
          <w:color w:val="222222"/>
          <w:sz w:val="21"/>
          <w:szCs w:val="21"/>
        </w:rPr>
        <w:t xml:space="preserve">Problem: A cat &gt; file.tf &lt;&lt; 'EOF' command was pasted without its closing EOF, leaving the shell stuck inside a heredoc prompt.</w:t>
      </w:r>
    </w:p>
    <w:p>
      <w:pPr>
        <w:spacing w:after="160" w:line="276"/>
      </w:pPr>
      <w:r>
        <w:rPr>
          <w:color w:val="222222"/>
          <w:sz w:val="21"/>
          <w:szCs w:val="21"/>
        </w:rPr>
        <w:t xml:space="preserve">Fix: Typed EOF alone on its own line to close the heredoc.</w:t>
      </w:r>
    </w:p>
    <w:p>
      <w:pPr>
        <w:pStyle w:val="Heading3"/>
        <w:spacing w:after="100" w:before="200"/>
      </w:pPr>
      <w:r>
        <w:rPr>
          <w:b/>
          <w:bCs/>
          <w:color w:val="0E7C7B"/>
          <w:sz w:val="22"/>
          <w:szCs w:val="22"/>
        </w:rPr>
        <w:t xml:space="preserve">Missing opening quote in remediation.tf</w:t>
      </w:r>
    </w:p>
    <w:p>
      <w:pPr>
        <w:spacing w:after="160" w:line="276"/>
      </w:pPr>
      <w:r>
        <w:rPr>
          <w:color w:val="222222"/>
          <w:sz w:val="21"/>
          <w:szCs w:val="21"/>
        </w:rPr>
        <w:t xml:space="preserve">Problem: A line read endpoint = megha22knit@gmail.com" — a closing quote with no opening quote — so Terraform read the rest of the file as one unterminated string, producing dozens of cascading errors.</w:t>
      </w:r>
    </w:p>
    <w:p>
      <w:pPr>
        <w:spacing w:after="160" w:line="276"/>
      </w:pPr>
      <w:r>
        <w:rPr>
          <w:color w:val="222222"/>
          <w:sz w:val="21"/>
          <w:szCs w:val="21"/>
        </w:rPr>
        <w:t xml:space="preserve">Fix: Corrected to endpoint = "megha22knit@gmail.com". One missing character caused the entire cascade; the fix was one line.</w:t>
      </w:r>
    </w:p>
    <w:p>
      <w:pPr>
        <w:pStyle w:val="Heading3"/>
        <w:spacing w:after="100" w:before="200"/>
      </w:pPr>
      <w:r>
        <w:rPr>
          <w:b/>
          <w:bCs/>
          <w:color w:val="0E7C7B"/>
          <w:sz w:val="22"/>
          <w:szCs w:val="22"/>
        </w:rPr>
        <w:t xml:space="preserve">Missing declared variable</w:t>
      </w:r>
    </w:p>
    <w:p>
      <w:pPr>
        <w:spacing w:after="160" w:line="276"/>
      </w:pPr>
      <w:r>
        <w:rPr>
          <w:color w:val="222222"/>
          <w:sz w:val="21"/>
          <w:szCs w:val="21"/>
        </w:rPr>
        <w:t xml:space="preserve">Problem: terraform validate failed with "Reference to undeclared input variable" for var.project.</w:t>
      </w:r>
    </w:p>
    <w:p>
      <w:pPr>
        <w:spacing w:after="160" w:line="276"/>
      </w:pPr>
      <w:r>
        <w:rPr>
          <w:color w:val="222222"/>
          <w:sz w:val="21"/>
          <w:szCs w:val="21"/>
        </w:rPr>
        <w:t xml:space="preserve">Fix: Created provider.tf with the aws provider block and a variable "project" block (default = "cloudguardian").</w:t>
      </w:r>
    </w:p>
    <w:p>
      <w:pPr>
        <w:pStyle w:val="Heading3"/>
        <w:spacing w:after="100" w:before="200"/>
      </w:pPr>
      <w:r>
        <w:rPr>
          <w:b/>
          <w:bCs/>
          <w:color w:val="0E7C7B"/>
          <w:sz w:val="22"/>
          <w:szCs w:val="22"/>
        </w:rPr>
        <w:t xml:space="preserve">terraform init appeared to hang</w:t>
      </w:r>
    </w:p>
    <w:p>
      <w:pPr>
        <w:spacing w:after="160" w:line="276"/>
      </w:pPr>
      <w:r>
        <w:rPr>
          <w:color w:val="222222"/>
          <w:sz w:val="21"/>
          <w:szCs w:val="21"/>
        </w:rPr>
        <w:t xml:space="preserve">Problem: No visible progress while installing the hashicorp/aws provider.</w:t>
      </w:r>
    </w:p>
    <w:p>
      <w:pPr>
        <w:spacing w:after="160" w:line="276"/>
      </w:pPr>
      <w:r>
        <w:rPr>
          <w:color w:val="222222"/>
          <w:sz w:val="21"/>
          <w:szCs w:val="21"/>
        </w:rPr>
        <w:t xml:space="preserve">Fix: Verified network connectivity, then waited — the provider (v6.55.0) installed successfully.</w:t>
      </w:r>
    </w:p>
    <w:p>
      <w:pPr>
        <w:pStyle w:val="Heading3"/>
        <w:spacing w:after="100" w:before="200"/>
      </w:pPr>
      <w:r>
        <w:rPr>
          <w:b/>
          <w:bCs/>
          <w:color w:val="0E7C7B"/>
          <w:sz w:val="22"/>
          <w:szCs w:val="22"/>
        </w:rPr>
        <w:t xml:space="preserve">Duplicate resources on first apply</w:t>
      </w:r>
    </w:p>
    <w:p>
      <w:pPr>
        <w:spacing w:after="160" w:line="276"/>
      </w:pPr>
      <w:r>
        <w:rPr>
          <w:color w:val="222222"/>
          <w:sz w:val="21"/>
          <w:szCs w:val="21"/>
        </w:rPr>
        <w:t xml:space="preserve">Problem: terraform apply failed with EntityAlreadyExists (IAM role) and a tag mismatch (SNS topic), because both already existed outside Terraform's tracked state.</w:t>
      </w:r>
    </w:p>
    <w:p>
      <w:pPr>
        <w:spacing w:after="160" w:line="276"/>
      </w:pPr>
      <w:r>
        <w:rPr>
          <w:color w:val="222222"/>
          <w:sz w:val="21"/>
          <w:szCs w:val="21"/>
        </w:rPr>
        <w:t xml:space="preserve">Fix: Retrieved existing resource identifiers and ran terraform import for both, bringing them under management without deleting or recreating them.</w:t>
      </w:r>
    </w:p>
    <w:p>
      <w:pPr>
        <w:pStyle w:val="Heading3"/>
        <w:spacing w:after="100" w:before="200"/>
      </w:pPr>
      <w:r>
        <w:rPr>
          <w:b/>
          <w:bCs/>
          <w:color w:val="0E7C7B"/>
          <w:sz w:val="22"/>
          <w:szCs w:val="22"/>
        </w:rPr>
        <w:t xml:space="preserve">Missing Lambda deployment package</w:t>
      </w:r>
    </w:p>
    <w:p>
      <w:pPr>
        <w:spacing w:after="160" w:line="276"/>
      </w:pPr>
      <w:r>
        <w:rPr>
          <w:color w:val="222222"/>
          <w:sz w:val="21"/>
          <w:szCs w:val="21"/>
        </w:rPr>
        <w:t xml:space="preserve">Problem: terraform apply failed because the referenced remediation-lambda.zip did not exist yet.</w:t>
      </w:r>
    </w:p>
    <w:p>
      <w:pPr>
        <w:spacing w:after="160" w:line="276"/>
      </w:pPr>
      <w:r>
        <w:rPr>
          <w:color w:val="222222"/>
          <w:sz w:val="21"/>
          <w:szCs w:val="21"/>
        </w:rPr>
        <w:t xml:space="preserve">Fix: Zipped the dispatcher and the three remediation modules together so the dispatcher's imports resolve inside the Lambda runtime.</w:t>
      </w:r>
    </w:p>
    <w:p>
      <w:pPr>
        <w:pStyle w:val="Heading3"/>
        <w:spacing w:after="100" w:before="200"/>
      </w:pPr>
      <w:r>
        <w:rPr>
          <w:b/>
          <w:bCs/>
          <w:color w:val="0E7C7B"/>
          <w:sz w:val="22"/>
          <w:szCs w:val="22"/>
        </w:rPr>
        <w:t xml:space="preserve">User context (root vs kali)</w:t>
      </w:r>
    </w:p>
    <w:p>
      <w:pPr>
        <w:spacing w:after="160" w:line="276"/>
      </w:pPr>
      <w:r>
        <w:rPr>
          <w:color w:val="222222"/>
          <w:sz w:val="21"/>
          <w:szCs w:val="21"/>
        </w:rPr>
        <w:t xml:space="preserve">Problem: Initial Terraform commands were run as root, risking root-owned state inconsistent with the team's kali-only workflow.</w:t>
      </w:r>
    </w:p>
    <w:p>
      <w:pPr>
        <w:spacing w:after="160" w:line="276"/>
      </w:pPr>
      <w:r>
        <w:rPr>
          <w:color w:val="222222"/>
          <w:sz w:val="21"/>
          <w:szCs w:val="21"/>
        </w:rPr>
        <w:t xml:space="preserve">Fix: Confirmed AWS CLI identity resolved correctly under kali and continued all subsequent work as that user.</w:t>
      </w:r>
    </w:p>
    <w:p>
      <w:pPr>
        <w:pStyle w:val="Heading3"/>
        <w:spacing w:after="100" w:before="200"/>
      </w:pPr>
      <w:r>
        <w:rPr>
          <w:b/>
          <w:bCs/>
          <w:color w:val="0E7C7B"/>
          <w:sz w:val="22"/>
          <w:szCs w:val="22"/>
        </w:rPr>
        <w:t xml:space="preserve">Duplicate notebook cells corrupting state (Week 2)</w:t>
      </w:r>
    </w:p>
    <w:p>
      <w:pPr>
        <w:spacing w:after="160" w:line="276"/>
      </w:pPr>
      <w:r>
        <w:rPr>
          <w:color w:val="222222"/>
          <w:sz w:val="21"/>
          <w:szCs w:val="21"/>
        </w:rPr>
        <w:t xml:space="preserve">Problem: Stale duplicate cells corrupted the cloud_provider column and other in-memory state during pipeline debugging.</w:t>
      </w:r>
    </w:p>
    <w:p>
      <w:pPr>
        <w:spacing w:after="160" w:line="276"/>
      </w:pPr>
      <w:r>
        <w:rPr>
          <w:color w:val="222222"/>
          <w:sz w:val="21"/>
          <w:szCs w:val="21"/>
        </w:rPr>
        <w:t xml:space="preserve">Fix: Established fix: delete the duplicate cell → Kernel Restart &amp; Clear Output → re-run the notebook top to bottom.</w:t>
      </w:r>
    </w:p>
    <w:p>
      <w:pPr>
        <w:pStyle w:val="Heading3"/>
        <w:spacing w:after="100" w:before="200"/>
      </w:pPr>
      <w:r>
        <w:rPr>
          <w:b/>
          <w:bCs/>
          <w:color w:val="0E7C7B"/>
          <w:sz w:val="22"/>
          <w:szCs w:val="22"/>
        </w:rPr>
        <w:t xml:space="preserve">AWS auto-re-applies encryption (Week 3 finding)</w:t>
      </w:r>
    </w:p>
    <w:p>
      <w:pPr>
        <w:spacing w:after="160" w:line="276"/>
      </w:pPr>
      <w:r>
        <w:rPr>
          <w:color w:val="222222"/>
          <w:sz w:val="21"/>
          <w:szCs w:val="21"/>
        </w:rPr>
        <w:t xml:space="preserve">Problem: AWS was found to auto-re-apply AES256 SSE regardless of the Terraform configuration for misconfiguration M10.</w:t>
      </w:r>
    </w:p>
    <w:p>
      <w:pPr>
        <w:spacing w:after="160" w:line="276"/>
      </w:pPr>
      <w:r>
        <w:rPr>
          <w:color w:val="222222"/>
          <w:sz w:val="21"/>
          <w:szCs w:val="21"/>
        </w:rPr>
        <w:t xml:space="preserve">Fix: Documented as a platform-level nuance rather than a pipeline defect; noted in the M10 catalogue entry.</w:t>
      </w:r>
    </w:p>
    <w:p>
      <w:r>
        <w:br w:type="page"/>
      </w:r>
    </w:p>
    <w:p>
      <w:pPr>
        <w:pStyle w:val="Heading1"/>
        <w:pBdr>
          <w:bottom w:val="single" w:color="0E7C7B" w:sz="6" w:space="4"/>
        </w:pBdr>
        <w:spacing w:after="160" w:before="360"/>
      </w:pPr>
      <w:r>
        <w:rPr>
          <w:b/>
          <w:bCs/>
          <w:color w:val="1B2A4A"/>
          <w:sz w:val="30"/>
          <w:szCs w:val="30"/>
        </w:rPr>
        <w:t xml:space="preserve">13. Evaluation Against the Capstone Rubric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50"/>
      </w:tblGrid>
      <w:tr>
        <w:trPr>
          <w:tblHeader/>
        </w:trPr>
        <w:tc>
          <w:tcPr>
            <w:tcW w:type="dxa" w:w="3000"/>
            <w:shd w:fill="1B2A4A" w:color="auto" w:val="clear"/>
            <w:tcMar>
              <w:top w:type="dxa" w:w="80"/>
              <w:left w:type="dxa" w:w="100"/>
              <w:bottom w:type="dxa" w:w="80"/>
              <w:right w:type="dxa" w:w="100"/>
            </w:tcMar>
            <w:vAlign w:val="center"/>
          </w:tcPr>
          <w:p>
            <w:pPr>
              <w:jc w:val="center"/>
            </w:pPr>
            <w:r>
              <w:rPr>
                <w:b/>
                <w:bCs/>
                <w:color w:val="FFFFFF"/>
                <w:sz w:val="19"/>
                <w:szCs w:val="19"/>
              </w:rPr>
              <w:t xml:space="preserve">Criterion</w:t>
            </w:r>
          </w:p>
        </w:tc>
        <w:tc>
          <w:tcPr>
            <w:tcW w:type="dxa" w:w="1000"/>
            <w:shd w:fill="1B2A4A" w:color="auto" w:val="clear"/>
            <w:tcMar>
              <w:top w:type="dxa" w:w="80"/>
              <w:left w:type="dxa" w:w="100"/>
              <w:bottom w:type="dxa" w:w="80"/>
              <w:right w:type="dxa" w:w="100"/>
            </w:tcMar>
            <w:vAlign w:val="center"/>
          </w:tcPr>
          <w:p>
            <w:pPr>
              <w:jc w:val="center"/>
            </w:pPr>
            <w:r>
              <w:rPr>
                <w:b/>
                <w:bCs/>
                <w:color w:val="FFFFFF"/>
                <w:sz w:val="19"/>
                <w:szCs w:val="19"/>
              </w:rPr>
              <w:t xml:space="preserve">Weight</w:t>
            </w:r>
          </w:p>
        </w:tc>
        <w:tc>
          <w:tcPr>
            <w:tcW w:type="dxa" w:w="5350"/>
            <w:shd w:fill="1B2A4A" w:color="auto" w:val="clear"/>
            <w:tcMar>
              <w:top w:type="dxa" w:w="80"/>
              <w:left w:type="dxa" w:w="100"/>
              <w:bottom w:type="dxa" w:w="80"/>
              <w:right w:type="dxa" w:w="100"/>
            </w:tcMar>
            <w:vAlign w:val="center"/>
          </w:tcPr>
          <w:p>
            <w:pPr>
              <w:jc w:val="center"/>
            </w:pPr>
            <w:r>
              <w:rPr>
                <w:b/>
                <w:bCs/>
                <w:color w:val="FFFFFF"/>
                <w:sz w:val="19"/>
                <w:szCs w:val="19"/>
              </w:rPr>
              <w:t xml:space="preserve">Evidence in This Report</w:t>
            </w:r>
          </w:p>
        </w:tc>
      </w:tr>
      <w:tr>
        <w:tc>
          <w:tcPr>
            <w:tcW w:type="dxa" w:w="3000"/>
            <w:tcMar>
              <w:top w:type="dxa" w:w="80"/>
              <w:left w:type="dxa" w:w="100"/>
              <w:bottom w:type="dxa" w:w="80"/>
              <w:right w:type="dxa" w:w="100"/>
            </w:tcMar>
            <w:vAlign w:val="center"/>
          </w:tcPr>
          <w:p>
            <w:pPr>
              <w:jc w:val="left"/>
            </w:pPr>
            <w:r>
              <w:rPr>
                <w:b w:val="false"/>
                <w:bCs w:val="false"/>
                <w:color w:val="222222"/>
                <w:sz w:val="19"/>
                <w:szCs w:val="19"/>
              </w:rPr>
              <w:t xml:space="preserve">Workload design + IaC quality (multi-cloud)</w:t>
            </w:r>
          </w:p>
        </w:tc>
        <w:tc>
          <w:tcPr>
            <w:tcW w:type="dxa" w:w="1000"/>
            <w:tcMar>
              <w:top w:type="dxa" w:w="80"/>
              <w:left w:type="dxa" w:w="100"/>
              <w:bottom w:type="dxa" w:w="80"/>
              <w:right w:type="dxa" w:w="100"/>
            </w:tcMar>
            <w:vAlign w:val="center"/>
          </w:tcPr>
          <w:p>
            <w:pPr>
              <w:jc w:val="left"/>
            </w:pPr>
            <w:r>
              <w:rPr>
                <w:b w:val="false"/>
                <w:bCs w:val="false"/>
                <w:color w:val="222222"/>
                <w:sz w:val="19"/>
                <w:szCs w:val="19"/>
              </w:rPr>
              <w:t xml:space="preserve">15%</w:t>
            </w:r>
          </w:p>
        </w:tc>
        <w:tc>
          <w:tcPr>
            <w:tcW w:type="dxa" w:w="5350"/>
            <w:tcMar>
              <w:top w:type="dxa" w:w="80"/>
              <w:left w:type="dxa" w:w="100"/>
              <w:bottom w:type="dxa" w:w="80"/>
              <w:right w:type="dxa" w:w="100"/>
            </w:tcMar>
            <w:vAlign w:val="center"/>
          </w:tcPr>
          <w:p>
            <w:pPr>
              <w:jc w:val="left"/>
            </w:pPr>
            <w:r>
              <w:rPr>
                <w:b w:val="false"/>
                <w:bCs w:val="false"/>
                <w:color w:val="222222"/>
                <w:sz w:val="19"/>
                <w:szCs w:val="19"/>
              </w:rPr>
              <w:t xml:space="preserve">Reproducible Terraform across AWS + Azure (§5.1); deployment issues and fixes documented transparently (§12)</w:t>
            </w:r>
          </w:p>
        </w:tc>
      </w:tr>
      <w:tr>
        <w:tc>
          <w:tcPr>
            <w:tcW w:type="dxa" w:w="30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Misconfiguration detection (3 tools × 2 clouds)</w:t>
            </w:r>
          </w:p>
        </w:tc>
        <w:tc>
          <w:tcPr>
            <w:tcW w:type="dxa" w:w="10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15%</w:t>
            </w:r>
          </w:p>
        </w:tc>
        <w:tc>
          <w:tcPr>
            <w:tcW w:type="dxa" w:w="53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All 12 injected misconfigs confirmed via Steampipe; 729 consolidated findings across Prowler/ScoutSuite/Steampipe (§6.1–6.2)</w:t>
            </w:r>
          </w:p>
        </w:tc>
      </w:tr>
      <w:tr>
        <w:tc>
          <w:tcPr>
            <w:tcW w:type="dxa" w:w="3000"/>
            <w:tcMar>
              <w:top w:type="dxa" w:w="80"/>
              <w:left w:type="dxa" w:w="100"/>
              <w:bottom w:type="dxa" w:w="80"/>
              <w:right w:type="dxa" w:w="100"/>
            </w:tcMar>
            <w:vAlign w:val="center"/>
          </w:tcPr>
          <w:p>
            <w:pPr>
              <w:jc w:val="left"/>
            </w:pPr>
            <w:r>
              <w:rPr>
                <w:b w:val="false"/>
                <w:bCs w:val="false"/>
                <w:color w:val="222222"/>
                <w:sz w:val="19"/>
                <w:szCs w:val="19"/>
              </w:rPr>
              <w:t xml:space="preserve">Prioritization model</w:t>
            </w:r>
          </w:p>
        </w:tc>
        <w:tc>
          <w:tcPr>
            <w:tcW w:type="dxa" w:w="1000"/>
            <w:tcMar>
              <w:top w:type="dxa" w:w="80"/>
              <w:left w:type="dxa" w:w="100"/>
              <w:bottom w:type="dxa" w:w="80"/>
              <w:right w:type="dxa" w:w="100"/>
            </w:tcMar>
            <w:vAlign w:val="center"/>
          </w:tcPr>
          <w:p>
            <w:pPr>
              <w:jc w:val="left"/>
            </w:pPr>
            <w:r>
              <w:rPr>
                <w:b w:val="false"/>
                <w:bCs w:val="false"/>
                <w:color w:val="222222"/>
                <w:sz w:val="19"/>
                <w:szCs w:val="19"/>
              </w:rPr>
              <w:t xml:space="preserve">15%</w:t>
            </w:r>
          </w:p>
        </w:tc>
        <w:tc>
          <w:tcPr>
            <w:tcW w:type="dxa" w:w="5350"/>
            <w:tcMar>
              <w:top w:type="dxa" w:w="80"/>
              <w:left w:type="dxa" w:w="100"/>
              <w:bottom w:type="dxa" w:w="80"/>
              <w:right w:type="dxa" w:w="100"/>
            </w:tcMar>
            <w:vAlign w:val="center"/>
          </w:tcPr>
          <w:p>
            <w:pPr>
              <w:jc w:val="left"/>
            </w:pPr>
            <w:r>
              <w:rPr>
                <w:b w:val="false"/>
                <w:bCs w:val="false"/>
                <w:color w:val="222222"/>
                <w:sz w:val="19"/>
                <w:szCs w:val="19"/>
              </w:rPr>
              <w:t xml:space="preserve">CVSS × Exposure × Blast Radius scoring + RandomForest/SMOTE with honest before/after metrics (§6.3–6.4)</w:t>
            </w:r>
          </w:p>
        </w:tc>
      </w:tr>
      <w:tr>
        <w:tc>
          <w:tcPr>
            <w:tcW w:type="dxa" w:w="30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LLM remediation guidance</w:t>
            </w:r>
          </w:p>
        </w:tc>
        <w:tc>
          <w:tcPr>
            <w:tcW w:type="dxa" w:w="10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15%</w:t>
            </w:r>
          </w:p>
        </w:tc>
        <w:tc>
          <w:tcPr>
            <w:tcW w:type="dxa" w:w="53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RAG-grounded guidance with dual verification, 93% auto-verified, 1 correctly flagged for review, redaction engine (§7)</w:t>
            </w:r>
          </w:p>
        </w:tc>
      </w:tr>
      <w:tr>
        <w:tc>
          <w:tcPr>
            <w:tcW w:type="dxa" w:w="3000"/>
            <w:tcMar>
              <w:top w:type="dxa" w:w="80"/>
              <w:left w:type="dxa" w:w="100"/>
              <w:bottom w:type="dxa" w:w="80"/>
              <w:right w:type="dxa" w:w="100"/>
            </w:tcMar>
            <w:vAlign w:val="center"/>
          </w:tcPr>
          <w:p>
            <w:pPr>
              <w:jc w:val="left"/>
            </w:pPr>
            <w:r>
              <w:rPr>
                <w:b w:val="false"/>
                <w:bCs w:val="false"/>
                <w:color w:val="222222"/>
                <w:sz w:val="19"/>
                <w:szCs w:val="19"/>
              </w:rPr>
              <w:t xml:space="preserve">Auto-remediation + guardrails</w:t>
            </w:r>
          </w:p>
        </w:tc>
        <w:tc>
          <w:tcPr>
            <w:tcW w:type="dxa" w:w="1000"/>
            <w:tcMar>
              <w:top w:type="dxa" w:w="80"/>
              <w:left w:type="dxa" w:w="100"/>
              <w:bottom w:type="dxa" w:w="80"/>
              <w:right w:type="dxa" w:w="100"/>
            </w:tcMar>
            <w:vAlign w:val="center"/>
          </w:tcPr>
          <w:p>
            <w:pPr>
              <w:jc w:val="left"/>
            </w:pPr>
            <w:r>
              <w:rPr>
                <w:b w:val="false"/>
                <w:bCs w:val="false"/>
                <w:color w:val="222222"/>
                <w:sz w:val="19"/>
                <w:szCs w:val="19"/>
              </w:rPr>
              <w:t xml:space="preserve">15%</w:t>
            </w:r>
          </w:p>
        </w:tc>
        <w:tc>
          <w:tcPr>
            <w:tcW w:type="dxa" w:w="5350"/>
            <w:tcMar>
              <w:top w:type="dxa" w:w="80"/>
              <w:left w:type="dxa" w:w="100"/>
              <w:bottom w:type="dxa" w:w="80"/>
              <w:right w:type="dxa" w:w="100"/>
            </w:tcMar>
            <w:vAlign w:val="center"/>
          </w:tcPr>
          <w:p>
            <w:pPr>
              <w:jc w:val="left"/>
            </w:pPr>
            <w:r>
              <w:rPr>
                <w:b w:val="false"/>
                <w:bCs w:val="false"/>
                <w:color w:val="222222"/>
                <w:sz w:val="19"/>
                <w:szCs w:val="19"/>
              </w:rPr>
              <w:t xml:space="preserve">Semi-automatic + fully automated tracks, live end-to-end test, honest before/after evidence (§8–9)</w:t>
            </w:r>
          </w:p>
        </w:tc>
      </w:tr>
      <w:tr>
        <w:tc>
          <w:tcPr>
            <w:tcW w:type="dxa" w:w="30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Compliance mapping</w:t>
            </w:r>
          </w:p>
        </w:tc>
        <w:tc>
          <w:tcPr>
            <w:tcW w:type="dxa" w:w="10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10%</w:t>
            </w:r>
          </w:p>
        </w:tc>
        <w:tc>
          <w:tcPr>
            <w:tcW w:type="dxa" w:w="53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ISO 27001 + DPDP + HIPAA + CIS Controls v8 crosswalk over all 729 findings (§10)</w:t>
            </w:r>
          </w:p>
        </w:tc>
      </w:tr>
      <w:tr>
        <w:tc>
          <w:tcPr>
            <w:tcW w:type="dxa" w:w="3000"/>
            <w:tcMar>
              <w:top w:type="dxa" w:w="80"/>
              <w:left w:type="dxa" w:w="100"/>
              <w:bottom w:type="dxa" w:w="80"/>
              <w:right w:type="dxa" w:w="100"/>
            </w:tcMar>
            <w:vAlign w:val="center"/>
          </w:tcPr>
          <w:p>
            <w:pPr>
              <w:jc w:val="left"/>
            </w:pPr>
            <w:r>
              <w:rPr>
                <w:b w:val="false"/>
                <w:bCs w:val="false"/>
                <w:color w:val="222222"/>
                <w:sz w:val="19"/>
                <w:szCs w:val="19"/>
              </w:rPr>
              <w:t xml:space="preserve">Report + oral defense</w:t>
            </w:r>
          </w:p>
        </w:tc>
        <w:tc>
          <w:tcPr>
            <w:tcW w:type="dxa" w:w="1000"/>
            <w:tcMar>
              <w:top w:type="dxa" w:w="80"/>
              <w:left w:type="dxa" w:w="100"/>
              <w:bottom w:type="dxa" w:w="80"/>
              <w:right w:type="dxa" w:w="100"/>
            </w:tcMar>
            <w:vAlign w:val="center"/>
          </w:tcPr>
          <w:p>
            <w:pPr>
              <w:jc w:val="left"/>
            </w:pPr>
            <w:r>
              <w:rPr>
                <w:b w:val="false"/>
                <w:bCs w:val="false"/>
                <w:color w:val="222222"/>
                <w:sz w:val="19"/>
                <w:szCs w:val="19"/>
              </w:rPr>
              <w:t xml:space="preserve">15%</w:t>
            </w:r>
          </w:p>
        </w:tc>
        <w:tc>
          <w:tcPr>
            <w:tcW w:type="dxa" w:w="5350"/>
            <w:tcMar>
              <w:top w:type="dxa" w:w="80"/>
              <w:left w:type="dxa" w:w="100"/>
              <w:bottom w:type="dxa" w:w="80"/>
              <w:right w:type="dxa" w:w="100"/>
            </w:tcMar>
            <w:vAlign w:val="center"/>
          </w:tcPr>
          <w:p>
            <w:pPr>
              <w:jc w:val="left"/>
            </w:pPr>
            <w:r>
              <w:rPr>
                <w:b w:val="false"/>
                <w:bCs w:val="false"/>
                <w:color w:val="222222"/>
                <w:sz w:val="19"/>
                <w:szCs w:val="19"/>
              </w:rPr>
              <w:t xml:space="preserve">This document + accompanying demo</w:t>
            </w:r>
          </w:p>
        </w:tc>
      </w:tr>
    </w:tbl>
    <w:p>
      <w:pPr>
        <w:pStyle w:val="Heading1"/>
        <w:pBdr>
          <w:bottom w:val="single" w:color="0E7C7B" w:sz="6" w:space="4"/>
        </w:pBdr>
        <w:spacing w:after="160" w:before="360"/>
      </w:pPr>
      <w:r>
        <w:rPr>
          <w:b/>
          <w:bCs/>
          <w:color w:val="1B2A4A"/>
          <w:sz w:val="30"/>
          <w:szCs w:val="30"/>
        </w:rPr>
        <w:t xml:space="preserve">14. LLM Usage Disclosure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B2A4A" w:color="auto" w:val="clear"/>
            <w:tcMar>
              <w:top w:type="dxa" w:w="80"/>
              <w:left w:type="dxa" w:w="100"/>
              <w:bottom w:type="dxa" w:w="80"/>
              <w:right w:type="dxa" w:w="100"/>
            </w:tcMar>
            <w:vAlign w:val="center"/>
          </w:tcPr>
          <w:p>
            <w:pPr>
              <w:jc w:val="center"/>
            </w:pPr>
            <w:r>
              <w:rPr>
                <w:b/>
                <w:bCs/>
                <w:color w:val="FFFFFF"/>
                <w:sz w:val="19"/>
                <w:szCs w:val="19"/>
              </w:rPr>
              <w:t xml:space="preserve">Item</w:t>
            </w:r>
          </w:p>
        </w:tc>
        <w:tc>
          <w:tcPr>
            <w:tcW w:type="dxa" w:w="6150"/>
            <w:shd w:fill="1B2A4A" w:color="auto" w:val="clear"/>
            <w:tcMar>
              <w:top w:type="dxa" w:w="80"/>
              <w:left w:type="dxa" w:w="100"/>
              <w:bottom w:type="dxa" w:w="80"/>
              <w:right w:type="dxa" w:w="100"/>
            </w:tcMar>
            <w:vAlign w:val="center"/>
          </w:tcPr>
          <w:p>
            <w:pPr>
              <w:jc w:val="center"/>
            </w:pPr>
            <w:r>
              <w:rPr>
                <w:b/>
                <w:bCs/>
                <w:color w:val="FFFFFF"/>
                <w:sz w:val="19"/>
                <w:szCs w:val="19"/>
              </w:rPr>
              <w:t xml:space="preserve">Detail</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Model</w:t>
            </w:r>
          </w:p>
        </w:tc>
        <w:tc>
          <w:tcPr>
            <w:tcW w:type="dxa" w:w="6150"/>
            <w:tcMar>
              <w:top w:type="dxa" w:w="80"/>
              <w:left w:type="dxa" w:w="100"/>
              <w:bottom w:type="dxa" w:w="80"/>
              <w:right w:type="dxa" w:w="100"/>
            </w:tcMar>
            <w:vAlign w:val="center"/>
          </w:tcPr>
          <w:p>
            <w:pPr>
              <w:jc w:val="left"/>
            </w:pPr>
            <w:r>
              <w:rPr>
                <w:b w:val="false"/>
                <w:bCs w:val="false"/>
                <w:color w:val="222222"/>
                <w:sz w:val="19"/>
                <w:szCs w:val="19"/>
              </w:rPr>
              <w:t xml:space="preserve">NVIDIA NIM — meta/llama-3.1-8b-instruct (generation); nv-embedqa-e5-v5 (retrieval embeddings)</w:t>
            </w:r>
          </w:p>
        </w:tc>
      </w:tr>
      <w:tr>
        <w:tc>
          <w:tcPr>
            <w:tcW w:type="dxa" w:w="32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Purpose</w:t>
            </w:r>
          </w:p>
        </w:tc>
        <w:tc>
          <w:tcPr>
            <w:tcW w:type="dxa" w:w="61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2-line plain-English remediation guidance per finding, grounded via RAG; DPDP Act 2023 crosswalk justifications</w:t>
            </w:r>
          </w:p>
        </w:tc>
      </w:tr>
      <w:tr>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Verification</w:t>
            </w:r>
          </w:p>
        </w:tc>
        <w:tc>
          <w:tcPr>
            <w:tcW w:type="dxa" w:w="6150"/>
            <w:tcMar>
              <w:top w:type="dxa" w:w="80"/>
              <w:left w:type="dxa" w:w="100"/>
              <w:bottom w:type="dxa" w:w="80"/>
              <w:right w:type="dxa" w:w="100"/>
            </w:tcMar>
            <w:vAlign w:val="center"/>
          </w:tcPr>
          <w:p>
            <w:pPr>
              <w:jc w:val="left"/>
            </w:pPr>
            <w:r>
              <w:rPr>
                <w:b w:val="false"/>
                <w:bCs w:val="false"/>
                <w:color w:val="222222"/>
                <w:sz w:val="19"/>
                <w:szCs w:val="19"/>
              </w:rPr>
              <w:t xml:space="preserve">Dual-stage embedding-similarity grounding check (Stage A ≥ 0.55, Stage B ≥ 0.35) plus manual cross-check against raw scanner data; an LLM-as-judge verifier was trialled and rejected for inconsistency</w:t>
            </w:r>
          </w:p>
        </w:tc>
      </w:tr>
      <w:tr>
        <w:tc>
          <w:tcPr>
            <w:tcW w:type="dxa" w:w="32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Privacy</w:t>
            </w:r>
          </w:p>
        </w:tc>
        <w:tc>
          <w:tcPr>
            <w:tcW w:type="dxa" w:w="61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No credentials, secrets, or customer data submitted to the LLM — enforced by the OWASP LLM06 redaction engine (167 values redacted across 13 categories) before every call</w:t>
            </w:r>
          </w:p>
        </w:tc>
      </w:tr>
    </w:tbl>
    <w:p>
      <w:pPr>
        <w:pStyle w:val="Heading1"/>
        <w:pBdr>
          <w:bottom w:val="single" w:color="0E7C7B" w:sz="6" w:space="4"/>
        </w:pBdr>
        <w:spacing w:after="160" w:before="360"/>
      </w:pPr>
      <w:r>
        <w:rPr>
          <w:b/>
          <w:bCs/>
          <w:color w:val="1B2A4A"/>
          <w:sz w:val="30"/>
          <w:szCs w:val="30"/>
        </w:rPr>
        <w:t xml:space="preserve">15. Conclusion &amp; Future Work</w:t>
      </w:r>
    </w:p>
    <w:p>
      <w:pPr>
        <w:spacing w:after="160" w:line="276"/>
      </w:pPr>
      <w:r>
        <w:rPr>
          <w:color w:val="222222"/>
          <w:sz w:val="21"/>
          <w:szCs w:val="21"/>
        </w:rPr>
        <w:t xml:space="preserve">CloudGuardian delivers a working, evidence-backed CSPM lifecycle across two clouds: honest detection numbers (729 findings, only 4% requiring urgent attention), a prioritization model whose trade-offs are stated rather than hidden (SMOTE traded some HIGH-class recall for a large precision gain), GenAI remediation guidance that verifies itself against source data instead of being trusted blindly, and an auto-remediation pipeline that is reversible, idempotent, and gated by a human wherever the blast radius of a mistake is nontrivial.</w:t>
      </w:r>
    </w:p>
    <w:p>
      <w:pPr>
        <w:spacing w:after="160" w:line="276"/>
      </w:pPr>
      <w:r>
        <w:rPr>
          <w:color w:val="222222"/>
          <w:sz w:val="21"/>
          <w:szCs w:val="21"/>
        </w:rPr>
        <w:t xml:space="preserve">Suggested next steps beyond this capstone's scope:</w:t>
      </w:r>
    </w:p>
    <w:p>
      <w:pPr>
        <w:pStyle w:val="ListParagraph"/>
        <w:numPr>
          <w:ilvl w:val="0"/>
          <w:numId w:val="1"/>
        </w:numPr>
        <w:spacing w:after="80" w:line="264"/>
      </w:pPr>
      <w:r>
        <w:rPr>
          <w:color w:val="222222"/>
          <w:sz w:val="21"/>
          <w:szCs w:val="21"/>
        </w:rPr>
        <w:t xml:space="preserve">Close the account-level S3 Block Public Access gap and the three unencrypted CloudWatch log groups flagged in §9.3.</w:t>
      </w:r>
    </w:p>
    <w:p>
      <w:pPr>
        <w:pStyle w:val="ListParagraph"/>
        <w:numPr>
          <w:ilvl w:val="0"/>
          <w:numId w:val="1"/>
        </w:numPr>
        <w:spacing w:after="80" w:line="264"/>
      </w:pPr>
      <w:r>
        <w:rPr>
          <w:color w:val="222222"/>
          <w:sz w:val="21"/>
          <w:szCs w:val="21"/>
        </w:rPr>
        <w:t xml:space="preserve">Extend the semi-automatic Lambda set to cover RDS storage encryption via a supervised snapshot/restore workflow (currently always routed to human review by design).</w:t>
      </w:r>
    </w:p>
    <w:p>
      <w:pPr>
        <w:pStyle w:val="ListParagraph"/>
        <w:numPr>
          <w:ilvl w:val="0"/>
          <w:numId w:val="1"/>
        </w:numPr>
        <w:spacing w:after="80" w:line="264"/>
      </w:pPr>
      <w:r>
        <w:rPr>
          <w:color w:val="222222"/>
          <w:sz w:val="21"/>
          <w:szCs w:val="21"/>
        </w:rPr>
        <w:t xml:space="preserve">Add a scheduled re-scan + re-score cadence so the priority queue reflects drift, not just a point-in-time snapshot.</w:t>
      </w:r>
    </w:p>
    <w:p>
      <w:pPr>
        <w:pStyle w:val="ListParagraph"/>
        <w:numPr>
          <w:ilvl w:val="0"/>
          <w:numId w:val="1"/>
        </w:numPr>
        <w:spacing w:after="80" w:line="264"/>
      </w:pPr>
      <w:r>
        <w:rPr>
          <w:color w:val="222222"/>
          <w:sz w:val="21"/>
          <w:szCs w:val="21"/>
        </w:rPr>
        <w:t xml:space="preserve">Extend the compliance crosswalk to SOC 2 and PCI-DSS 4.0 in full (currently referenced only in the domain-level table).</w:t>
      </w:r>
    </w:p>
    <w:p>
      <w:pPr>
        <w:pStyle w:val="Heading1"/>
        <w:pBdr>
          <w:bottom w:val="single" w:color="0E7C7B" w:sz="6" w:space="4"/>
        </w:pBdr>
        <w:spacing w:after="160" w:before="360"/>
      </w:pPr>
      <w:r>
        <w:rPr>
          <w:b/>
          <w:bCs/>
          <w:color w:val="1B2A4A"/>
          <w:sz w:val="30"/>
          <w:szCs w:val="30"/>
        </w:rPr>
        <w:t xml:space="preserve">16. References</w:t>
      </w:r>
    </w:p>
    <w:p>
      <w:pPr>
        <w:pStyle w:val="ListParagraph"/>
        <w:numPr>
          <w:ilvl w:val="0"/>
          <w:numId w:val="1"/>
        </w:numPr>
        <w:spacing w:after="80" w:line="264"/>
      </w:pPr>
      <w:r>
        <w:rPr>
          <w:color w:val="222222"/>
          <w:sz w:val="21"/>
          <w:szCs w:val="21"/>
        </w:rPr>
        <w:t xml:space="preserve">MITRE ATT&amp;CK — https://attack.mitre.org</w:t>
      </w:r>
    </w:p>
    <w:p>
      <w:pPr>
        <w:pStyle w:val="ListParagraph"/>
        <w:numPr>
          <w:ilvl w:val="0"/>
          <w:numId w:val="1"/>
        </w:numPr>
        <w:spacing w:after="80" w:line="264"/>
      </w:pPr>
      <w:r>
        <w:rPr>
          <w:color w:val="222222"/>
          <w:sz w:val="21"/>
          <w:szCs w:val="21"/>
        </w:rPr>
        <w:t xml:space="preserve">NIST Cybersecurity Framework 2.0 — https://www.nist.gov/cyberframework</w:t>
      </w:r>
    </w:p>
    <w:p>
      <w:pPr>
        <w:pStyle w:val="ListParagraph"/>
        <w:numPr>
          <w:ilvl w:val="0"/>
          <w:numId w:val="1"/>
        </w:numPr>
        <w:spacing w:after="80" w:line="264"/>
      </w:pPr>
      <w:r>
        <w:rPr>
          <w:color w:val="222222"/>
          <w:sz w:val="21"/>
          <w:szCs w:val="21"/>
        </w:rPr>
        <w:t xml:space="preserve">CIS Benchmarks — https://www.cisecurity.org/cis-benchmarks</w:t>
      </w:r>
    </w:p>
    <w:p>
      <w:pPr>
        <w:pStyle w:val="ListParagraph"/>
        <w:numPr>
          <w:ilvl w:val="0"/>
          <w:numId w:val="1"/>
        </w:numPr>
        <w:spacing w:after="80" w:line="264"/>
      </w:pPr>
      <w:r>
        <w:rPr>
          <w:color w:val="222222"/>
          <w:sz w:val="21"/>
          <w:szCs w:val="21"/>
        </w:rPr>
        <w:t xml:space="preserve">OWASP (LLM06 / Top 10 for LLM Applications) — https://owasp.org</w:t>
      </w:r>
    </w:p>
    <w:p>
      <w:pPr>
        <w:pStyle w:val="ListParagraph"/>
        <w:numPr>
          <w:ilvl w:val="0"/>
          <w:numId w:val="1"/>
        </w:numPr>
        <w:spacing w:after="80" w:line="264"/>
      </w:pPr>
      <w:r>
        <w:rPr>
          <w:color w:val="222222"/>
          <w:sz w:val="21"/>
          <w:szCs w:val="21"/>
        </w:rPr>
        <w:t xml:space="preserve">CERT-In advisories — https://www.cert-in.org.in</w:t>
      </w:r>
    </w:p>
    <w:p>
      <w:pPr>
        <w:pStyle w:val="ListParagraph"/>
        <w:numPr>
          <w:ilvl w:val="0"/>
          <w:numId w:val="1"/>
        </w:numPr>
        <w:spacing w:after="80" w:line="264"/>
      </w:pPr>
      <w:r>
        <w:rPr>
          <w:color w:val="222222"/>
          <w:sz w:val="21"/>
          <w:szCs w:val="21"/>
        </w:rPr>
        <w:t xml:space="preserve">Prowler documentation — https://docs.prowler.com</w:t>
      </w:r>
    </w:p>
    <w:p>
      <w:pPr>
        <w:pStyle w:val="ListParagraph"/>
        <w:numPr>
          <w:ilvl w:val="0"/>
          <w:numId w:val="1"/>
        </w:numPr>
        <w:spacing w:after="80" w:line="264"/>
      </w:pPr>
      <w:r>
        <w:rPr>
          <w:color w:val="222222"/>
          <w:sz w:val="21"/>
          <w:szCs w:val="21"/>
        </w:rPr>
        <w:t xml:space="preserve">ScoutSuite — https://github.com/nccgroup/ScoutSuite</w:t>
      </w:r>
    </w:p>
    <w:p>
      <w:pPr>
        <w:pStyle w:val="ListParagraph"/>
        <w:numPr>
          <w:ilvl w:val="0"/>
          <w:numId w:val="1"/>
        </w:numPr>
        <w:spacing w:after="80" w:line="264"/>
      </w:pPr>
      <w:r>
        <w:rPr>
          <w:color w:val="222222"/>
          <w:sz w:val="21"/>
          <w:szCs w:val="21"/>
        </w:rPr>
        <w:t xml:space="preserve">Steampipe — https://steampipe.io/docs</w:t>
      </w:r>
    </w:p>
    <w:p>
      <w:pPr>
        <w:pStyle w:val="ListParagraph"/>
        <w:numPr>
          <w:ilvl w:val="0"/>
          <w:numId w:val="1"/>
        </w:numPr>
        <w:spacing w:after="80" w:line="264"/>
      </w:pPr>
      <w:r>
        <w:rPr>
          <w:color w:val="222222"/>
          <w:sz w:val="21"/>
          <w:szCs w:val="21"/>
        </w:rPr>
        <w:t xml:space="preserve">DPDP Act 2023 (India) — https://www.meity.gov.in/data-protection-framework</w:t>
      </w:r>
    </w:p>
    <w:p>
      <w:r>
        <w:br w:type="page"/>
      </w:r>
    </w:p>
    <w:p>
      <w:pPr>
        <w:pStyle w:val="Heading1"/>
        <w:pBdr>
          <w:bottom w:val="single" w:color="0E7C7B" w:sz="6" w:space="4"/>
        </w:pBdr>
        <w:spacing w:after="160" w:before="360"/>
      </w:pPr>
      <w:r>
        <w:rPr>
          <w:b/>
          <w:bCs/>
          <w:color w:val="1B2A4A"/>
          <w:sz w:val="30"/>
          <w:szCs w:val="30"/>
        </w:rPr>
        <w:t xml:space="preserve">Appendix A — Misconfiguration Catalogue (M01–M12)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50"/>
        <w:gridCol w:w="1550"/>
        <w:gridCol w:w="5350"/>
        <w:gridCol w:w="1600"/>
      </w:tblGrid>
      <w:tr>
        <w:trPr>
          <w:tblHeader/>
        </w:trPr>
        <w:tc>
          <w:tcPr>
            <w:tcW w:type="dxa" w:w="850"/>
            <w:shd w:fill="1B2A4A" w:color="auto"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1550"/>
            <w:shd w:fill="1B2A4A" w:color="auto" w:val="clear"/>
            <w:tcMar>
              <w:top w:type="dxa" w:w="80"/>
              <w:left w:type="dxa" w:w="100"/>
              <w:bottom w:type="dxa" w:w="80"/>
              <w:right w:type="dxa" w:w="100"/>
            </w:tcMar>
            <w:vAlign w:val="center"/>
          </w:tcPr>
          <w:p>
            <w:pPr>
              <w:jc w:val="center"/>
            </w:pPr>
            <w:r>
              <w:rPr>
                <w:b/>
                <w:bCs/>
                <w:color w:val="FFFFFF"/>
                <w:sz w:val="19"/>
                <w:szCs w:val="19"/>
              </w:rPr>
              <w:t xml:space="preserve">Category</w:t>
            </w:r>
          </w:p>
        </w:tc>
        <w:tc>
          <w:tcPr>
            <w:tcW w:type="dxa" w:w="5350"/>
            <w:shd w:fill="1B2A4A" w:color="auto" w:val="clear"/>
            <w:tcMar>
              <w:top w:type="dxa" w:w="80"/>
              <w:left w:type="dxa" w:w="100"/>
              <w:bottom w:type="dxa" w:w="80"/>
              <w:right w:type="dxa" w:w="100"/>
            </w:tcMar>
            <w:vAlign w:val="center"/>
          </w:tcPr>
          <w:p>
            <w:pPr>
              <w:jc w:val="center"/>
            </w:pPr>
            <w:r>
              <w:rPr>
                <w:b/>
                <w:bCs/>
                <w:color w:val="FFFFFF"/>
                <w:sz w:val="19"/>
                <w:szCs w:val="19"/>
              </w:rPr>
              <w:t xml:space="preserve">Misconfiguration</w:t>
            </w:r>
          </w:p>
        </w:tc>
        <w:tc>
          <w:tcPr>
            <w:tcW w:type="dxa" w:w="1600"/>
            <w:shd w:fill="1B2A4A" w:color="auto" w:val="clear"/>
            <w:tcMar>
              <w:top w:type="dxa" w:w="80"/>
              <w:left w:type="dxa" w:w="100"/>
              <w:bottom w:type="dxa" w:w="80"/>
              <w:right w:type="dxa" w:w="100"/>
            </w:tcMar>
            <w:vAlign w:val="center"/>
          </w:tcPr>
          <w:p>
            <w:pPr>
              <w:jc w:val="center"/>
            </w:pPr>
            <w:r>
              <w:rPr>
                <w:b/>
                <w:bCs/>
                <w:color w:val="FFFFFF"/>
                <w:sz w:val="19"/>
                <w:szCs w:val="19"/>
              </w:rPr>
              <w:t xml:space="preserve">Severity</w:t>
            </w:r>
          </w:p>
        </w:tc>
      </w:tr>
      <w:tr>
        <w:tc>
          <w:tcPr>
            <w:tcW w:type="dxa" w:w="850"/>
            <w:tcMar>
              <w:top w:type="dxa" w:w="80"/>
              <w:left w:type="dxa" w:w="100"/>
              <w:bottom w:type="dxa" w:w="80"/>
              <w:right w:type="dxa" w:w="100"/>
            </w:tcMar>
            <w:vAlign w:val="center"/>
          </w:tcPr>
          <w:p>
            <w:pPr>
              <w:jc w:val="center"/>
            </w:pPr>
            <w:r>
              <w:rPr>
                <w:b w:val="false"/>
                <w:bCs w:val="false"/>
                <w:color w:val="222222"/>
                <w:sz w:val="19"/>
                <w:szCs w:val="19"/>
              </w:rPr>
              <w:t xml:space="preserve">M01</w:t>
            </w:r>
          </w:p>
        </w:tc>
        <w:tc>
          <w:tcPr>
            <w:tcW w:type="dxa" w:w="1550"/>
            <w:tcMar>
              <w:top w:type="dxa" w:w="80"/>
              <w:left w:type="dxa" w:w="100"/>
              <w:bottom w:type="dxa" w:w="80"/>
              <w:right w:type="dxa" w:w="100"/>
            </w:tcMar>
            <w:vAlign w:val="center"/>
          </w:tcPr>
          <w:p>
            <w:pPr>
              <w:jc w:val="left"/>
            </w:pPr>
            <w:r>
              <w:rPr>
                <w:b w:val="false"/>
                <w:bCs w:val="false"/>
                <w:color w:val="222222"/>
                <w:sz w:val="19"/>
                <w:szCs w:val="19"/>
              </w:rPr>
              <w:t xml:space="preserve">IAM</w:t>
            </w:r>
          </w:p>
        </w:tc>
        <w:tc>
          <w:tcPr>
            <w:tcW w:type="dxa" w:w="5350"/>
            <w:tcMar>
              <w:top w:type="dxa" w:w="80"/>
              <w:left w:type="dxa" w:w="100"/>
              <w:bottom w:type="dxa" w:w="80"/>
              <w:right w:type="dxa" w:w="100"/>
            </w:tcMar>
            <w:vAlign w:val="center"/>
          </w:tcPr>
          <w:p>
            <w:pPr>
              <w:jc w:val="left"/>
            </w:pPr>
            <w:r>
              <w:rPr>
                <w:b w:val="false"/>
                <w:bCs w:val="false"/>
                <w:color w:val="222222"/>
                <w:sz w:val="19"/>
                <w:szCs w:val="19"/>
              </w:rPr>
              <w:t xml:space="preserve">Wildcard Action ("*") in inline EC2 role policy</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Critical</w:t>
            </w:r>
          </w:p>
        </w:tc>
      </w:tr>
      <w:tr>
        <w:tc>
          <w:tcPr>
            <w:tcW w:type="dxa" w:w="8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M02</w:t>
            </w:r>
          </w:p>
        </w:tc>
        <w:tc>
          <w:tcPr>
            <w:tcW w:type="dxa" w:w="15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IAM</w:t>
            </w:r>
          </w:p>
        </w:tc>
        <w:tc>
          <w:tcPr>
            <w:tcW w:type="dxa" w:w="53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Wildcard Resource ("*") in inline EC2 role policy</w:t>
            </w:r>
          </w:p>
        </w:tc>
        <w:tc>
          <w:tcPr>
            <w:tcW w:type="dxa" w:w="16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Critical</w:t>
            </w:r>
          </w:p>
        </w:tc>
      </w:tr>
      <w:tr>
        <w:tc>
          <w:tcPr>
            <w:tcW w:type="dxa" w:w="850"/>
            <w:tcMar>
              <w:top w:type="dxa" w:w="80"/>
              <w:left w:type="dxa" w:w="100"/>
              <w:bottom w:type="dxa" w:w="80"/>
              <w:right w:type="dxa" w:w="100"/>
            </w:tcMar>
            <w:vAlign w:val="center"/>
          </w:tcPr>
          <w:p>
            <w:pPr>
              <w:jc w:val="center"/>
            </w:pPr>
            <w:r>
              <w:rPr>
                <w:b w:val="false"/>
                <w:bCs w:val="false"/>
                <w:color w:val="222222"/>
                <w:sz w:val="19"/>
                <w:szCs w:val="19"/>
              </w:rPr>
              <w:t xml:space="preserve">M03</w:t>
            </w:r>
          </w:p>
        </w:tc>
        <w:tc>
          <w:tcPr>
            <w:tcW w:type="dxa" w:w="1550"/>
            <w:tcMar>
              <w:top w:type="dxa" w:w="80"/>
              <w:left w:type="dxa" w:w="100"/>
              <w:bottom w:type="dxa" w:w="80"/>
              <w:right w:type="dxa" w:w="100"/>
            </w:tcMar>
            <w:vAlign w:val="center"/>
          </w:tcPr>
          <w:p>
            <w:pPr>
              <w:jc w:val="left"/>
            </w:pPr>
            <w:r>
              <w:rPr>
                <w:b w:val="false"/>
                <w:bCs w:val="false"/>
                <w:color w:val="222222"/>
                <w:sz w:val="19"/>
                <w:szCs w:val="19"/>
              </w:rPr>
              <w:t xml:space="preserve">IAM</w:t>
            </w:r>
          </w:p>
        </w:tc>
        <w:tc>
          <w:tcPr>
            <w:tcW w:type="dxa" w:w="5350"/>
            <w:tcMar>
              <w:top w:type="dxa" w:w="80"/>
              <w:left w:type="dxa" w:w="100"/>
              <w:bottom w:type="dxa" w:w="80"/>
              <w:right w:type="dxa" w:w="100"/>
            </w:tcMar>
            <w:vAlign w:val="center"/>
          </w:tcPr>
          <w:p>
            <w:pPr>
              <w:jc w:val="left"/>
            </w:pPr>
            <w:r>
              <w:rPr>
                <w:b w:val="false"/>
                <w:bCs w:val="false"/>
                <w:color w:val="222222"/>
                <w:sz w:val="19"/>
                <w:szCs w:val="19"/>
              </w:rPr>
              <w:t xml:space="preserve">AdministratorAccess managed policy attached to EC2 role</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Critical</w:t>
            </w:r>
          </w:p>
        </w:tc>
      </w:tr>
      <w:tr>
        <w:tc>
          <w:tcPr>
            <w:tcW w:type="dxa" w:w="8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M04</w:t>
            </w:r>
          </w:p>
        </w:tc>
        <w:tc>
          <w:tcPr>
            <w:tcW w:type="dxa" w:w="15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Storage</w:t>
            </w:r>
          </w:p>
        </w:tc>
        <w:tc>
          <w:tcPr>
            <w:tcW w:type="dxa" w:w="53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S3 public-access-block disabled (all 4 flags = false)</w:t>
            </w:r>
          </w:p>
        </w:tc>
        <w:tc>
          <w:tcPr>
            <w:tcW w:type="dxa" w:w="16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High</w:t>
            </w:r>
          </w:p>
        </w:tc>
      </w:tr>
      <w:tr>
        <w:tc>
          <w:tcPr>
            <w:tcW w:type="dxa" w:w="850"/>
            <w:tcMar>
              <w:top w:type="dxa" w:w="80"/>
              <w:left w:type="dxa" w:w="100"/>
              <w:bottom w:type="dxa" w:w="80"/>
              <w:right w:type="dxa" w:w="100"/>
            </w:tcMar>
            <w:vAlign w:val="center"/>
          </w:tcPr>
          <w:p>
            <w:pPr>
              <w:jc w:val="center"/>
            </w:pPr>
            <w:r>
              <w:rPr>
                <w:b w:val="false"/>
                <w:bCs w:val="false"/>
                <w:color w:val="222222"/>
                <w:sz w:val="19"/>
                <w:szCs w:val="19"/>
              </w:rPr>
              <w:t xml:space="preserve">M05</w:t>
            </w:r>
          </w:p>
        </w:tc>
        <w:tc>
          <w:tcPr>
            <w:tcW w:type="dxa" w:w="1550"/>
            <w:tcMar>
              <w:top w:type="dxa" w:w="80"/>
              <w:left w:type="dxa" w:w="100"/>
              <w:bottom w:type="dxa" w:w="80"/>
              <w:right w:type="dxa" w:w="100"/>
            </w:tcMar>
            <w:vAlign w:val="center"/>
          </w:tcPr>
          <w:p>
            <w:pPr>
              <w:jc w:val="left"/>
            </w:pPr>
            <w:r>
              <w:rPr>
                <w:b w:val="false"/>
                <w:bCs w:val="false"/>
                <w:color w:val="222222"/>
                <w:sz w:val="19"/>
                <w:szCs w:val="19"/>
              </w:rPr>
              <w:t xml:space="preserve">Storage</w:t>
            </w:r>
          </w:p>
        </w:tc>
        <w:tc>
          <w:tcPr>
            <w:tcW w:type="dxa" w:w="5350"/>
            <w:tcMar>
              <w:top w:type="dxa" w:w="80"/>
              <w:left w:type="dxa" w:w="100"/>
              <w:bottom w:type="dxa" w:w="80"/>
              <w:right w:type="dxa" w:w="100"/>
            </w:tcMar>
            <w:vAlign w:val="center"/>
          </w:tcPr>
          <w:p>
            <w:pPr>
              <w:jc w:val="left"/>
            </w:pPr>
            <w:r>
              <w:rPr>
                <w:b w:val="false"/>
                <w:bCs w:val="false"/>
                <w:color w:val="222222"/>
                <w:sz w:val="19"/>
                <w:szCs w:val="19"/>
              </w:rPr>
              <w:t xml:space="preserve">S3 bucket versioning suspended</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Medium</w:t>
            </w:r>
          </w:p>
        </w:tc>
      </w:tr>
      <w:tr>
        <w:tc>
          <w:tcPr>
            <w:tcW w:type="dxa" w:w="8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M06</w:t>
            </w:r>
          </w:p>
        </w:tc>
        <w:tc>
          <w:tcPr>
            <w:tcW w:type="dxa" w:w="15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Network</w:t>
            </w:r>
          </w:p>
        </w:tc>
        <w:tc>
          <w:tcPr>
            <w:tcW w:type="dxa" w:w="53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SSH (22) open to 0.0.0.0/0 on web security group</w:t>
            </w:r>
          </w:p>
        </w:tc>
        <w:tc>
          <w:tcPr>
            <w:tcW w:type="dxa" w:w="16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High</w:t>
            </w:r>
          </w:p>
        </w:tc>
      </w:tr>
      <w:tr>
        <w:tc>
          <w:tcPr>
            <w:tcW w:type="dxa" w:w="850"/>
            <w:tcMar>
              <w:top w:type="dxa" w:w="80"/>
              <w:left w:type="dxa" w:w="100"/>
              <w:bottom w:type="dxa" w:w="80"/>
              <w:right w:type="dxa" w:w="100"/>
            </w:tcMar>
            <w:vAlign w:val="center"/>
          </w:tcPr>
          <w:p>
            <w:pPr>
              <w:jc w:val="center"/>
            </w:pPr>
            <w:r>
              <w:rPr>
                <w:b w:val="false"/>
                <w:bCs w:val="false"/>
                <w:color w:val="222222"/>
                <w:sz w:val="19"/>
                <w:szCs w:val="19"/>
              </w:rPr>
              <w:t xml:space="preserve">M07</w:t>
            </w:r>
          </w:p>
        </w:tc>
        <w:tc>
          <w:tcPr>
            <w:tcW w:type="dxa" w:w="1550"/>
            <w:tcMar>
              <w:top w:type="dxa" w:w="80"/>
              <w:left w:type="dxa" w:w="100"/>
              <w:bottom w:type="dxa" w:w="80"/>
              <w:right w:type="dxa" w:w="100"/>
            </w:tcMar>
            <w:vAlign w:val="center"/>
          </w:tcPr>
          <w:p>
            <w:pPr>
              <w:jc w:val="left"/>
            </w:pPr>
            <w:r>
              <w:rPr>
                <w:b w:val="false"/>
                <w:bCs w:val="false"/>
                <w:color w:val="222222"/>
                <w:sz w:val="19"/>
                <w:szCs w:val="19"/>
              </w:rPr>
              <w:t xml:space="preserve">Network</w:t>
            </w:r>
          </w:p>
        </w:tc>
        <w:tc>
          <w:tcPr>
            <w:tcW w:type="dxa" w:w="5350"/>
            <w:tcMar>
              <w:top w:type="dxa" w:w="80"/>
              <w:left w:type="dxa" w:w="100"/>
              <w:bottom w:type="dxa" w:w="80"/>
              <w:right w:type="dxa" w:w="100"/>
            </w:tcMar>
            <w:vAlign w:val="center"/>
          </w:tcPr>
          <w:p>
            <w:pPr>
              <w:jc w:val="left"/>
            </w:pPr>
            <w:r>
              <w:rPr>
                <w:b w:val="false"/>
                <w:bCs w:val="false"/>
                <w:color w:val="222222"/>
                <w:sz w:val="19"/>
                <w:szCs w:val="19"/>
              </w:rPr>
              <w:t xml:space="preserve">MySQL (3306) open to 0.0.0.0/0 on RDS security group</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Critical</w:t>
            </w:r>
          </w:p>
        </w:tc>
      </w:tr>
      <w:tr>
        <w:tc>
          <w:tcPr>
            <w:tcW w:type="dxa" w:w="8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M08</w:t>
            </w:r>
          </w:p>
        </w:tc>
        <w:tc>
          <w:tcPr>
            <w:tcW w:type="dxa" w:w="15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Database</w:t>
            </w:r>
          </w:p>
        </w:tc>
        <w:tc>
          <w:tcPr>
            <w:tcW w:type="dxa" w:w="53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RDS instance set publicly_accessible = true</w:t>
            </w:r>
          </w:p>
        </w:tc>
        <w:tc>
          <w:tcPr>
            <w:tcW w:type="dxa" w:w="16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Critical</w:t>
            </w:r>
          </w:p>
        </w:tc>
      </w:tr>
      <w:tr>
        <w:tc>
          <w:tcPr>
            <w:tcW w:type="dxa" w:w="850"/>
            <w:tcMar>
              <w:top w:type="dxa" w:w="80"/>
              <w:left w:type="dxa" w:w="100"/>
              <w:bottom w:type="dxa" w:w="80"/>
              <w:right w:type="dxa" w:w="100"/>
            </w:tcMar>
            <w:vAlign w:val="center"/>
          </w:tcPr>
          <w:p>
            <w:pPr>
              <w:jc w:val="center"/>
            </w:pPr>
            <w:r>
              <w:rPr>
                <w:b w:val="false"/>
                <w:bCs w:val="false"/>
                <w:color w:val="222222"/>
                <w:sz w:val="19"/>
                <w:szCs w:val="19"/>
              </w:rPr>
              <w:t xml:space="preserve">M09</w:t>
            </w:r>
          </w:p>
        </w:tc>
        <w:tc>
          <w:tcPr>
            <w:tcW w:type="dxa" w:w="1550"/>
            <w:tcMar>
              <w:top w:type="dxa" w:w="80"/>
              <w:left w:type="dxa" w:w="100"/>
              <w:bottom w:type="dxa" w:w="80"/>
              <w:right w:type="dxa" w:w="100"/>
            </w:tcMar>
            <w:vAlign w:val="center"/>
          </w:tcPr>
          <w:p>
            <w:pPr>
              <w:jc w:val="left"/>
            </w:pPr>
            <w:r>
              <w:rPr>
                <w:b w:val="false"/>
                <w:bCs w:val="false"/>
                <w:color w:val="222222"/>
                <w:sz w:val="19"/>
                <w:szCs w:val="19"/>
              </w:rPr>
              <w:t xml:space="preserve">Database</w:t>
            </w:r>
          </w:p>
        </w:tc>
        <w:tc>
          <w:tcPr>
            <w:tcW w:type="dxa" w:w="5350"/>
            <w:tcMar>
              <w:top w:type="dxa" w:w="80"/>
              <w:left w:type="dxa" w:w="100"/>
              <w:bottom w:type="dxa" w:w="80"/>
              <w:right w:type="dxa" w:w="100"/>
            </w:tcMar>
            <w:vAlign w:val="center"/>
          </w:tcPr>
          <w:p>
            <w:pPr>
              <w:jc w:val="left"/>
            </w:pPr>
            <w:r>
              <w:rPr>
                <w:b w:val="false"/>
                <w:bCs w:val="false"/>
                <w:color w:val="222222"/>
                <w:sz w:val="19"/>
                <w:szCs w:val="19"/>
              </w:rPr>
              <w:t xml:space="preserve">RDS storage_encrypted disabled</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High</w:t>
            </w:r>
          </w:p>
        </w:tc>
      </w:tr>
      <w:tr>
        <w:tc>
          <w:tcPr>
            <w:tcW w:type="dxa" w:w="8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M10</w:t>
            </w:r>
          </w:p>
        </w:tc>
        <w:tc>
          <w:tcPr>
            <w:tcW w:type="dxa" w:w="15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Storage</w:t>
            </w:r>
          </w:p>
        </w:tc>
        <w:tc>
          <w:tcPr>
            <w:tcW w:type="dxa" w:w="53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S3 default server-side encryption removed entirely*</w:t>
            </w:r>
          </w:p>
        </w:tc>
        <w:tc>
          <w:tcPr>
            <w:tcW w:type="dxa" w:w="16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High</w:t>
            </w:r>
          </w:p>
        </w:tc>
      </w:tr>
      <w:tr>
        <w:tc>
          <w:tcPr>
            <w:tcW w:type="dxa" w:w="850"/>
            <w:tcMar>
              <w:top w:type="dxa" w:w="80"/>
              <w:left w:type="dxa" w:w="100"/>
              <w:bottom w:type="dxa" w:w="80"/>
              <w:right w:type="dxa" w:w="100"/>
            </w:tcMar>
            <w:vAlign w:val="center"/>
          </w:tcPr>
          <w:p>
            <w:pPr>
              <w:jc w:val="center"/>
            </w:pPr>
            <w:r>
              <w:rPr>
                <w:b w:val="false"/>
                <w:bCs w:val="false"/>
                <w:color w:val="222222"/>
                <w:sz w:val="19"/>
                <w:szCs w:val="19"/>
              </w:rPr>
              <w:t xml:space="preserve">M11</w:t>
            </w:r>
          </w:p>
        </w:tc>
        <w:tc>
          <w:tcPr>
            <w:tcW w:type="dxa" w:w="1550"/>
            <w:tcMar>
              <w:top w:type="dxa" w:w="80"/>
              <w:left w:type="dxa" w:w="100"/>
              <w:bottom w:type="dxa" w:w="80"/>
              <w:right w:type="dxa" w:w="100"/>
            </w:tcMar>
            <w:vAlign w:val="center"/>
          </w:tcPr>
          <w:p>
            <w:pPr>
              <w:jc w:val="left"/>
            </w:pPr>
            <w:r>
              <w:rPr>
                <w:b w:val="false"/>
                <w:bCs w:val="false"/>
                <w:color w:val="222222"/>
                <w:sz w:val="19"/>
                <w:szCs w:val="19"/>
              </w:rPr>
              <w:t xml:space="preserve">Compute</w:t>
            </w:r>
          </w:p>
        </w:tc>
        <w:tc>
          <w:tcPr>
            <w:tcW w:type="dxa" w:w="5350"/>
            <w:tcMar>
              <w:top w:type="dxa" w:w="80"/>
              <w:left w:type="dxa" w:w="100"/>
              <w:bottom w:type="dxa" w:w="80"/>
              <w:right w:type="dxa" w:w="100"/>
            </w:tcMar>
            <w:vAlign w:val="center"/>
          </w:tcPr>
          <w:p>
            <w:pPr>
              <w:jc w:val="left"/>
            </w:pPr>
            <w:r>
              <w:rPr>
                <w:b w:val="false"/>
                <w:bCs w:val="false"/>
                <w:color w:val="222222"/>
                <w:sz w:val="19"/>
                <w:szCs w:val="19"/>
              </w:rPr>
              <w:t xml:space="preserve">EC2 IMDSv2 disabled (http_tokens = optional)</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Medium</w:t>
            </w:r>
          </w:p>
        </w:tc>
      </w:tr>
      <w:tr>
        <w:tc>
          <w:tcPr>
            <w:tcW w:type="dxa" w:w="85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M12</w:t>
            </w:r>
          </w:p>
        </w:tc>
        <w:tc>
          <w:tcPr>
            <w:tcW w:type="dxa" w:w="15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Database</w:t>
            </w:r>
          </w:p>
        </w:tc>
        <w:tc>
          <w:tcPr>
            <w:tcW w:type="dxa" w:w="53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RDS automated backups disabled (retention = 0)</w:t>
            </w:r>
          </w:p>
        </w:tc>
        <w:tc>
          <w:tcPr>
            <w:tcW w:type="dxa" w:w="1600"/>
            <w:shd w:fill="F2F3F5" w:color="auto" w:val="clear"/>
            <w:tcMar>
              <w:top w:type="dxa" w:w="80"/>
              <w:left w:type="dxa" w:w="100"/>
              <w:bottom w:type="dxa" w:w="80"/>
              <w:right w:type="dxa" w:w="100"/>
            </w:tcMar>
            <w:vAlign w:val="center"/>
          </w:tcPr>
          <w:p>
            <w:pPr>
              <w:jc w:val="center"/>
            </w:pPr>
            <w:r>
              <w:rPr>
                <w:b w:val="false"/>
                <w:bCs w:val="false"/>
                <w:color w:val="222222"/>
                <w:sz w:val="19"/>
                <w:szCs w:val="19"/>
              </w:rPr>
              <w:t xml:space="preserve">Medium</w:t>
            </w:r>
          </w:p>
        </w:tc>
      </w:tr>
    </w:tbl>
    <w:p>
      <w:pPr>
        <w:spacing w:after="240" w:before="60"/>
        <w:jc w:val="center"/>
      </w:pPr>
      <w:r>
        <w:rPr>
          <w:i/>
          <w:iCs/>
          <w:color w:val="5F6368"/>
          <w:sz w:val="18"/>
          <w:szCs w:val="18"/>
        </w:rPr>
        <w:t xml:space="preserve">* AWS was observed to auto-re-apply AES256 SSE on this bucket regardless of the Terraform configuration — documented as a platform-level nuance during Week 3 verification, not a scanning defect.</w:t>
      </w:r>
    </w:p>
    <w:p>
      <w:pPr>
        <w:pStyle w:val="Heading1"/>
        <w:pBdr>
          <w:bottom w:val="single" w:color="0E7C7B" w:sz="6" w:space="4"/>
        </w:pBdr>
        <w:spacing w:after="160" w:before="360"/>
      </w:pPr>
      <w:r>
        <w:rPr>
          <w:b/>
          <w:bCs/>
          <w:color w:val="1B2A4A"/>
          <w:sz w:val="30"/>
          <w:szCs w:val="30"/>
        </w:rPr>
        <w:t xml:space="preserve">Appendix B — AWS Resource Inventory (Remediation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rPr>
          <w:tblHeader/>
        </w:trPr>
        <w:tc>
          <w:tcPr>
            <w:tcW w:type="dxa" w:w="4650"/>
            <w:shd w:fill="1B2A4A" w:color="auto" w:val="clear"/>
            <w:tcMar>
              <w:top w:type="dxa" w:w="80"/>
              <w:left w:type="dxa" w:w="100"/>
              <w:bottom w:type="dxa" w:w="80"/>
              <w:right w:type="dxa" w:w="100"/>
            </w:tcMar>
            <w:vAlign w:val="center"/>
          </w:tcPr>
          <w:p>
            <w:pPr>
              <w:jc w:val="center"/>
            </w:pPr>
            <w:r>
              <w:rPr>
                <w:b/>
                <w:bCs/>
                <w:color w:val="FFFFFF"/>
                <w:sz w:val="19"/>
                <w:szCs w:val="19"/>
              </w:rPr>
              <w:t xml:space="preserve">Resource Type</w:t>
            </w:r>
          </w:p>
        </w:tc>
        <w:tc>
          <w:tcPr>
            <w:tcW w:type="dxa" w:w="4700"/>
            <w:shd w:fill="1B2A4A" w:color="auto" w:val="clear"/>
            <w:tcMar>
              <w:top w:type="dxa" w:w="80"/>
              <w:left w:type="dxa" w:w="100"/>
              <w:bottom w:type="dxa" w:w="80"/>
              <w:right w:type="dxa" w:w="100"/>
            </w:tcMar>
            <w:vAlign w:val="center"/>
          </w:tcPr>
          <w:p>
            <w:pPr>
              <w:jc w:val="center"/>
            </w:pPr>
            <w:r>
              <w:rPr>
                <w:b/>
                <w:bCs/>
                <w:color w:val="FFFFFF"/>
                <w:sz w:val="19"/>
                <w:szCs w:val="19"/>
              </w:rPr>
              <w:t xml:space="preserve">Name / Identifier</w:t>
            </w:r>
          </w:p>
        </w:tc>
      </w:tr>
      <w:tr>
        <w:tc>
          <w:tcPr>
            <w:tcW w:type="dxa" w:w="4650"/>
            <w:tcMar>
              <w:top w:type="dxa" w:w="80"/>
              <w:left w:type="dxa" w:w="100"/>
              <w:bottom w:type="dxa" w:w="80"/>
              <w:right w:type="dxa" w:w="100"/>
            </w:tcMar>
            <w:vAlign w:val="center"/>
          </w:tcPr>
          <w:p>
            <w:pPr>
              <w:jc w:val="left"/>
            </w:pPr>
            <w:r>
              <w:rPr>
                <w:b w:val="false"/>
                <w:bCs w:val="false"/>
                <w:color w:val="222222"/>
                <w:sz w:val="19"/>
                <w:szCs w:val="19"/>
              </w:rPr>
              <w:t xml:space="preserve">SNS Topic</w:t>
            </w:r>
          </w:p>
        </w:tc>
        <w:tc>
          <w:tcPr>
            <w:tcW w:type="dxa" w:w="4700"/>
            <w:tcMar>
              <w:top w:type="dxa" w:w="80"/>
              <w:left w:type="dxa" w:w="100"/>
              <w:bottom w:type="dxa" w:w="80"/>
              <w:right w:type="dxa" w:w="100"/>
            </w:tcMar>
            <w:vAlign w:val="center"/>
          </w:tcPr>
          <w:p>
            <w:pPr>
              <w:jc w:val="left"/>
            </w:pPr>
            <w:r>
              <w:rPr>
                <w:b w:val="false"/>
                <w:bCs w:val="false"/>
                <w:color w:val="222222"/>
                <w:sz w:val="19"/>
                <w:szCs w:val="19"/>
              </w:rPr>
              <w:t xml:space="preserve">cloudguardian-remediation</w:t>
            </w:r>
          </w:p>
        </w:tc>
      </w:tr>
      <w:tr>
        <w:tc>
          <w:tcPr>
            <w:tcW w:type="dxa" w:w="46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SNS Topic</w:t>
            </w:r>
          </w:p>
        </w:tc>
        <w:tc>
          <w:tcPr>
            <w:tcW w:type="dxa" w:w="47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cloudguardian-approval-request</w:t>
            </w:r>
          </w:p>
        </w:tc>
      </w:tr>
      <w:tr>
        <w:tc>
          <w:tcPr>
            <w:tcW w:type="dxa" w:w="4650"/>
            <w:tcMar>
              <w:top w:type="dxa" w:w="80"/>
              <w:left w:type="dxa" w:w="100"/>
              <w:bottom w:type="dxa" w:w="80"/>
              <w:right w:type="dxa" w:w="100"/>
            </w:tcMar>
            <w:vAlign w:val="center"/>
          </w:tcPr>
          <w:p>
            <w:pPr>
              <w:jc w:val="left"/>
            </w:pPr>
            <w:r>
              <w:rPr>
                <w:b w:val="false"/>
                <w:bCs w:val="false"/>
                <w:color w:val="222222"/>
                <w:sz w:val="19"/>
                <w:szCs w:val="19"/>
              </w:rPr>
              <w:t xml:space="preserve">IAM Role</w:t>
            </w:r>
          </w:p>
        </w:tc>
        <w:tc>
          <w:tcPr>
            <w:tcW w:type="dxa" w:w="4700"/>
            <w:tcMar>
              <w:top w:type="dxa" w:w="80"/>
              <w:left w:type="dxa" w:w="100"/>
              <w:bottom w:type="dxa" w:w="80"/>
              <w:right w:type="dxa" w:w="100"/>
            </w:tcMar>
            <w:vAlign w:val="center"/>
          </w:tcPr>
          <w:p>
            <w:pPr>
              <w:jc w:val="left"/>
            </w:pPr>
            <w:r>
              <w:rPr>
                <w:b w:val="false"/>
                <w:bCs w:val="false"/>
                <w:color w:val="222222"/>
                <w:sz w:val="19"/>
                <w:szCs w:val="19"/>
              </w:rPr>
              <w:t xml:space="preserve">cloudguardian-remediation-role</w:t>
            </w:r>
          </w:p>
        </w:tc>
      </w:tr>
      <w:tr>
        <w:tc>
          <w:tcPr>
            <w:tcW w:type="dxa" w:w="46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IAM Role</w:t>
            </w:r>
          </w:p>
        </w:tc>
        <w:tc>
          <w:tcPr>
            <w:tcW w:type="dxa" w:w="47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cloudguardian-notifier-role</w:t>
            </w:r>
          </w:p>
        </w:tc>
      </w:tr>
      <w:tr>
        <w:tc>
          <w:tcPr>
            <w:tcW w:type="dxa" w:w="4650"/>
            <w:tcMar>
              <w:top w:type="dxa" w:w="80"/>
              <w:left w:type="dxa" w:w="100"/>
              <w:bottom w:type="dxa" w:w="80"/>
              <w:right w:type="dxa" w:w="100"/>
            </w:tcMar>
            <w:vAlign w:val="center"/>
          </w:tcPr>
          <w:p>
            <w:pPr>
              <w:jc w:val="left"/>
            </w:pPr>
            <w:r>
              <w:rPr>
                <w:b w:val="false"/>
                <w:bCs w:val="false"/>
                <w:color w:val="222222"/>
                <w:sz w:val="19"/>
                <w:szCs w:val="19"/>
              </w:rPr>
              <w:t xml:space="preserve">IAM Role</w:t>
            </w:r>
          </w:p>
        </w:tc>
        <w:tc>
          <w:tcPr>
            <w:tcW w:type="dxa" w:w="4700"/>
            <w:tcMar>
              <w:top w:type="dxa" w:w="80"/>
              <w:left w:type="dxa" w:w="100"/>
              <w:bottom w:type="dxa" w:w="80"/>
              <w:right w:type="dxa" w:w="100"/>
            </w:tcMar>
            <w:vAlign w:val="center"/>
          </w:tcPr>
          <w:p>
            <w:pPr>
              <w:jc w:val="left"/>
            </w:pPr>
            <w:r>
              <w:rPr>
                <w:b w:val="false"/>
                <w:bCs w:val="false"/>
                <w:color w:val="222222"/>
                <w:sz w:val="19"/>
                <w:szCs w:val="19"/>
              </w:rPr>
              <w:t xml:space="preserve">cloudguardian-starter-role</w:t>
            </w:r>
          </w:p>
        </w:tc>
      </w:tr>
      <w:tr>
        <w:tc>
          <w:tcPr>
            <w:tcW w:type="dxa" w:w="46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IAM Role</w:t>
            </w:r>
          </w:p>
        </w:tc>
        <w:tc>
          <w:tcPr>
            <w:tcW w:type="dxa" w:w="47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cloudguardian-approval-handler-role</w:t>
            </w:r>
          </w:p>
        </w:tc>
      </w:tr>
      <w:tr>
        <w:tc>
          <w:tcPr>
            <w:tcW w:type="dxa" w:w="4650"/>
            <w:tcMar>
              <w:top w:type="dxa" w:w="80"/>
              <w:left w:type="dxa" w:w="100"/>
              <w:bottom w:type="dxa" w:w="80"/>
              <w:right w:type="dxa" w:w="100"/>
            </w:tcMar>
            <w:vAlign w:val="center"/>
          </w:tcPr>
          <w:p>
            <w:pPr>
              <w:jc w:val="left"/>
            </w:pPr>
            <w:r>
              <w:rPr>
                <w:b w:val="false"/>
                <w:bCs w:val="false"/>
                <w:color w:val="222222"/>
                <w:sz w:val="19"/>
                <w:szCs w:val="19"/>
              </w:rPr>
              <w:t xml:space="preserve">IAM Role</w:t>
            </w:r>
          </w:p>
        </w:tc>
        <w:tc>
          <w:tcPr>
            <w:tcW w:type="dxa" w:w="4700"/>
            <w:tcMar>
              <w:top w:type="dxa" w:w="80"/>
              <w:left w:type="dxa" w:w="100"/>
              <w:bottom w:type="dxa" w:w="80"/>
              <w:right w:type="dxa" w:w="100"/>
            </w:tcMar>
            <w:vAlign w:val="center"/>
          </w:tcPr>
          <w:p>
            <w:pPr>
              <w:jc w:val="left"/>
            </w:pPr>
            <w:r>
              <w:rPr>
                <w:b w:val="false"/>
                <w:bCs w:val="false"/>
                <w:color w:val="222222"/>
                <w:sz w:val="19"/>
                <w:szCs w:val="19"/>
              </w:rPr>
              <w:t xml:space="preserve">cloudguardian-stepfunctions-role</w:t>
            </w:r>
          </w:p>
        </w:tc>
      </w:tr>
      <w:tr>
        <w:tc>
          <w:tcPr>
            <w:tcW w:type="dxa" w:w="46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Lambda Function</w:t>
            </w:r>
          </w:p>
        </w:tc>
        <w:tc>
          <w:tcPr>
            <w:tcW w:type="dxa" w:w="47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cloudguardian-remediator</w:t>
            </w:r>
          </w:p>
        </w:tc>
      </w:tr>
      <w:tr>
        <w:tc>
          <w:tcPr>
            <w:tcW w:type="dxa" w:w="4650"/>
            <w:tcMar>
              <w:top w:type="dxa" w:w="80"/>
              <w:left w:type="dxa" w:w="100"/>
              <w:bottom w:type="dxa" w:w="80"/>
              <w:right w:type="dxa" w:w="100"/>
            </w:tcMar>
            <w:vAlign w:val="center"/>
          </w:tcPr>
          <w:p>
            <w:pPr>
              <w:jc w:val="left"/>
            </w:pPr>
            <w:r>
              <w:rPr>
                <w:b w:val="false"/>
                <w:bCs w:val="false"/>
                <w:color w:val="222222"/>
                <w:sz w:val="19"/>
                <w:szCs w:val="19"/>
              </w:rPr>
              <w:t xml:space="preserve">Lambda Function</w:t>
            </w:r>
          </w:p>
        </w:tc>
        <w:tc>
          <w:tcPr>
            <w:tcW w:type="dxa" w:w="4700"/>
            <w:tcMar>
              <w:top w:type="dxa" w:w="80"/>
              <w:left w:type="dxa" w:w="100"/>
              <w:bottom w:type="dxa" w:w="80"/>
              <w:right w:type="dxa" w:w="100"/>
            </w:tcMar>
            <w:vAlign w:val="center"/>
          </w:tcPr>
          <w:p>
            <w:pPr>
              <w:jc w:val="left"/>
            </w:pPr>
            <w:r>
              <w:rPr>
                <w:b w:val="false"/>
                <w:bCs w:val="false"/>
                <w:color w:val="222222"/>
                <w:sz w:val="19"/>
                <w:szCs w:val="19"/>
              </w:rPr>
              <w:t xml:space="preserve">cloudguardian-approval-notifier</w:t>
            </w:r>
          </w:p>
        </w:tc>
      </w:tr>
      <w:tr>
        <w:tc>
          <w:tcPr>
            <w:tcW w:type="dxa" w:w="46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Lambda Function</w:t>
            </w:r>
          </w:p>
        </w:tc>
        <w:tc>
          <w:tcPr>
            <w:tcW w:type="dxa" w:w="47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cloudguardian-approval-starter</w:t>
            </w:r>
          </w:p>
        </w:tc>
      </w:tr>
      <w:tr>
        <w:tc>
          <w:tcPr>
            <w:tcW w:type="dxa" w:w="4650"/>
            <w:tcMar>
              <w:top w:type="dxa" w:w="80"/>
              <w:left w:type="dxa" w:w="100"/>
              <w:bottom w:type="dxa" w:w="80"/>
              <w:right w:type="dxa" w:w="100"/>
            </w:tcMar>
            <w:vAlign w:val="center"/>
          </w:tcPr>
          <w:p>
            <w:pPr>
              <w:jc w:val="left"/>
            </w:pPr>
            <w:r>
              <w:rPr>
                <w:b w:val="false"/>
                <w:bCs w:val="false"/>
                <w:color w:val="222222"/>
                <w:sz w:val="19"/>
                <w:szCs w:val="19"/>
              </w:rPr>
              <w:t xml:space="preserve">Lambda Function</w:t>
            </w:r>
          </w:p>
        </w:tc>
        <w:tc>
          <w:tcPr>
            <w:tcW w:type="dxa" w:w="4700"/>
            <w:tcMar>
              <w:top w:type="dxa" w:w="80"/>
              <w:left w:type="dxa" w:w="100"/>
              <w:bottom w:type="dxa" w:w="80"/>
              <w:right w:type="dxa" w:w="100"/>
            </w:tcMar>
            <w:vAlign w:val="center"/>
          </w:tcPr>
          <w:p>
            <w:pPr>
              <w:jc w:val="left"/>
            </w:pPr>
            <w:r>
              <w:rPr>
                <w:b w:val="false"/>
                <w:bCs w:val="false"/>
                <w:color w:val="222222"/>
                <w:sz w:val="19"/>
                <w:szCs w:val="19"/>
              </w:rPr>
              <w:t xml:space="preserve">cloudguardian-approval-handler</w:t>
            </w:r>
          </w:p>
        </w:tc>
      </w:tr>
      <w:tr>
        <w:tc>
          <w:tcPr>
            <w:tcW w:type="dxa" w:w="46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Step Functions State Machine</w:t>
            </w:r>
          </w:p>
        </w:tc>
        <w:tc>
          <w:tcPr>
            <w:tcW w:type="dxa" w:w="47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cloudguardian-approval-workflow</w:t>
            </w:r>
          </w:p>
        </w:tc>
      </w:tr>
      <w:tr>
        <w:tc>
          <w:tcPr>
            <w:tcW w:type="dxa" w:w="4650"/>
            <w:tcMar>
              <w:top w:type="dxa" w:w="80"/>
              <w:left w:type="dxa" w:w="100"/>
              <w:bottom w:type="dxa" w:w="80"/>
              <w:right w:type="dxa" w:w="100"/>
            </w:tcMar>
            <w:vAlign w:val="center"/>
          </w:tcPr>
          <w:p>
            <w:pPr>
              <w:jc w:val="left"/>
            </w:pPr>
            <w:r>
              <w:rPr>
                <w:b w:val="false"/>
                <w:bCs w:val="false"/>
                <w:color w:val="222222"/>
                <w:sz w:val="19"/>
                <w:szCs w:val="19"/>
              </w:rPr>
              <w:t xml:space="preserve">API Gateway (HTTP API)</w:t>
            </w:r>
          </w:p>
        </w:tc>
        <w:tc>
          <w:tcPr>
            <w:tcW w:type="dxa" w:w="4700"/>
            <w:tcMar>
              <w:top w:type="dxa" w:w="80"/>
              <w:left w:type="dxa" w:w="100"/>
              <w:bottom w:type="dxa" w:w="80"/>
              <w:right w:type="dxa" w:w="100"/>
            </w:tcMar>
            <w:vAlign w:val="center"/>
          </w:tcPr>
          <w:p>
            <w:pPr>
              <w:jc w:val="left"/>
            </w:pPr>
            <w:r>
              <w:rPr>
                <w:b w:val="false"/>
                <w:bCs w:val="false"/>
                <w:color w:val="222222"/>
                <w:sz w:val="19"/>
                <w:szCs w:val="19"/>
              </w:rPr>
              <w:t xml:space="preserve">cloudguardian-approval-api (stage: prod)</w:t>
            </w:r>
          </w:p>
        </w:tc>
      </w:tr>
      <w:tr>
        <w:tc>
          <w:tcPr>
            <w:tcW w:type="dxa" w:w="465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Test S3 Bucket</w:t>
            </w:r>
          </w:p>
        </w:tc>
        <w:tc>
          <w:tcPr>
            <w:tcW w:type="dxa" w:w="4700"/>
            <w:shd w:fill="F2F3F5" w:color="auto" w:val="clear"/>
            <w:tcMar>
              <w:top w:type="dxa" w:w="80"/>
              <w:left w:type="dxa" w:w="100"/>
              <w:bottom w:type="dxa" w:w="80"/>
              <w:right w:type="dxa" w:w="100"/>
            </w:tcMar>
            <w:vAlign w:val="center"/>
          </w:tcPr>
          <w:p>
            <w:pPr>
              <w:jc w:val="left"/>
            </w:pPr>
            <w:r>
              <w:rPr>
                <w:b w:val="false"/>
                <w:bCs w:val="false"/>
                <w:color w:val="222222"/>
                <w:sz w:val="19"/>
                <w:szCs w:val="19"/>
              </w:rPr>
              <w:t xml:space="preserve">cloudguardian-target-bucket-test02</w:t>
            </w:r>
          </w:p>
        </w:tc>
      </w:tr>
      <w:tr>
        <w:tc>
          <w:tcPr>
            <w:tcW w:type="dxa" w:w="4650"/>
            <w:tcMar>
              <w:top w:type="dxa" w:w="80"/>
              <w:left w:type="dxa" w:w="100"/>
              <w:bottom w:type="dxa" w:w="80"/>
              <w:right w:type="dxa" w:w="100"/>
            </w:tcMar>
            <w:vAlign w:val="center"/>
          </w:tcPr>
          <w:p>
            <w:pPr>
              <w:jc w:val="left"/>
            </w:pPr>
            <w:r>
              <w:rPr>
                <w:b w:val="false"/>
                <w:bCs w:val="false"/>
                <w:color w:val="222222"/>
                <w:sz w:val="19"/>
                <w:szCs w:val="19"/>
              </w:rPr>
              <w:t xml:space="preserve">Test S3 Bucket</w:t>
            </w:r>
          </w:p>
        </w:tc>
        <w:tc>
          <w:tcPr>
            <w:tcW w:type="dxa" w:w="4700"/>
            <w:tcMar>
              <w:top w:type="dxa" w:w="80"/>
              <w:left w:type="dxa" w:w="100"/>
              <w:bottom w:type="dxa" w:w="80"/>
              <w:right w:type="dxa" w:w="100"/>
            </w:tcMar>
            <w:vAlign w:val="center"/>
          </w:tcPr>
          <w:p>
            <w:pPr>
              <w:jc w:val="left"/>
            </w:pPr>
            <w:r>
              <w:rPr>
                <w:b w:val="false"/>
                <w:bCs w:val="false"/>
                <w:color w:val="222222"/>
                <w:sz w:val="19"/>
                <w:szCs w:val="19"/>
              </w:rPr>
              <w:t xml:space="preserve">cloudguardian-data-8b63b854</w:t>
            </w:r>
          </w:p>
        </w:tc>
      </w:tr>
    </w:tbl>
    <w:p>
      <w:pPr>
        <w:spacing w:before="400"/>
        <w:jc w:val="center"/>
      </w:pPr>
      <w:r>
        <w:rPr>
          <w:i/>
          <w:iCs/>
          <w:color w:val="5F6368"/>
          <w:sz w:val="20"/>
          <w:szCs w:val="20"/>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6"/>
        <w:szCs w:val="16"/>
      </w:rPr>
      <w:t xml:space="preserve">Page </w:t>
    </w:r>
    <w:r>
      <w:rPr>
        <w:color w:val="5F6368"/>
        <w:sz w:val="16"/>
        <w:szCs w:val="16"/>
      </w:rPr>
      <w:fldChar w:fldCharType="begin"/>
      <w:instrText xml:space="preserve">PAGE</w:instrText>
      <w:fldChar w:fldCharType="separate"/>
      <w:fldChar w:fldCharType="end"/>
    </w:r>
    <w:r>
      <w:rPr>
        <w:color w:val="5F6368"/>
        <w:sz w:val="16"/>
        <w:szCs w:val="16"/>
      </w:rPr>
      <w:t xml:space="preserve"> of </w:t>
    </w:r>
    <w:r>
      <w:rPr>
        <w:color w:val="5F6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368"/>
        <w:sz w:val="16"/>
        <w:szCs w:val="16"/>
      </w:rPr>
      <w:t xml:space="preserve">CloudGuardian — Final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ec3d53baa0df090364d99f9afc1489e52d9cdb.png"/><Relationship Id="rId10" Type="http://schemas.openxmlformats.org/officeDocument/2006/relationships/image" Target="media/861e8c9e190e01c88707bdb2dc84a166f32f5444.png"/><Relationship Id="rId11" Type="http://schemas.openxmlformats.org/officeDocument/2006/relationships/image" Target="media/67a7561e6700c8a5bd49da9049f5be16403c2a7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2026-07-27T10:02:41.011Z</dcterms:created>
  <dcterms:modified xsi:type="dcterms:W3CDTF">2026-07-27T10:02:41.012Z</dcterms:modified>
</cp:coreProperties>
</file>

<file path=docProps/custom.xml><?xml version="1.0" encoding="utf-8"?>
<Properties xmlns="http://schemas.openxmlformats.org/officeDocument/2006/custom-properties" xmlns:vt="http://schemas.openxmlformats.org/officeDocument/2006/docPropsVTypes"/>
</file>