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740"/>
      </w:pPr>
      <w:r>
        <w:t>FUNDAMENTALS OF COMPOSITE MATERIALS  |  21MEO101T</w:t>
      </w:r>
    </w:p>
    <w:p>
      <w:pPr>
        <w:spacing w:after="100"/>
      </w:pPr>
      <w:r>
        <w:rPr>
          <w:rFonts w:ascii="Liberation Sans" w:hAnsi="Liberation Sans"/>
          <w:b/>
          <w:color w:val="15273B"/>
          <w:sz w:val="68"/>
        </w:rPr>
        <w:t>WaveSense-CFRP</w:t>
      </w:r>
    </w:p>
    <w:p>
      <w:pPr>
        <w:pStyle w:val="Kicker"/>
        <w:spacing w:after="340"/>
        <w:pBdr>
          <w:bottom w:val="single" w:sz="9" w:color="167F85"/>
        </w:pBdr>
      </w:pPr>
      <w:r>
        <w:t>NOVELTY-FOCUSED TECHNICAL PROJECT DOSSIER</w:t>
      </w:r>
    </w:p>
    <w:p>
      <w:pPr>
        <w:pStyle w:val="SubTitleCustom"/>
      </w:pPr>
      <w:r>
        <w:rPr>
          <w:b/>
          <w:color w:val="156089"/>
          <w:sz w:val="36"/>
        </w:rPr>
        <w:t>Temperature-Robust, Sensor-Efficient and Reliability-Aware Ultrasonic Guided-Wave Damage Assessment of Carbon Fiber-Reinforced Polymer Laminates</w:t>
      </w:r>
    </w:p>
    <w:p>
      <w:pPr/>
      <w:r>
        <w:t>Proposed technical contribution: temperature-stability-aware sensor-path selection combined with missing-measurement robustness and calibrated, abstention-capable diagnosis.</w:t>
      </w:r>
    </w:p>
    <w:p>
      <w:r>
        <w:drawing>
          <wp:inline xmlns:a="http://schemas.openxmlformats.org/drawingml/2006/main" xmlns:pic="http://schemas.openxmlformats.org/drawingml/2006/picture">
            <wp:extent cx="5989320" cy="1773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73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Kicker"/>
      </w:pPr>
      <w:r>
        <w:t>SUBMISSION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264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Institution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SRM Institute of Science and Technology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Course / code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Fundamentals of Composite Materials / 21MEO101T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Department offering course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Mechanical Engineering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Student / registration no.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Faculty guide / section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Proposed project format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Software-only research and engineering prototype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Proposal version / date</w:t>
            </w:r>
          </w:p>
        </w:tc>
        <w:tc>
          <w:tcPr>
            <w:tcW w:type="dxa" w:w="626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7"/>
              </w:rPr>
              <w:t>Version 2.0  /  14 October 2026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91"/>
      </w:tblGrid>
      <w:tr>
        <w:tc>
          <w:tcPr>
            <w:tcW w:type="dxa" w:w="9591"/>
            <w:shd w:fill="EAF5F5"/>
          </w:tcPr>
          <w:p>
            <w:pPr>
              <w:spacing w:after="60"/>
            </w:pPr>
            <w:r>
              <w:rPr>
                <w:color w:val="15273B"/>
                <w:sz w:val="18"/>
              </w:rPr>
              <w:t>STATUS: Proposed research and implementation plan. No model has yet been trained, and no experimental performance or novelty breakthrough is claimed.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Executive decision brief</w:t>
      </w:r>
    </w:p>
    <w:p>
      <w:r>
        <w:t>This proposal upgrades the original WaveSense-CFRP concept from standard ultrasonic damage classification to a reliability-focused inspection framework. The project is fully digital: real signals were acquired by external laboratories, while our team will create original preprocessing, path-selection, analysis, model-evaluation and reporting software.</w:t>
      </w:r>
    </w:p>
    <w:p>
      <w:pPr>
        <w:pStyle w:val="Heading2"/>
        <w:keepNext/>
      </w:pPr>
      <w:r>
        <w:t>Proposed core contribution</w:t>
      </w:r>
    </w:p>
    <w:p>
      <w:pPr>
        <w:pStyle w:val="ListBullet"/>
        <w:spacing w:after="40"/>
      </w:pPr>
      <w:r>
        <w:t>Temperature-aware path ranking: identify transmitter–receiver paths and excitation frequencies with strong reference-damage discriminability and comparatively low healthy-state thermal variability.</w:t>
      </w:r>
    </w:p>
    <w:p>
      <w:pPr>
        <w:pStyle w:val="ListBullet"/>
        <w:spacing w:after="40"/>
      </w:pPr>
      <w:r>
        <w:t>Sensor efficiency and fault resilience: quantify classification performance using limited path budgets and when an entire transducer or selected measurements are unavailable.</w:t>
      </w:r>
    </w:p>
    <w:p>
      <w:pPr>
        <w:pStyle w:val="ListBullet"/>
        <w:spacing w:after="40"/>
      </w:pPr>
      <w:r>
        <w:t>Reliability-aware decisions: calibrate model scores and issue Healthy / Reference damage / Inconclusive decisions rather than forcing unreliable classifications.</w:t>
      </w:r>
    </w:p>
    <w:p>
      <w:pPr>
        <w:pStyle w:val="ListBullet"/>
        <w:spacing w:after="40"/>
      </w:pPr>
      <w:r>
        <w:t>Leakage-resistant experimental design: test held-out temperature intervals and, where feasible, unseen reference-damage positions with selection performed only on training data.</w:t>
      </w:r>
    </w:p>
    <w:p>
      <w:pPr>
        <w:pStyle w:val="Heading2"/>
        <w:keepNext/>
      </w:pPr>
      <w:r>
        <w:t>Faculty-ready abstract</w:t>
      </w:r>
    </w:p>
    <w:p>
      <w:r>
        <w:t>Ultrasonic guided waves are widely investigated for condition monitoring of fiber-reinforced composite structures. Their propagation is sensitive not only to changes associated with structural discontinuities but also to environmental temperature, creating challenges for reliable damage detection. WaveSense-CFRP proposes a reproducible, software-only inspection framework using the publicly available Open Guided Waves (OGW) Dataset #2, which records multi-path ultrasonic responses of a carbon fiber-reinforced polymer (CFRP) laminate across controlled temperatures and reversible reference-damage conditions. The proposed method ranks measurement paths by joint damage sensitivity and healthy-state thermal stability, selects informative subsets under an explicit measurement budget, and evaluates supervised classifiers alongside signal-processing baselines. Robustness is assessed through held-out-temperature evaluation and simulated unavailable measurements, including transducer-level failures. Confidence calibration and an abstention mechanism identify inconclusive cases. The work will deliver an independently implemented algorithm, a transparent evaluation protocol, visual analytics and an interactive inspection dashboard. The aim is to determine whether temperature-aware sensor-path selection can improve the reliability-versus-measurement-efficiency trade-off; any improvement will be reported only after experimental validation.</w:t>
      </w:r>
    </w:p>
    <w:p>
      <w:pPr>
        <w:pStyle w:val="Heading2"/>
        <w:keepNext/>
      </w:pPr>
      <w:r>
        <w:t>Proposed outcomes - not promises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5760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Research output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Evidence required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Temperature-aware ranking method</w:t>
            </w:r>
          </w:p>
        </w:tc>
        <w:tc>
          <w:tcPr>
            <w:tcW w:type="dxa" w:w="576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Explicit algorithm, reproducible code, train-only parameter selection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Comparison with existing baselines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Held-out metrics, ablations, uncertainty intervals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Path efficiency report</w:t>
            </w:r>
          </w:p>
        </w:tc>
        <w:tc>
          <w:tcPr>
            <w:tcW w:type="dxa" w:w="576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F1/recall/false-alarm rate against number of paths and unique sensors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Reliability module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Calibration plots, Brier score, risk–coverage trade-off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Digital engineering application</w:t>
            </w:r>
          </w:p>
        </w:tc>
        <w:tc>
          <w:tcPr>
            <w:tcW w:type="dxa" w:w="576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Live re-analysis of labeled public records and downloadable report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01  Academic context and course alignment</w:t>
      </w:r>
    </w:p>
    <w:p>
      <w:r>
        <w:t>The supplied syllabus identifies the open-elective course 21MEO101T, “Fundamentals of Composite Materials,” with learning outcomes covering composite constituents, laminate mechanics, composite processing, testing methods and advanced composite applications. Unit 4 explicitly covers non-destructive inspection using ultrasonics, and Unit 2 addresses laminate behavior and damage mechanisms. 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15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Relevance to WaveSense-CFRP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1 - Introduction</w:t>
            </w:r>
          </w:p>
        </w:tc>
        <w:tc>
          <w:tcPr>
            <w:tcW w:type="dxa" w:w="731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CFRP constituents, reinforcement architecture, matrix and interfaces.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2 - Mechanical analysis</w:t>
            </w:r>
          </w:p>
        </w:tc>
        <w:tc>
          <w:tcPr>
            <w:tcW w:type="dxa" w:w="7315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Anisotropic laminated response; damage-related changes in mechanical wave propagation.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3 - Composite processing</w:t>
            </w:r>
          </w:p>
        </w:tc>
        <w:tc>
          <w:tcPr>
            <w:tcW w:type="dxa" w:w="731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CFRP plate fabrication, laminate integrity and relevance of manufacturing quality.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4 - Performance / quality</w:t>
            </w:r>
          </w:p>
        </w:tc>
        <w:tc>
          <w:tcPr>
            <w:tcW w:type="dxa" w:w="7315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Direct connection to ultrasonic non-destructive testing and inspection methods.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5 - Advanced composites</w:t>
            </w:r>
          </w:p>
        </w:tc>
        <w:tc>
          <w:tcPr>
            <w:tcW w:type="dxa" w:w="731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Advanced fiber-reinforced materials and condition-monitoring applications.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02  Problem statement and research gap</w:t>
      </w:r>
    </w:p>
    <w:p>
      <w:r>
        <w:t>A conventional classifier trained on ultrasonic signals under one set of conditions may exploit differences that are unrelated to damage, including temperature and recording-session artifacts. Using every path raises data processing demands and may over-represent redundant information. Missing transducer recordings can also degrade a system that assumes a complete sensor network. Furthermore, a forced binary prediction is not appropriate when confidence is low or the observation is outside conditions learned from training data.</w:t>
      </w:r>
    </w:p>
    <w:p>
      <w:pPr>
        <w:pStyle w:val="Heading2"/>
        <w:keepNext/>
      </w:pPr>
      <w:r>
        <w:t>Existing work and defensible contribution</w:t>
      </w:r>
    </w:p>
    <w:p>
      <w:r>
        <w:t>The OGW Dataset #2 source paper already demonstrates temperature-sensitive signals and reports baseline-selection, PCA/ICA and adaptive-reference approaches. Related literature includes temperature-compensation research and uncertainty assessment for guided-wave diagnosis. Therefore, none of “ML detection,” “temperature compensation,” “sensor selection,” or “uncertainty” is individually claimed as a first-time invention. [R1, R3, R4]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91"/>
      </w:tblGrid>
      <w:tr>
        <w:tc>
          <w:tcPr>
            <w:tcW w:type="dxa" w:w="9591"/>
            <w:shd w:fill="EAF5F5"/>
          </w:tcPr>
          <w:p>
            <w:pPr>
              <w:spacing w:after="60"/>
            </w:pPr>
            <w:r>
              <w:rPr>
                <w:color w:val="15273B"/>
                <w:sz w:val="18"/>
              </w:rPr>
              <w:t>CLAIM OF NOVELTY: A project-specific, independently implemented and ablated combination of temperature-stability-aware path ranking, sensor-failure stress testing and abstention-calibrated classification. Its incremental research value must be established by comparison, not assumed.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Research questions</w:t>
      </w:r>
    </w:p>
    <w:p>
      <w:pPr>
        <w:pStyle w:val="ListNumber"/>
        <w:spacing w:after="60"/>
      </w:pPr>
      <w:r>
        <w:t>RQ1. Does temperature-stability-aware path selection outperform random and conventional path selection at the same measurement budget on held-out temperature conditions?</w:t>
      </w:r>
    </w:p>
    <w:p>
      <w:pPr>
        <w:pStyle w:val="ListNumber"/>
        <w:spacing w:after="60"/>
      </w:pPr>
      <w:r>
        <w:t>RQ2. How does performance change when selected recording paths or all measurements involving one transducer become unavailable?</w:t>
      </w:r>
    </w:p>
    <w:p>
      <w:pPr>
        <w:pStyle w:val="ListNumber"/>
        <w:spacing w:after="60"/>
      </w:pPr>
      <w:r>
        <w:t>RQ3. Does confidence calibration with an inconclusive option reduce error among issued decisions, and at what coverage cost?</w:t>
      </w:r>
    </w:p>
    <w:p>
      <w:pPr>
        <w:pStyle w:val="ListNumber"/>
        <w:spacing w:after="60"/>
      </w:pPr>
      <w:r>
        <w:t>RQ4. How well does the method generalize to a reference-damage location that was not used for model selection or training?</w:t>
      </w:r>
    </w:p>
    <w:p>
      <w:pPr>
        <w:pStyle w:val="Heading2"/>
        <w:keepNext/>
      </w:pPr>
      <w:r>
        <w:t>Working hypotheses</w:t>
      </w:r>
    </w:p>
    <w:p>
      <w:r>
        <w:t>H1: The proposed path ranking will improve the detection-versus-path-budget trade-off under selected held-out temperatures. H2: Robust training or path substitution will reduce degradation under simulated missing measurements. H3: An abstention threshold chosen solely on validation data will reduce error among accepted predictions while reducing coverage. These are testable hypotheses, not claimed results.</w:t>
      </w:r>
    </w:p>
    <w:p>
      <w:pPr>
        <w:pStyle w:val="Heading1"/>
        <w:keepNext/>
      </w:pPr>
      <w:r>
        <w:t>03  Technical background</w:t>
      </w:r>
    </w:p>
    <w:p>
      <w:r>
        <w:t>Ultrasonic guided waves propagate within the boundaries of thin plate-like structures. In layered CFRP, the behavior is influenced by laminate architecture, anisotropy, frequency, temperature and geometry. A transmitter launches a tone burst; receivers observe complex waveforms containing multiple arrivals, scattered components and reflections. Damage proxies can alter amplitude, phase and time-of-flight, but temperature can change these quantities without any defect. [R1]</w:t>
      </w:r>
    </w:p>
    <w:p>
      <w:r>
        <w:drawing>
          <wp:inline xmlns:a="http://schemas.openxmlformats.org/drawingml/2006/main" xmlns:pic="http://schemas.openxmlformats.org/drawingml/2006/picture">
            <wp:extent cx="5943600" cy="2898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schemat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Conceptual sensor-path subset on a plate. This is a schematic created for the proposal; it does not reproduce the publisher’s transducer coordinates.</w:t>
      </w:r>
    </w:p>
    <w:p>
      <w:pPr>
        <w:pStyle w:val="Heading2"/>
        <w:keepNext/>
      </w:pPr>
      <w:r>
        <w:t>Interpretation rules</w:t>
      </w:r>
    </w:p>
    <w:p>
      <w:pPr>
        <w:pStyle w:val="ListBullet"/>
        <w:spacing w:after="40"/>
      </w:pPr>
      <w:r>
        <w:t>A detected signature is evidence of a changed guided-wave response under the modeled conditions, not proof of a specific internal failure mechanism.</w:t>
      </w:r>
    </w:p>
    <w:p>
      <w:pPr>
        <w:pStyle w:val="ListBullet"/>
        <w:spacing w:after="40"/>
      </w:pPr>
      <w:r>
        <w:t>The OGW reference damage consists of a surface-mounted aluminum disc attached using tacky tape. It is reversible and must not be described as an experimentally confirmed internal delamination. [R1]</w:t>
      </w:r>
    </w:p>
    <w:p>
      <w:pPr>
        <w:pStyle w:val="ListBullet"/>
        <w:spacing w:after="40"/>
      </w:pPr>
      <w:r>
        <w:t>A model validated on one specimen and controlled reference defects cannot be asserted to work on arbitrary real-world CFRP structures.</w:t>
      </w:r>
    </w:p>
    <w:p>
      <w:pPr>
        <w:pStyle w:val="Heading1"/>
        <w:keepNext/>
      </w:pPr>
      <w:r>
        <w:t>04  Dataset provenance and access</w:t>
      </w:r>
    </w:p>
    <w:p>
      <w:pPr>
        <w:pStyle w:val="Heading2"/>
        <w:keepNext/>
      </w:pPr>
      <w:r>
        <w:t>Primary dataset: Open Guided Waves (OGW) Dataset #2</w:t>
      </w:r>
    </w:p>
    <w:p>
      <w:r>
        <w:t>Source: Moll, Kexel, Pötzsch, Rennoch and Herrmann, Scientific Data 6, 191 (2019), “Temperature affected guided wave propagation in a composite plate complementing the Open Guided Waves Platform.” DOI: 10.1038/s41597-019-0208-1. Archive collection DOI: 10.6084/m9.figshare.c.4488089.v1. The official OGW site links to the publisher-hosted files. [R1, D1]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869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Published property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Specimen</w:t>
            </w:r>
          </w:p>
        </w:tc>
        <w:tc>
          <w:tcPr>
            <w:tcW w:type="dxa" w:w="68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Quasi-isotropic HexPly CFRP laminate; 500 x 500 mm; 2 mm thick.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Laminate layup</w:t>
            </w:r>
          </w:p>
        </w:tc>
        <w:tc>
          <w:tcPr>
            <w:tcW w:type="dxa" w:w="6869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[45/0/-45/90/-45/0/45/90]s, as reported by data authors.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Transducers</w:t>
            </w:r>
          </w:p>
        </w:tc>
        <w:tc>
          <w:tcPr>
            <w:tcW w:type="dxa" w:w="68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12 integrated piezoelectric discs; round-robin transmitter–receiver measurements.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Excitation</w:t>
            </w:r>
          </w:p>
        </w:tc>
        <w:tc>
          <w:tcPr>
            <w:tcW w:type="dxa" w:w="6869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5-cycle Hann-windowed tone burst; 40–260 kHz at 20 kHz intervals.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Temperature</w:t>
            </w:r>
          </w:p>
        </w:tc>
        <w:tc>
          <w:tcPr>
            <w:tcW w:type="dxa" w:w="68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20–60 degrees C; 0.5-degree increments during controlled chamber cycles.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Healthy/reference states</w:t>
            </w:r>
          </w:p>
        </w:tc>
        <w:tc>
          <w:tcPr>
            <w:tcW w:type="dxa" w:w="6869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Two intact temperature cycles; one cycle for each of four disc positions.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Damage positions</w:t>
            </w:r>
          </w:p>
        </w:tc>
        <w:tc>
          <w:tcPr>
            <w:tcW w:type="dxa" w:w="68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D04, D12, D16, D24; removable surface-mounted aluminum-disc proxy.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Raw data</w:t>
            </w:r>
          </w:p>
        </w:tc>
        <w:tc>
          <w:tcPr>
            <w:tcW w:type="dxa" w:w="6869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HDF5 (.h5) inside timestamped folders; filenames identify carrier frequency.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Research use</w:t>
            </w:r>
          </w:p>
        </w:tc>
        <w:tc>
          <w:tcPr>
            <w:tcW w:type="dxa" w:w="68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Re-analysis and algorithm comparison with attribution to data creators.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91"/>
      </w:tblGrid>
      <w:tr>
        <w:tc>
          <w:tcPr>
            <w:tcW w:type="dxa" w:w="9591"/>
            <w:shd w:fill="EAF5F5"/>
          </w:tcPr>
          <w:p>
            <w:pPr>
              <w:spacing w:after="60"/>
            </w:pPr>
            <w:r>
              <w:rPr>
                <w:color w:val="15273B"/>
                <w:sz w:val="18"/>
              </w:rPr>
              <w:t>CRITICAL DATA LIMITATION: Each damaged configuration belongs to a separate recorded cycle, and there is one principal specimen. Condition, temperature trajectory, day/cycle and location may be partially confounded. Treat record-level random splits as invalid evidence of real-world generalization.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Five published folder categories</w:t>
      </w:r>
    </w:p>
    <w:p>
      <w:pPr>
        <w:pStyle w:val="ListBullet"/>
      </w:pPr>
      <w:r>
        <w:t>OGW_CFRP_Temperature_udam - intact baseline</w:t>
      </w:r>
    </w:p>
    <w:p>
      <w:pPr>
        <w:pStyle w:val="ListBullet"/>
      </w:pPr>
      <w:r>
        <w:t>OGW_CFRP_Temperature_dam_D04 - proxy at D04</w:t>
      </w:r>
    </w:p>
    <w:p>
      <w:pPr>
        <w:pStyle w:val="ListBullet"/>
      </w:pPr>
      <w:r>
        <w:t>OGW_CFRP_Temperature_dam_D12 - proxy at D12</w:t>
      </w:r>
    </w:p>
    <w:p>
      <w:pPr>
        <w:pStyle w:val="ListBullet"/>
      </w:pPr>
      <w:r>
        <w:t>OGW_CFRP_Temperature_dam_D16 - proxy at D16</w:t>
      </w:r>
    </w:p>
    <w:p>
      <w:pPr>
        <w:pStyle w:val="ListBullet"/>
      </w:pPr>
      <w:r>
        <w:t>OGW_CFRP_Temperature_dam_D24 - proxy at D24</w:t>
      </w:r>
    </w:p>
    <w:p>
      <w:pPr>
        <w:pStyle w:val="Heading2"/>
        <w:keepNext/>
      </w:pPr>
      <w:r>
        <w:t>Secondary sources and use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1656"/>
      </w:tblGrid>
      <w:tr>
        <w:trPr>
          <w:cantSplit/>
          <w:tblHeader/>
        </w:trPr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Appropriate use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OGW Dataset #1</w:t>
            </w:r>
          </w:p>
        </w:tc>
        <w:tc>
          <w:tcPr>
            <w:tcW w:type="dxa" w:w="511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Additional constant-temperature / artificial-reference-damage analysis.</w:t>
            </w:r>
          </w:p>
        </w:tc>
        <w:tc>
          <w:tcPr>
            <w:tcW w:type="dxa" w:w="165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Optional transfer check; do not pool naively.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NASA CFRP composites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Different fatigue and sensor experiment; possible later research extension.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Out of primary course scope.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Other experimental delamination benchmarks</w:t>
            </w:r>
          </w:p>
        </w:tc>
        <w:tc>
          <w:tcPr>
            <w:tcW w:type="dxa" w:w="511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Test whether methods transfer to real/internal-like damage.</w:t>
            </w:r>
          </w:p>
        </w:tc>
        <w:tc>
          <w:tcPr>
            <w:tcW w:type="dxa" w:w="165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Requires separate domain and label audit.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Dataset access checklist before modeling</w:t>
      </w:r>
    </w:p>
    <w:p>
      <w:pPr>
        <w:pStyle w:val="ListNumber"/>
        <w:spacing w:after="60"/>
      </w:pPr>
      <w:r>
        <w:t>Retrieve the official dataset catalogue and source article; store DOI, version, download date and file checksums.</w:t>
      </w:r>
    </w:p>
    <w:p>
      <w:pPr>
        <w:pStyle w:val="ListNumber"/>
        <w:spacing w:after="60"/>
      </w:pPr>
      <w:r>
        <w:t>Download a manageable subset and verify file readability, time axis, sampling rate, frequency tags and 12-channel relationships.</w:t>
      </w:r>
    </w:p>
    <w:p>
      <w:pPr>
        <w:pStyle w:val="ListNumber"/>
        <w:spacing w:after="60"/>
      </w:pPr>
      <w:r>
        <w:t>Count unique acquisitions, temperature-cycle identifiers, source files, transmitters, receivers and class labels.</w:t>
      </w:r>
    </w:p>
    <w:p>
      <w:pPr>
        <w:pStyle w:val="ListNumber"/>
        <w:spacing w:after="60"/>
      </w:pPr>
      <w:r>
        <w:t>Measure storage/memory requirements locally before deciding whether to use all frequencies and sensor paths.</w:t>
      </w:r>
    </w:p>
    <w:p>
      <w:pPr>
        <w:pStyle w:val="ListNumber"/>
        <w:spacing w:after="60"/>
      </w:pPr>
      <w:r>
        <w:t>Freeze the metadata manifest and split protocol before any supervised feature ranking.</w:t>
      </w:r>
    </w:p>
    <w:p>
      <w:pPr>
        <w:pStyle w:val="Heading1"/>
        <w:keepNext/>
      </w:pPr>
      <w:r>
        <w:t>05  Proposed data model and signal preprocessing</w:t>
      </w:r>
    </w:p>
    <w:p>
      <w:pPr>
        <w:pStyle w:val="Heading2"/>
        <w:keepNext/>
      </w:pPr>
      <w:r>
        <w:t>One canonical acquisition record</w:t>
      </w:r>
    </w:p>
    <w:p>
      <w:r>
        <w:t>Each analysis unit will be linked to a complete measurement acquisition rather than treating each waveform from that acquisition as an independent statistical observation. Proposed metadata keys are listed below; exact native HDF5 fields will be reconciled after inspection.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6034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28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source_file / source_hash</w:t>
            </w:r>
          </w:p>
        </w:tc>
        <w:tc>
          <w:tcPr>
            <w:tcW w:type="dxa" w:w="603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Reproducible provenance and integrity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condition / damage_position</w:t>
            </w:r>
          </w:p>
        </w:tc>
        <w:tc>
          <w:tcPr>
            <w:tcW w:type="dxa" w:w="6034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Intact or D04/D12/D16/D24 reference-damage label</w:t>
            </w:r>
          </w:p>
        </w:tc>
      </w:tr>
      <w:tr>
        <w:trPr>
          <w:cantSplit/>
        </w:trPr>
        <w:tc>
          <w:tcPr>
            <w:tcW w:type="dxa" w:w="328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temperature_C / cycle_id / timestamp</w:t>
            </w:r>
          </w:p>
        </w:tc>
        <w:tc>
          <w:tcPr>
            <w:tcW w:type="dxa" w:w="603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Environmental condition and leakage control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frequency_kHz / transmitter / receiver</w:t>
            </w:r>
          </w:p>
        </w:tc>
        <w:tc>
          <w:tcPr>
            <w:tcW w:type="dxa" w:w="6034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Frequency-specific measurement path ID</w:t>
            </w:r>
          </w:p>
        </w:tc>
      </w:tr>
      <w:tr>
        <w:trPr>
          <w:cantSplit/>
        </w:trPr>
        <w:tc>
          <w:tcPr>
            <w:tcW w:type="dxa" w:w="328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sampling_interval / waveform</w:t>
            </w:r>
          </w:p>
        </w:tc>
        <w:tc>
          <w:tcPr>
            <w:tcW w:type="dxa" w:w="603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Time-base interpretation and raw signal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acquisition_group</w:t>
            </w:r>
          </w:p>
        </w:tc>
        <w:tc>
          <w:tcPr>
            <w:tcW w:type="dxa" w:w="6034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Split identifier linking correlated recordings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Preprocessing workflow</w:t>
      </w:r>
    </w:p>
    <w:p>
      <w:pPr>
        <w:pStyle w:val="ListNumber"/>
        <w:spacing w:after="60"/>
      </w:pPr>
      <w:r>
        <w:t>Ingest HDF5 data using h5py, validate metadata, and preserve read-only raw signals.</w:t>
      </w:r>
    </w:p>
    <w:p>
      <w:pPr>
        <w:pStyle w:val="ListNumber"/>
        <w:spacing w:after="60"/>
      </w:pPr>
      <w:r>
        <w:t>Remove malformed traces; verify finite sample values, channel lengths and monotonic time axes.</w:t>
      </w:r>
    </w:p>
    <w:p>
      <w:pPr>
        <w:pStyle w:val="ListNumber"/>
        <w:spacing w:after="60"/>
      </w:pPr>
      <w:r>
        <w:t>Remove or separately model the excitation/crosstalk region using a pre-declared physically justified time window.</w:t>
      </w:r>
    </w:p>
    <w:p>
      <w:pPr>
        <w:pStyle w:val="ListNumber"/>
        <w:spacing w:after="60"/>
      </w:pPr>
      <w:r>
        <w:t>Apply frequency-aware filtering and trace normalization using training-only parameters; examine effect of filtering by ablation.</w:t>
      </w:r>
    </w:p>
    <w:p>
      <w:pPr>
        <w:pStyle w:val="ListNumber"/>
        <w:spacing w:after="60"/>
      </w:pPr>
      <w:r>
        <w:t>Align signals and choose healthy references only from approved training/calibration pools, never by looking up an unknown test label.</w:t>
      </w:r>
    </w:p>
    <w:p>
      <w:pPr>
        <w:pStyle w:val="ListNumber"/>
        <w:spacing w:after="60"/>
      </w:pPr>
      <w:r>
        <w:t>Extract time-, frequency- and time-frequency-domain features; cache them with the preprocessing settings and software version.</w:t>
      </w:r>
    </w:p>
    <w:p>
      <w:pPr>
        <w:pStyle w:val="Heading2"/>
        <w:keepNext/>
      </w:pPr>
      <w:r>
        <w:t>Candidate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085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Feature examples / interpretation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Time domain</w:t>
            </w:r>
          </w:p>
        </w:tc>
        <w:tc>
          <w:tcPr>
            <w:tcW w:type="dxa" w:w="708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RMS, peak amplitude, energy, envelope, crest factor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Similarity</w:t>
            </w:r>
          </w:p>
        </w:tc>
        <w:tc>
          <w:tcPr>
            <w:tcW w:type="dxa" w:w="7085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Normalized cross-correlation, residual energy, relative baseline change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Timing</w:t>
            </w:r>
          </w:p>
        </w:tc>
        <w:tc>
          <w:tcPr>
            <w:tcW w:type="dxa" w:w="708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Time-of-flight lag, peak arrival shift after alignment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Frequency</w:t>
            </w:r>
          </w:p>
        </w:tc>
        <w:tc>
          <w:tcPr>
            <w:tcW w:type="dxa" w:w="7085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FFT-band energy, centroid, spectral change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Time-frequency</w:t>
            </w:r>
          </w:p>
        </w:tc>
        <w:tc>
          <w:tcPr>
            <w:tcW w:type="dxa" w:w="708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Wavelet-energy descriptors where computationally justified</w:t>
            </w:r>
          </w:p>
        </w:tc>
      </w:tr>
    </w:tbl>
    <w:p>
      <w:pPr>
        <w:spacing w:after="20"/>
      </w:pPr>
    </w:p>
    <w:p>
      <w:r>
        <w:t>A preliminary path-specific residual-energy index can be written as DI = ||x_test - x_ref||_2 / (||x_ref||_2 + epsilon). The operation presumes compatible scaling and time alignment. It is a change indicator, not a direct estimate of crack size or severity.</w:t>
      </w:r>
    </w:p>
    <w:p>
      <w:pPr>
        <w:pStyle w:val="Heading1"/>
        <w:keepNext/>
      </w:pPr>
      <w:r>
        <w:t>06  Proposed novelty algorithm: TASP</w:t>
      </w:r>
    </w:p>
    <w:p>
      <w:pPr>
        <w:pStyle w:val="Heading2"/>
        <w:keepNext/>
      </w:pPr>
      <w:r>
        <w:t>Temperature-Aware Sensor-Path Prioritization (TASP)</w:t>
      </w:r>
    </w:p>
    <w:p>
      <w:r>
        <w:t>We propose a transparent, train-derived path-and-frequency ranking score. For each candidate path p and frequency f, D(p,f) quantifies reference-damage discriminability using training-only labels. V(p,f) quantifies variability of the corresponding healthy features across training temperatures. An exploratory score 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91"/>
      </w:tblGrid>
      <w:tr>
        <w:tc>
          <w:tcPr>
            <w:tcW w:type="dxa" w:w="9591"/>
            <w:shd w:fill="EAF5F5"/>
          </w:tcPr>
          <w:p>
            <w:pPr>
              <w:spacing w:after="60"/>
            </w:pPr>
            <w:r>
              <w:rPr>
                <w:color w:val="15273B"/>
                <w:sz w:val="18"/>
              </w:rPr>
              <w:t>Q(p,f) = D(p,f) / [V(p,f) + epsilon].  Final ranking will also consider path redundancy, path reliability and possibly the number of unique transducers required.</w:t>
            </w:r>
          </w:p>
        </w:tc>
      </w:tr>
    </w:tbl>
    <w:p>
      <w:pPr>
        <w:spacing w:after="0"/>
      </w:pPr>
    </w:p>
    <w:p>
      <w:r>
        <w:t>Possible definitions include a robust median-separation effect size for D and a temperature-conditioned median absolute deviation for V. Because the ratio can reward unstable low-variance estimates, all components will be normalized, uncertainty-checked, and ablated; simple alternatives (e.g. additive weighted ranking) will be tested.</w:t>
      </w:r>
    </w:p>
    <w:p>
      <w:pPr>
        <w:pStyle w:val="Heading2"/>
        <w:keepNext/>
      </w:pPr>
      <w:r>
        <w:t>Greedy constrained selection</w:t>
      </w:r>
    </w:p>
    <w:p>
      <w:pPr>
        <w:pStyle w:val="ListNumber"/>
        <w:spacing w:after="60"/>
      </w:pPr>
      <w:r>
        <w:t>Compute candidate features and path rankings using training acquisitions only.</w:t>
      </w:r>
    </w:p>
    <w:p>
      <w:pPr>
        <w:pStyle w:val="ListNumber"/>
        <w:spacing w:after="60"/>
      </w:pPr>
      <w:r>
        <w:t>Select the highest-scoring candidate and penalize redundant correlation with already selected paths.</w:t>
      </w:r>
    </w:p>
    <w:p>
      <w:pPr>
        <w:pStyle w:val="ListNumber"/>
        <w:spacing w:after="60"/>
      </w:pPr>
      <w:r>
        <w:t>Repeat until the chosen path budget K or unique-transducer budget is reached.</w:t>
      </w:r>
    </w:p>
    <w:p>
      <w:pPr>
        <w:pStyle w:val="ListNumber"/>
        <w:spacing w:after="60"/>
      </w:pPr>
      <w:r>
        <w:t>Use a nested validation scheme to tune K, weighting coefficients, and model hyperparameters.</w:t>
      </w:r>
    </w:p>
    <w:p>
      <w:pPr>
        <w:pStyle w:val="ListNumber"/>
        <w:spacing w:after="60"/>
      </w:pPr>
      <w:r>
        <w:t>Freeze the selected path list before evaluating each held-out fold; rebuild from scratch for the next fold.</w:t>
      </w:r>
    </w:p>
    <w:p>
      <w:pPr>
        <w:pStyle w:val="Heading2"/>
        <w:keepNext/>
      </w:pPr>
      <w:r>
        <w:t>Mandatory comparisons (to establish incremental value)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5760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All paths, fixed features</w:t>
            </w:r>
          </w:p>
        </w:tc>
        <w:tc>
          <w:tcPr>
            <w:tcW w:type="dxa" w:w="576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Upper-resource reference; may not be best under shift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Random K paths (many seeds)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Checks improvement beyond path-number reduction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Damage-only discriminability</w:t>
            </w:r>
          </w:p>
        </w:tc>
        <w:tc>
          <w:tcPr>
            <w:tcW w:type="dxa" w:w="576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Tests contribution of thermal stability term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Thermal-stability-only ranking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Tests whether stability alone is sufficient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Conventional feature selection</w:t>
            </w:r>
          </w:p>
        </w:tc>
        <w:tc>
          <w:tcPr>
            <w:tcW w:type="dxa" w:w="576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Compare to e.g. mutual information / RFE, if time permits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TASP without redundancy penalty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Ablates non-redundancy term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91"/>
      </w:tblGrid>
      <w:tr>
        <w:tc>
          <w:tcPr>
            <w:tcW w:type="dxa" w:w="9591"/>
            <w:shd w:fill="EAF5F5"/>
          </w:tcPr>
          <w:p>
            <w:pPr>
              <w:spacing w:after="60"/>
            </w:pPr>
            <w:r>
              <w:rPr>
                <w:color w:val="15273B"/>
                <w:sz w:val="18"/>
              </w:rPr>
              <w:t>The TASP name is an internal project label, not a claim that the mathematical idea is unprecedented. Publication-level novelty requires a deeper prior-art search and experimental superiority.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07  Missing-measurement and sensor-failure robustness</w:t>
      </w:r>
    </w:p>
    <w:p>
      <w:r>
        <w:t>Two levels of simulated failure will be evaluated on recorded data. (A) Path dropout removes random or strategically selected path/frequency records. (B) Transducer outage removes every path where a selected transducer acts as transmitter or receiver. This distinction is essential: fewer paths do not necessarily mean fewer physical sensors.</w:t>
      </w:r>
    </w:p>
    <w:p>
      <w:pPr>
        <w:pStyle w:val="Heading2"/>
        <w:keepNext/>
      </w:pPr>
      <w:r>
        <w:t>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3240"/>
      </w:tblGrid>
      <w:tr>
        <w:trPr>
          <w:cantSplit/>
          <w:tblHeader/>
        </w:trPr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Question answered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Random path loss</w:t>
            </w:r>
          </w:p>
        </w:tc>
        <w:tc>
          <w:tcPr>
            <w:tcW w:type="dxa" w:w="367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Mask 10%, 25%, 50% of selected paths</w:t>
            </w:r>
          </w:p>
        </w:tc>
        <w:tc>
          <w:tcPr>
            <w:tcW w:type="dxa" w:w="324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Graceful degradation under sporadic missing records?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Single-sensor outage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Remove all paths involving one transducer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Tolerance to one unavailable physical transducer?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Worst-case path loss</w:t>
            </w:r>
          </w:p>
        </w:tc>
        <w:tc>
          <w:tcPr>
            <w:tcW w:type="dxa" w:w="367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Remove top-ranked paths first</w:t>
            </w:r>
          </w:p>
        </w:tc>
        <w:tc>
          <w:tcPr>
            <w:tcW w:type="dxa" w:w="324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Dependence on narrow critical paths?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Train-time path masking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Apply masks only inside training partitions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Does mask-aware training improve fault tolerance?</w:t>
            </w:r>
          </w:p>
        </w:tc>
      </w:tr>
    </w:tbl>
    <w:p>
      <w:pPr>
        <w:spacing w:after="20"/>
      </w:pPr>
    </w:p>
    <w:p>
      <w:r>
        <w:t>Missing paths will be represented explicitly as unavailable rather than silently replaced with fabricated healthy measurements. Strategies may include mask features, aggregate statistics over available paths, and a fallback selector that uses pre-ranked substitutes. All substitutes are chosen without access to test labels.</w:t>
      </w:r>
    </w:p>
    <w:p>
      <w:pPr>
        <w:pStyle w:val="Heading1"/>
        <w:keepNext/>
      </w:pPr>
      <w:r>
        <w:t>08  Reliability-aware decision logic</w:t>
      </w:r>
    </w:p>
    <w:p>
      <w:pPr>
        <w:pStyle w:val="Heading2"/>
        <w:keepNext/>
      </w:pPr>
      <w:r>
        <w:t>Baseline model family</w:t>
      </w:r>
    </w:p>
    <w:p>
      <w:r>
        <w:t>The primary classifier will use interpretable features with Logistic Regression and Random Forest or SVM benchmarks. One-class healthy-reference anomaly detection may be included as a robustness baseline, particularly for unseen damage positions. Large neural networks are not required for the core project.</w:t>
      </w:r>
    </w:p>
    <w:p>
      <w:pPr>
        <w:pStyle w:val="Heading2"/>
        <w:keepNext/>
      </w:pPr>
      <w:r>
        <w:t>Calibration and selective prediction</w:t>
      </w:r>
    </w:p>
    <w:p>
      <w:r>
        <w:t>Classification probabilities will be checked using Brier score, reliability diagrams, and calibration error. If supported by adequate validation data, calibrated probabilities will be obtained using a reserved calibration fold. Thresholds for issuing an automatic decision will be fixed from calibration data only; uncertain outputs become Inconclusive, without using ground truth from the inspected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5904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Software output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 interpretation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No reference damage detected</w:t>
            </w:r>
          </w:p>
        </w:tc>
        <w:tc>
          <w:tcPr>
            <w:tcW w:type="dxa" w:w="590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Selected test signal is classified as healthy within validated domain.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Reference damage indicated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Signal resembles experimental reversible reference-damage conditions.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Inconclusive / review required</w:t>
            </w:r>
          </w:p>
        </w:tc>
        <w:tc>
          <w:tcPr>
            <w:tcW w:type="dxa" w:w="5904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Uncertainty, missing paths or out-of-domain conditions prevent a reliable decision.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Proposed guardrails</w:t>
      </w:r>
    </w:p>
    <w:p>
      <w:pPr>
        <w:pStyle w:val="ListBullet"/>
        <w:spacing w:after="40"/>
      </w:pPr>
      <w:r>
        <w:t>Display temperature, frequency, available path count, and test-domain coverage alongside the result.</w:t>
      </w:r>
    </w:p>
    <w:p>
      <w:pPr>
        <w:pStyle w:val="ListBullet"/>
        <w:spacing w:after="40"/>
      </w:pPr>
      <w:r>
        <w:t>Warn when the temperature is outside the validated range or when an unknown frequency/sensor ID is provided.</w:t>
      </w:r>
    </w:p>
    <w:p>
      <w:pPr>
        <w:pStyle w:val="ListBullet"/>
        <w:spacing w:after="40"/>
      </w:pPr>
      <w:r>
        <w:t>Do not equate an SVM probability or model confidence with physical certainty of damage.</w:t>
      </w:r>
    </w:p>
    <w:p>
      <w:pPr>
        <w:pStyle w:val="ListBullet"/>
        <w:spacing w:after="40"/>
      </w:pPr>
      <w:r>
        <w:t>Use selective risk-versus-coverage evaluation: a lower error rate is meaningful only with its accompanying abstention rate.</w:t>
      </w:r>
    </w:p>
    <w:p>
      <w:pPr>
        <w:pStyle w:val="Heading1"/>
        <w:keepNext/>
      </w:pPr>
      <w:r>
        <w:t>09  Evaluation protocol and reproducible experiments</w:t>
      </w:r>
    </w:p>
    <w:p>
      <w:pPr>
        <w:pStyle w:val="Heading2"/>
        <w:keepNext/>
      </w:pPr>
      <w:r>
        <w:t>Splitting policy and the confounding problem</w:t>
      </w:r>
    </w:p>
    <w:p>
      <w:r>
        <w:t>All paths and frequencies originating from one underlying acquisition must belong to the same partition. Consecutive temperatures within a recording cycle are correlated, so simply shuffling individual waveforms is prohibited. Temperature-band holdout (e.g. contiguous ranges) and cycle-conscious analysis are preferred. With only one damaged cycle per reference location, a strict across-cycle test may be inseparable from a change in damage position; the report will explicitly separate what is identifiable from what is confounded.</w:t>
      </w:r>
    </w:p>
    <w:p>
      <w:r>
        <w:t>Leave-one-damage-location-out analysis is planned only as a stress test: supervised ranking and classifier fitting must exclude that position entirely. Success in this setting cannot prove localization performance on actual delaminations or independent specimens.</w:t>
      </w:r>
    </w:p>
    <w:p>
      <w:pPr>
        <w:pStyle w:val="Heading2"/>
        <w:keepNext/>
      </w:pPr>
      <w:r>
        <w:t>Experiment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493"/>
        <w:gridCol w:w="4003"/>
      </w:tblGrid>
      <w:tr>
        <w:trPr>
          <w:cantSplit/>
          <w:tblHeader/>
        </w:trPr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Experiment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Primary output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E0</w:t>
            </w:r>
          </w:p>
        </w:tc>
        <w:tc>
          <w:tcPr>
            <w:tcW w:type="dxa" w:w="449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Manifest, provenance and class-balance audit</w:t>
            </w:r>
          </w:p>
        </w:tc>
        <w:tc>
          <w:tcPr>
            <w:tcW w:type="dxa" w:w="400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Data audit table; reproducible partitions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E1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All-path signal index and classical ML baselines</w:t>
            </w:r>
          </w:p>
        </w:tc>
        <w:tc>
          <w:tcPr>
            <w:tcW w:type="dxa" w:w="4003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F1, recall, false-alarm rate, ROC-AUC where valid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E2</w:t>
            </w:r>
          </w:p>
        </w:tc>
        <w:tc>
          <w:tcPr>
            <w:tcW w:type="dxa" w:w="449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Blocked temperature generalization</w:t>
            </w:r>
          </w:p>
        </w:tc>
        <w:tc>
          <w:tcPr>
            <w:tcW w:type="dxa" w:w="400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Performance vs. held-out temperature band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E3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TASP vs random / damage-only / stability-only</w:t>
            </w:r>
          </w:p>
        </w:tc>
        <w:tc>
          <w:tcPr>
            <w:tcW w:type="dxa" w:w="4003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Performance vs. number of paths and unique sensors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E4</w:t>
            </w:r>
          </w:p>
        </w:tc>
        <w:tc>
          <w:tcPr>
            <w:tcW w:type="dxa" w:w="449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Dropout and simulated single-sensor outage</w:t>
            </w:r>
          </w:p>
        </w:tc>
        <w:tc>
          <w:tcPr>
            <w:tcW w:type="dxa" w:w="400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Robustness curves and failure-case analysis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E5</w:t>
            </w:r>
          </w:p>
        </w:tc>
        <w:tc>
          <w:tcPr>
            <w:tcW w:type="dxa" w:w="4493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Calibration and abstention threshold</w:t>
            </w:r>
          </w:p>
        </w:tc>
        <w:tc>
          <w:tcPr>
            <w:tcW w:type="dxa" w:w="4003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Brier, calibration diagram, risk–coverage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E6</w:t>
            </w:r>
          </w:p>
        </w:tc>
        <w:tc>
          <w:tcPr>
            <w:tcW w:type="dxa" w:w="449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Leave-one-reference-damage-position-out</w:t>
            </w:r>
          </w:p>
        </w:tc>
        <w:tc>
          <w:tcPr>
            <w:tcW w:type="dxa" w:w="400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Exploratory transfer result; cautious interpretation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Reporting metrics</w:t>
      </w:r>
    </w:p>
    <w:p>
      <w:r>
        <w:t>Classification: balanced accuracy, macro F1, reference-damage recall, healthy false-positive rate, confusion matrices and ROC-AUC/PR-AUC where applicable. Calibration: Brier score, calibration curve and expected calibration error with justified binning. Sensor/path efficiency: number of selected paths, unique transducers, feature extraction time, model inference time. Reliability: selective risk, coverage and robustness degradation. Uncertainty: bootstrap confidence intervals resampled at the appropriate acquisition/cycle group level; dependence limitations will be disclosed.</w:t>
      </w:r>
    </w:p>
    <w:p>
      <w:pPr>
        <w:pStyle w:val="Heading2"/>
        <w:keepNext/>
      </w:pPr>
      <w:r>
        <w:t>What success looks like</w:t>
      </w:r>
    </w:p>
    <w:p>
      <w:r>
        <w:t>Mandatory project success means reproducing the experimental protocol, completing baseline comparisons, showing transparent plots and delivering a functional application even if TASP does not improve accuracy. A scientific improvement claim requires measured benefit on held-out groups at equal path/sensor budget with uncertainty and counterexamples reported. No numeric target or expected accuracy is fabricated at proposal stage.</w:t>
      </w:r>
    </w:p>
    <w:p>
      <w:pPr>
        <w:pStyle w:val="Heading1"/>
        <w:keepNext/>
      </w:pPr>
      <w:r>
        <w:t>10  System architecture and demonstration</w:t>
      </w:r>
    </w:p>
    <w:p>
      <w:r>
        <w:drawing>
          <wp:inline xmlns:a="http://schemas.openxmlformats.org/drawingml/2006/main" xmlns:pic="http://schemas.openxmlformats.org/drawingml/2006/picture">
            <wp:extent cx="6035040" cy="1787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8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Proposed software pipeline. All methods, comparisons and outcomes shown are planned; this is not a results figure.</w:t>
      </w:r>
    </w:p>
    <w:p>
      <w:pPr>
        <w:pStyle w:val="Heading2"/>
        <w:keepNext/>
      </w:pPr>
      <w:r>
        <w:t>Proposed software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739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Selection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Data loading</w:t>
            </w:r>
          </w:p>
        </w:tc>
        <w:tc>
          <w:tcPr>
            <w:tcW w:type="dxa" w:w="673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Python, h5py, NumPy, pandas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Signal processing</w:t>
            </w:r>
          </w:p>
        </w:tc>
        <w:tc>
          <w:tcPr>
            <w:tcW w:type="dxa" w:w="6739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SciPy (filters, FFT, cross-correlation), optional PyWavelets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Models and calibration</w:t>
            </w:r>
          </w:p>
        </w:tc>
        <w:tc>
          <w:tcPr>
            <w:tcW w:type="dxa" w:w="673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scikit-learn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Ranking and optimization</w:t>
            </w:r>
          </w:p>
        </w:tc>
        <w:tc>
          <w:tcPr>
            <w:tcW w:type="dxa" w:w="6739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NumPy / SciPy + reproducible custom TASP module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Visualization</w:t>
            </w:r>
          </w:p>
        </w:tc>
        <w:tc>
          <w:tcPr>
            <w:tcW w:type="dxa" w:w="673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Matplotlib / Plotly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User interface</w:t>
            </w:r>
          </w:p>
        </w:tc>
        <w:tc>
          <w:tcPr>
            <w:tcW w:type="dxa" w:w="6739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Streamlit running locally or via an available free-hosting option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Version control and testing</w:t>
            </w:r>
          </w:p>
        </w:tc>
        <w:tc>
          <w:tcPr>
            <w:tcW w:type="dxa" w:w="673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Git, pytest, configuration files, fixed random seeds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Dashboard modules</w:t>
      </w:r>
    </w:p>
    <w:p>
      <w:pPr>
        <w:pStyle w:val="ListBullet"/>
        <w:spacing w:after="40"/>
      </w:pPr>
      <w:r>
        <w:t>Dataset explorer: browse scenario, temperature, frequency, transmitter and receiver.</w:t>
      </w:r>
    </w:p>
    <w:p>
      <w:pPr>
        <w:pStyle w:val="ListBullet"/>
        <w:spacing w:after="40"/>
      </w:pPr>
      <w:r>
        <w:t>Signal diagnostics: healthy/reference waveform overlay, FFT, windowed residuals, damage-index plots.</w:t>
      </w:r>
    </w:p>
    <w:p>
      <w:pPr>
        <w:pStyle w:val="ListBullet"/>
        <w:spacing w:after="40"/>
      </w:pPr>
      <w:r>
        <w:t>Sensor efficiency: selected-path map, path-frequency score table and budget-performance plots.</w:t>
      </w:r>
    </w:p>
    <w:p>
      <w:pPr>
        <w:pStyle w:val="ListBullet"/>
        <w:spacing w:after="40"/>
      </w:pPr>
      <w:r>
        <w:t>Fault simulator: disable particular paths or an entire transducer, rerun diagnosis and track coverage.</w:t>
      </w:r>
    </w:p>
    <w:p>
      <w:pPr>
        <w:pStyle w:val="ListBullet"/>
        <w:spacing w:after="40"/>
      </w:pPr>
      <w:r>
        <w:t>Reliability tab: calibrated probability, confidence warning, reason for abstention and diagnostic report export.</w:t>
      </w:r>
    </w:p>
    <w:p>
      <w:pPr>
        <w:pStyle w:val="ListBullet"/>
        <w:spacing w:after="40"/>
      </w:pPr>
      <w:r>
        <w:t>Research tab: compare models using locked test partitions and display reproducibility metadata.</w:t>
      </w:r>
    </w:p>
    <w:p>
      <w:pPr>
        <w:pStyle w:val="Heading2"/>
        <w:keepNext/>
      </w:pPr>
      <w:r>
        <w:t>Sample faculty demonstration</w:t>
      </w:r>
    </w:p>
    <w:p>
      <w:pPr>
        <w:pStyle w:val="ListNumber"/>
        <w:spacing w:after="60"/>
      </w:pPr>
      <w:r>
        <w:t>Choose a held-out public acquisition and visualize its received guided-wave traces.</w:t>
      </w:r>
    </w:p>
    <w:p>
      <w:pPr>
        <w:pStyle w:val="ListNumber"/>
        <w:spacing w:after="60"/>
      </w:pPr>
      <w:r>
        <w:t>Compare ordinary all-path inference with a TASP-ranked reduced-path configuration.</w:t>
      </w:r>
    </w:p>
    <w:p>
      <w:pPr>
        <w:pStyle w:val="ListNumber"/>
        <w:spacing w:after="60"/>
      </w:pPr>
      <w:r>
        <w:t>Change the virtual availability of transducers and observe failure or abstention behavior.</w:t>
      </w:r>
    </w:p>
    <w:p>
      <w:pPr>
        <w:pStyle w:val="ListNumber"/>
        <w:spacing w:after="60"/>
      </w:pPr>
      <w:r>
        <w:t>Display the decision, calibration status and validation-domain notes.</w:t>
      </w:r>
    </w:p>
    <w:p>
      <w:pPr>
        <w:pStyle w:val="ListNumber"/>
        <w:spacing w:after="60"/>
      </w:pPr>
      <w:r>
        <w:t>Export an inspection-style PDF/CSV report with model and dataset provenance.</w:t>
      </w:r>
    </w:p>
    <w:p>
      <w:pPr>
        <w:pStyle w:val="Heading1"/>
        <w:keepNext/>
      </w:pPr>
      <w:r>
        <w:t>11  Work plan, milestones, and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4651"/>
        <w:gridCol w:w="3686"/>
      </w:tblGrid>
      <w:tr>
        <w:trPr>
          <w:cantSplit/>
          <w:tblHeader/>
        </w:trPr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Acceptance checkpoint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4651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Acquire/audit OGW #2; build HDF5 reader, metadata manifest and splits.</w:t>
            </w:r>
          </w:p>
        </w:tc>
        <w:tc>
          <w:tcPr>
            <w:tcW w:type="dxa" w:w="368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Integrity audit plus first valid waveform plots.</w:t>
            </w:r>
          </w:p>
        </w:tc>
      </w:tr>
      <w:tr>
        <w:trPr>
          <w:cantSplit/>
        </w:trPr>
        <w:tc>
          <w:tcPr>
            <w:tcW w:type="dxa" w:w="92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4651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DSP pipeline and baseline damage indices/classifiers.</w:t>
            </w:r>
          </w:p>
        </w:tc>
        <w:tc>
          <w:tcPr>
            <w:tcW w:type="dxa" w:w="3686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Reproducible baseline metrics without leakage.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4651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Implement TASP ranking and path-budget studies.</w:t>
            </w:r>
          </w:p>
        </w:tc>
        <w:tc>
          <w:tcPr>
            <w:tcW w:type="dxa" w:w="368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Ablations and budget plots on reserved validation.</w:t>
            </w:r>
          </w:p>
        </w:tc>
      </w:tr>
      <w:tr>
        <w:trPr>
          <w:cantSplit/>
        </w:trPr>
        <w:tc>
          <w:tcPr>
            <w:tcW w:type="dxa" w:w="92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4651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Develop path dropout, transducer outage and mask-aware strategies.</w:t>
            </w:r>
          </w:p>
        </w:tc>
        <w:tc>
          <w:tcPr>
            <w:tcW w:type="dxa" w:w="3686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Failure stress-test matrix and curves.</w:t>
            </w:r>
          </w:p>
        </w:tc>
      </w:tr>
      <w:tr>
        <w:trPr>
          <w:cantSplit/>
        </w:trPr>
        <w:tc>
          <w:tcPr>
            <w:tcW w:type="dxa" w:w="922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4651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Calibrate scores; selective prediction and grouped robustness tests.</w:t>
            </w:r>
          </w:p>
        </w:tc>
        <w:tc>
          <w:tcPr>
            <w:tcW w:type="dxa" w:w="3686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Calibration/risk–coverage and held-out evaluation.</w:t>
            </w:r>
          </w:p>
        </w:tc>
      </w:tr>
      <w:tr>
        <w:trPr>
          <w:cantSplit/>
        </w:trPr>
        <w:tc>
          <w:tcPr>
            <w:tcW w:type="dxa" w:w="922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4651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Build dashboard, interpret findings, package code and final report.</w:t>
            </w:r>
          </w:p>
        </w:tc>
        <w:tc>
          <w:tcPr>
            <w:tcW w:type="dxa" w:w="3686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Live reproducible demonstration and dossier-to-results traceability.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Baseline and stretch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1"/>
        <w:gridCol w:w="4608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Committed minimum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Conditional advanced extension</w:t>
            </w:r>
          </w:p>
        </w:tc>
      </w:tr>
      <w:tr>
        <w:trPr>
          <w:cantSplit/>
        </w:trPr>
        <w:tc>
          <w:tcPr>
            <w:tcW w:type="dxa" w:w="4651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Temperature-band evaluation, TASP ranking, path budgets, single-transducer dropout, selective prediction, Streamlit dashboard.</w:t>
            </w:r>
          </w:p>
        </w:tc>
        <w:tc>
          <w:tcPr>
            <w:tcW w:type="dxa" w:w="460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Leave-one-location-out tests, anomaly-detection benchmark, additional OGW dataset transfer, expanded uncertainty analyses.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Dependencies</w:t>
      </w:r>
    </w:p>
    <w:p>
      <w:r>
        <w:t>Existing laptop and stable internet for dataset download; Python 3.11+ environment; adequate local disk for a selected OGW subset (full archive size to be confirmed); no sensors, test chamber, composite sample, Arduino, DAQ, finite-element software license or paid cloud GPU required. A GPU is optional, not part of core scope.</w:t>
      </w:r>
    </w:p>
    <w:p>
      <w:pPr>
        <w:pStyle w:val="Heading1"/>
        <w:keepNext/>
      </w:pPr>
      <w:r>
        <w:t>12  Budget and feasibility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1901"/>
        <w:gridCol w:w="4075"/>
      </w:tblGrid>
      <w:tr>
        <w:trPr>
          <w:cantSplit/>
          <w:tblHeader/>
        </w:trPr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outlay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Original experimental data</w:t>
            </w:r>
          </w:p>
        </w:tc>
        <w:tc>
          <w:tcPr>
            <w:tcW w:type="dxa" w:w="1901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INR 0</w:t>
            </w:r>
          </w:p>
        </w:tc>
        <w:tc>
          <w:tcPr>
            <w:tcW w:type="dxa" w:w="407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Publicly accessible OGW dataset; download/connection costs not estimated.</w:t>
            </w:r>
          </w:p>
        </w:tc>
      </w:tr>
      <w:tr>
        <w:trPr>
          <w:cantSplit/>
        </w:trPr>
        <w:tc>
          <w:tcPr>
            <w:tcW w:type="dxa" w:w="3269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Python and numerical libraries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INR 0</w:t>
            </w:r>
          </w:p>
        </w:tc>
        <w:tc>
          <w:tcPr>
            <w:tcW w:type="dxa" w:w="4075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Open-source stack; verify package licenses before redistribution.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Sensors, specimen, laboratory equipment</w:t>
            </w:r>
          </w:p>
        </w:tc>
        <w:tc>
          <w:tcPr>
            <w:tcW w:type="dxa" w:w="1901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INR 0</w:t>
            </w:r>
          </w:p>
        </w:tc>
        <w:tc>
          <w:tcPr>
            <w:tcW w:type="dxa" w:w="407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Existing experimental records only.</w:t>
            </w:r>
          </w:p>
        </w:tc>
      </w:tr>
      <w:tr>
        <w:trPr>
          <w:cantSplit/>
        </w:trPr>
        <w:tc>
          <w:tcPr>
            <w:tcW w:type="dxa" w:w="3269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Computing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INR 0 incremental</w:t>
            </w:r>
          </w:p>
        </w:tc>
        <w:tc>
          <w:tcPr>
            <w:tcW w:type="dxa" w:w="4075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Assumes access to an existing capable laptop.</w:t>
            </w:r>
          </w:p>
        </w:tc>
      </w:tr>
      <w:tr>
        <w:trPr>
          <w:cantSplit/>
        </w:trPr>
        <w:tc>
          <w:tcPr>
            <w:tcW w:type="dxa" w:w="326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Report and demonstration software</w:t>
            </w:r>
          </w:p>
        </w:tc>
        <w:tc>
          <w:tcPr>
            <w:tcW w:type="dxa" w:w="1901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INR 0</w:t>
            </w:r>
          </w:p>
        </w:tc>
        <w:tc>
          <w:tcPr>
            <w:tcW w:type="dxa" w:w="407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Local Streamlit and standard office exports.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91"/>
      </w:tblGrid>
      <w:tr>
        <w:tc>
          <w:tcPr>
            <w:tcW w:type="dxa" w:w="9591"/>
            <w:shd w:fill="EAF5F5"/>
          </w:tcPr>
          <w:p>
            <w:pPr>
              <w:spacing w:after="60"/>
            </w:pPr>
            <w:r>
              <w:rPr>
                <w:color w:val="15273B"/>
                <w:sz w:val="18"/>
              </w:rPr>
              <w:t>Estimated direct project materials/software cost: INR 0 under existing-laptop and internet assumptions. Disk, data transfer, electricity and optional printing are not quantified.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  Risks, limitations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5688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Risk / limitation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Planned control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Large/complex HDF5 archive</w:t>
            </w:r>
          </w:p>
        </w:tc>
        <w:tc>
          <w:tcPr>
            <w:tcW w:type="dxa" w:w="568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Start with 1-2 frequencies; verify file schema and use chunked loading/caching.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Cycle/session confounding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Grouped acquisition splits, restricted conclusions, explicit experimental caveats.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Proxy defect is not delamination</w:t>
            </w:r>
          </w:p>
        </w:tc>
        <w:tc>
          <w:tcPr>
            <w:tcW w:type="dxa" w:w="568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Use “reference damage” in UI/report; no internal-delamination claims.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Insufficient independent data for calibration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Reserve calibration set, use simpler methods, show wide uncertainty; disable unsupported outputs.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Temperature-selection overfitting</w:t>
            </w:r>
          </w:p>
        </w:tc>
        <w:tc>
          <w:tcPr>
            <w:tcW w:type="dxa" w:w="568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Nested grouped validation; rank paths within training folds only.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Robustness under unseen conditions not established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Treat OOD alert as warning/diagnostic, not proof of robustness.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TASP fails to beat standard methods</w:t>
            </w:r>
          </w:p>
        </w:tc>
        <w:tc>
          <w:tcPr>
            <w:tcW w:type="dxa" w:w="568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Publish negative results, ablations and cost/error trade-offs; retain engineering contribution.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Overextended project scope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Lock baseline + core E0-E5; delay localization and extra datasets.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  Deliverables and faculty evaluation plan</w:t>
      </w:r>
    </w:p>
    <w:p>
      <w:pPr>
        <w:pStyle w:val="Heading2"/>
        <w:keepNext/>
      </w:pPr>
      <w:r>
        <w:t>Submission package</w:t>
      </w:r>
    </w:p>
    <w:p>
      <w:pPr>
        <w:pStyle w:val="ListNumber"/>
        <w:spacing w:after="60"/>
      </w:pPr>
      <w:r>
        <w:t>A version-controlled Python project with documented environment setup and preprocessing scripts.</w:t>
      </w:r>
    </w:p>
    <w:p>
      <w:pPr>
        <w:pStyle w:val="ListNumber"/>
        <w:spacing w:after="60"/>
      </w:pPr>
      <w:r>
        <w:t>Immutable dataset manifest and checksum list; no redistribution of raw files unless permitted.</w:t>
      </w:r>
    </w:p>
    <w:p>
      <w:pPr>
        <w:pStyle w:val="ListNumber"/>
        <w:spacing w:after="60"/>
      </w:pPr>
      <w:r>
        <w:t>Implementation of TASP ranking, conventional baselines, robustness simulation and confidence calibration.</w:t>
      </w:r>
    </w:p>
    <w:p>
      <w:pPr>
        <w:pStyle w:val="ListNumber"/>
        <w:spacing w:after="60"/>
      </w:pPr>
      <w:r>
        <w:t>Reproducible experiment configuration and separated train/validation/test acquisition-group IDs.</w:t>
      </w:r>
    </w:p>
    <w:p>
      <w:pPr>
        <w:pStyle w:val="ListNumber"/>
        <w:spacing w:after="60"/>
      </w:pPr>
      <w:r>
        <w:t>Interactive WaveSense-CFRP dashboard with inspect/compare/failure/calibration views.</w:t>
      </w:r>
    </w:p>
    <w:p>
      <w:pPr>
        <w:pStyle w:val="ListNumber"/>
        <w:spacing w:after="60"/>
      </w:pPr>
      <w:r>
        <w:t>Final report with tables, figures, all negative or positive results, limitations, acknowledgments and citations.</w:t>
      </w:r>
    </w:p>
    <w:p>
      <w:pPr>
        <w:pStyle w:val="ListNumber"/>
        <w:spacing w:after="60"/>
      </w:pPr>
      <w:r>
        <w:t>Faculty presentation with live demo and one-page experimental summary.</w:t>
      </w:r>
    </w:p>
    <w:p>
      <w:pPr>
        <w:pStyle w:val="Heading2"/>
        <w:keepNext/>
      </w:pPr>
      <w:r>
        <w:t>Faculty acceptance checklist</w:t>
      </w:r>
    </w:p>
    <w:p>
      <w:r>
        <w:t>☐  Research question and constraints approved</w:t>
      </w:r>
    </w:p>
    <w:p>
      <w:r>
        <w:t>☐  OGW Dataset #2 access/schema verified</w:t>
      </w:r>
    </w:p>
    <w:p>
      <w:r>
        <w:t>☐  No ground-truth leakage in any model-selection step</w:t>
      </w:r>
    </w:p>
    <w:p>
      <w:r>
        <w:t>☐  TASP compared against random and conventional ranking</w:t>
      </w:r>
    </w:p>
    <w:p>
      <w:r>
        <w:t>☐  Temperature band and transducer outage evaluated</w:t>
      </w:r>
    </w:p>
    <w:p>
      <w:r>
        <w:t>☐  Calibrated / inconclusive output documented</w:t>
      </w:r>
    </w:p>
    <w:p>
      <w:r>
        <w:t>☐  Results separated from proposed capabilities</w:t>
      </w:r>
    </w:p>
    <w:p>
      <w:r>
        <w:t>☐  Original data creators and prior art cited</w:t>
      </w:r>
    </w:p>
    <w:p>
      <w:pPr>
        <w:pStyle w:val="Heading2"/>
        <w:keepNext/>
      </w:pPr>
      <w:r>
        <w:t>Project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723"/>
      </w:tblGrid>
      <w:tr>
        <w:trPr>
          <w:cantSplit/>
          <w:tblHeader/>
        </w:trPr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Faculty guide</w:t>
            </w:r>
          </w:p>
        </w:tc>
        <w:tc>
          <w:tcPr>
            <w:tcW w:type="dxa" w:w="4795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Student / team representative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Name: __________________________</w:t>
            </w:r>
          </w:p>
        </w:tc>
        <w:tc>
          <w:tcPr>
            <w:tcW w:type="dxa" w:w="472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Name: __________________________</w:t>
            </w:r>
          </w:p>
        </w:tc>
      </w:tr>
      <w:tr>
        <w:trPr>
          <w:cantSplit/>
        </w:trPr>
        <w:tc>
          <w:tcPr>
            <w:tcW w:type="dxa" w:w="4579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Signature: _______________________</w:t>
            </w:r>
          </w:p>
        </w:tc>
        <w:tc>
          <w:tcPr>
            <w:tcW w:type="dxa" w:w="4723"/>
            <w:vAlign w:val="center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Signature: _______________________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Date: ___________________________</w:t>
            </w:r>
          </w:p>
        </w:tc>
        <w:tc>
          <w:tcPr>
            <w:tcW w:type="dxa" w:w="4723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6"/>
              </w:rPr>
              <w:t>Date: ___________________________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A  Implementation structure and reproducibility</w:t>
      </w:r>
    </w:p>
    <w:p>
      <w:r>
        <w:t>Recommended repository layout (adaptable after HDF5 schema inspection):</w:t>
      </w:r>
    </w:p>
    <w:p>
      <w:r>
        <w:t>•  data_manifest/ - provenance, checksums, split IDs and dataset notes</w:t>
      </w:r>
    </w:p>
    <w:p>
      <w:r>
        <w:t>•  src/io/ - HDF5 ingestion and group metadata validation</w:t>
      </w:r>
    </w:p>
    <w:p>
      <w:r>
        <w:t>•  src/dsp/ - filtering, baseline construction and engineered features</w:t>
      </w:r>
    </w:p>
    <w:p>
      <w:r>
        <w:t>•  src/tasp/ - train-only temperature-aware path ranking</w:t>
      </w:r>
    </w:p>
    <w:p>
      <w:r>
        <w:t>•  src/models/ - baselines, estimators, confidence calibration</w:t>
      </w:r>
    </w:p>
    <w:p>
      <w:r>
        <w:t>•  src/stress/ - path dropout, sensor-outage and blocked evaluation</w:t>
      </w:r>
    </w:p>
    <w:p>
      <w:r>
        <w:t>•  app/ - Streamlit visualization, classification and report view</w:t>
      </w:r>
    </w:p>
    <w:p>
      <w:r>
        <w:t>•  experiments/ - fixed YAML configurations, scripts and saved metrics</w:t>
      </w:r>
    </w:p>
    <w:p>
      <w:r>
        <w:t>•  tests/ - metadata, no-leakage and dropout behavior tests</w:t>
      </w:r>
    </w:p>
    <w:p>
      <w:pPr>
        <w:pStyle w:val="Heading2"/>
        <w:keepNext/>
      </w:pPr>
      <w:r>
        <w:t>Data-leakage prevention checklist</w:t>
      </w:r>
    </w:p>
    <w:p>
      <w:pPr>
        <w:pStyle w:val="ListBullet"/>
        <w:spacing w:after="40"/>
      </w:pPr>
      <w:r>
        <w:t>Group raw channels from the same acquisition before creating partitions.</w:t>
      </w:r>
    </w:p>
    <w:p>
      <w:pPr>
        <w:pStyle w:val="ListBullet"/>
        <w:spacing w:after="40"/>
      </w:pPr>
      <w:r>
        <w:t>Fit scalers, references, selected features and TASP scores using training data only.</w:t>
      </w:r>
    </w:p>
    <w:p>
      <w:pPr>
        <w:pStyle w:val="ListBullet"/>
        <w:spacing w:after="40"/>
      </w:pPr>
      <w:r>
        <w:t>Tune hyperparameters and abstention thresholds on validation/calibration data only.</w:t>
      </w:r>
    </w:p>
    <w:p>
      <w:pPr>
        <w:pStyle w:val="ListBullet"/>
        <w:spacing w:after="40"/>
      </w:pPr>
      <w:r>
        <w:t>Reserve final held-out groups until the pipeline and selection rules are frozen.</w:t>
      </w:r>
    </w:p>
    <w:p>
      <w:pPr>
        <w:pStyle w:val="ListBullet"/>
        <w:spacing w:after="40"/>
      </w:pPr>
      <w:r>
        <w:t>Log random seeds, code commits, software versions and exact dataset identifiers.</w:t>
      </w:r>
    </w:p>
    <w:p>
      <w:pPr>
        <w:pStyle w:val="ListBullet"/>
        <w:spacing w:after="40"/>
      </w:pPr>
      <w:r>
        <w:t>Use consistent counting unit (acquisitions/cycles vs waveforms) when reporting sample sizes.</w:t>
      </w:r>
    </w:p>
    <w:p>
      <w:pPr>
        <w:pStyle w:val="Heading1"/>
        <w:keepNext/>
      </w:pPr>
      <w:r>
        <w:t>Appendix B  Evidence inventory and dataset audit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8"/>
        <w:gridCol w:w="4565"/>
        <w:gridCol w:w="1267"/>
      </w:tblGrid>
      <w:tr>
        <w:trPr>
          <w:cantSplit/>
          <w:tblHeader/>
        </w:trPr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Evidence claim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Source / required check</w:t>
            </w:r>
          </w:p>
        </w:tc>
        <w:tc>
          <w:tcPr>
            <w:tcW w:type="dxa" w:w="3197"/>
            <w:shd w:fill="173A5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39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12 transducers; frequency and temperature specification</w:t>
            </w:r>
          </w:p>
        </w:tc>
        <w:tc>
          <w:tcPr>
            <w:tcW w:type="dxa" w:w="456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Scientific Data 2019, Methods</w:t>
            </w:r>
          </w:p>
        </w:tc>
        <w:tc>
          <w:tcPr>
            <w:tcW w:type="dxa" w:w="1267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Documented</w:t>
            </w:r>
          </w:p>
        </w:tc>
      </w:tr>
      <w:tr>
        <w:trPr>
          <w:cantSplit/>
        </w:trPr>
        <w:tc>
          <w:tcPr>
            <w:tcW w:type="dxa" w:w="339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Four reversible surface-disc positions</w:t>
            </w:r>
          </w:p>
        </w:tc>
        <w:tc>
          <w:tcPr>
            <w:tcW w:type="dxa" w:w="4565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Scientific Data 2019, Methods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Documented</w:t>
            </w:r>
          </w:p>
        </w:tc>
      </w:tr>
      <w:tr>
        <w:trPr>
          <w:cantSplit/>
        </w:trPr>
        <w:tc>
          <w:tcPr>
            <w:tcW w:type="dxa" w:w="339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Two healthy cycles; one damaged cycle per location</w:t>
            </w:r>
          </w:p>
        </w:tc>
        <w:tc>
          <w:tcPr>
            <w:tcW w:type="dxa" w:w="456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Scientific Data 2019, Data Records</w:t>
            </w:r>
          </w:p>
        </w:tc>
        <w:tc>
          <w:tcPr>
            <w:tcW w:type="dxa" w:w="1267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Documented</w:t>
            </w:r>
          </w:p>
        </w:tc>
      </w:tr>
      <w:tr>
        <w:trPr>
          <w:cantSplit/>
        </w:trPr>
        <w:tc>
          <w:tcPr>
            <w:tcW w:type="dxa" w:w="339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HDF5 fields and sampling-rate specifics</w:t>
            </w:r>
          </w:p>
        </w:tc>
        <w:tc>
          <w:tcPr>
            <w:tcW w:type="dxa" w:w="4565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Inspect downloaded native HDF5 files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Not yet audited</w:t>
            </w:r>
          </w:p>
        </w:tc>
      </w:tr>
      <w:tr>
        <w:trPr>
          <w:cantSplit/>
        </w:trPr>
        <w:tc>
          <w:tcPr>
            <w:tcW w:type="dxa" w:w="339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Per-class independent sample counts</w:t>
            </w:r>
          </w:p>
        </w:tc>
        <w:tc>
          <w:tcPr>
            <w:tcW w:type="dxa" w:w="456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Acquisition manifest and grouping</w:t>
            </w:r>
          </w:p>
        </w:tc>
        <w:tc>
          <w:tcPr>
            <w:tcW w:type="dxa" w:w="1267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Not yet audited</w:t>
            </w:r>
          </w:p>
        </w:tc>
      </w:tr>
      <w:tr>
        <w:trPr>
          <w:cantSplit/>
        </w:trPr>
        <w:tc>
          <w:tcPr>
            <w:tcW w:type="dxa" w:w="3398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Actual ML performance and robustness gain</w:t>
            </w:r>
          </w:p>
        </w:tc>
        <w:tc>
          <w:tcPr>
            <w:tcW w:type="dxa" w:w="4565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Run locked experiments E1–E6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Not measured</w:t>
            </w:r>
          </w:p>
        </w:tc>
      </w:tr>
      <w:tr>
        <w:trPr>
          <w:cantSplit/>
        </w:trPr>
        <w:tc>
          <w:tcPr>
            <w:tcW w:type="dxa" w:w="3398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Generalization beyond single laboratory specimen</w:t>
            </w:r>
          </w:p>
        </w:tc>
        <w:tc>
          <w:tcPr>
            <w:tcW w:type="dxa" w:w="4565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Independent-specimen datasets needed</w:t>
            </w:r>
          </w:p>
        </w:tc>
        <w:tc>
          <w:tcPr>
            <w:tcW w:type="dxa" w:w="1267"/>
            <w:vAlign w:val="center"/>
            <w:shd w:fill="F1F6F8"/>
          </w:tcPr>
          <w:p>
            <w:pPr>
              <w:spacing w:after="0" w:before="40" w:line="252" w:lineRule="auto"/>
            </w:pPr>
            <w:r>
              <w:rPr>
                <w:sz w:val="15"/>
              </w:rPr>
              <w:t>Not established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References and source record</w:t>
      </w:r>
    </w:p>
    <w:p>
      <w:pPr>
        <w:spacing w:after="100"/>
      </w:pPr>
      <w:r>
        <w:rPr>
          <w:sz w:val="17"/>
        </w:rPr>
        <w:t>[S1] SRMIST. Fundamentals of Composite Materials (21MEO101T), course syllabus, 2021 regulations, revised July 2024. User-supplied course PDF.</w:t>
      </w:r>
    </w:p>
    <w:p>
      <w:pPr>
        <w:spacing w:after="100"/>
      </w:pPr>
      <w:r>
        <w:rPr>
          <w:sz w:val="17"/>
        </w:rPr>
        <w:t>[R1] Moll, J., Kexel, C., Pötzsch, S., Rennoch, M., &amp; Herrmann, A. S. (2019). Temperature affected guided wave propagation in a composite plate complementing the Open Guided Waves Platform. Scientific Data, 6, 191.</w:t>
      </w:r>
      <w:r>
        <w:br/>
      </w:r>
      <w:hyperlink r:id="rId13">
        <w:r>
          <w:rPr>
            <w:color w:val="1379A2"/>
            <w:u w:val="single"/>
          </w:rPr>
          <w:t>https://doi.org/10.1038/s41597-019-0208-1</w:t>
        </w:r>
      </w:hyperlink>
    </w:p>
    <w:p>
      <w:pPr>
        <w:spacing w:after="100"/>
      </w:pPr>
      <w:r>
        <w:rPr>
          <w:sz w:val="17"/>
        </w:rPr>
        <w:t>[D1] Open Guided Waves, dataset #2, public download catalogue and source archive.</w:t>
      </w:r>
      <w:r>
        <w:br/>
      </w:r>
      <w:hyperlink r:id="rId14">
        <w:r>
          <w:rPr>
            <w:color w:val="1379A2"/>
            <w:u w:val="single"/>
          </w:rPr>
          <w:t>https://openguidedwaves.de/downloads/</w:t>
        </w:r>
      </w:hyperlink>
    </w:p>
    <w:p>
      <w:pPr>
        <w:spacing w:after="100"/>
      </w:pPr>
      <w:r>
        <w:rPr>
          <w:sz w:val="17"/>
        </w:rPr>
        <w:t>[D2] Moll et al. (2019), dataset collection on figshare.</w:t>
      </w:r>
      <w:r>
        <w:br/>
      </w:r>
      <w:hyperlink r:id="rId15">
        <w:r>
          <w:rPr>
            <w:color w:val="1379A2"/>
            <w:u w:val="single"/>
          </w:rPr>
          <w:t>https://doi.org/10.6084/m9.figshare.c.4488089.v1</w:t>
        </w:r>
      </w:hyperlink>
    </w:p>
    <w:p>
      <w:pPr>
        <w:spacing w:after="100"/>
      </w:pPr>
      <w:r>
        <w:rPr>
          <w:sz w:val="17"/>
        </w:rPr>
        <w:t>[R2] Moll, J., et al. (2019). Open Guided Waves - Online Platform for Ultrasonic Guided Wave Measurements. Structural Health Monitoring, 18(5-6), 1903-1914.</w:t>
      </w:r>
      <w:r>
        <w:br/>
      </w:r>
      <w:hyperlink r:id="rId16">
        <w:r>
          <w:rPr>
            <w:color w:val="1379A2"/>
            <w:u w:val="single"/>
          </w:rPr>
          <w:t>https://doi.org/10.1177/1475921718817169</w:t>
        </w:r>
      </w:hyperlink>
    </w:p>
    <w:p>
      <w:pPr>
        <w:spacing w:after="100"/>
      </w:pPr>
      <w:r>
        <w:rPr>
          <w:sz w:val="17"/>
        </w:rPr>
        <w:t>[R3] Croxford, A. J., Moll, J., Wilcox, P. D., &amp; Michaels, J. E. (2010). Efficient temperature compensation strategies for guided wave structural health monitoring. Ultrasonics, 50, 517-528.</w:t>
      </w:r>
      <w:r>
        <w:br/>
      </w:r>
      <w:hyperlink r:id="rId17">
        <w:r>
          <w:rPr>
            <w:color w:val="1379A2"/>
            <w:u w:val="single"/>
          </w:rPr>
          <w:t>https://doi.org/10.1016/j.ultras.2009.11.002</w:t>
        </w:r>
      </w:hyperlink>
    </w:p>
    <w:p>
      <w:pPr>
        <w:spacing w:after="100"/>
      </w:pPr>
      <w:r>
        <w:rPr>
          <w:sz w:val="17"/>
        </w:rPr>
        <w:t>[R4] Reliability assessment of guided wave damage localization with deep learning uncertainty quantification methods (2024). NDT &amp; E International, 144, 103099.</w:t>
      </w:r>
      <w:r>
        <w:br/>
      </w:r>
      <w:hyperlink r:id="rId18">
        <w:r>
          <w:rPr>
            <w:color w:val="1379A2"/>
            <w:u w:val="single"/>
          </w:rPr>
          <w:t>https://doi.org/10.1016/j.ndteint.2024.103099</w:t>
        </w:r>
      </w:hyperlink>
    </w:p>
    <w:p>
      <w:pPr>
        <w:spacing w:after="100"/>
      </w:pPr>
      <w:r>
        <w:rPr>
          <w:sz w:val="17"/>
        </w:rPr>
        <w:t>[R5] Unsupervised temperature-compensated damage localization method based on damage to baseline autoencoder and delay-based probabilistic imaging (2025). Mechanical Systems and Signal Processing, 230, 112649.</w:t>
      </w:r>
      <w:r>
        <w:br/>
      </w:r>
      <w:hyperlink r:id="rId19">
        <w:r>
          <w:rPr>
            <w:color w:val="1379A2"/>
            <w:u w:val="single"/>
          </w:rPr>
          <w:t>https://doi.org/10.1016/j.ymssp.2025.112649</w:t>
        </w:r>
      </w:hyperlink>
    </w:p>
    <w:p>
      <w:pPr>
        <w:spacing w:after="100"/>
      </w:pPr>
      <w:r>
        <w:rPr>
          <w:sz w:val="17"/>
        </w:rPr>
        <w:t>[D3] European Workshop on Structural Health Monitoring (2024), OGW Dataset #2 registry entry.</w:t>
      </w:r>
      <w:r>
        <w:br/>
      </w:r>
      <w:hyperlink r:id="rId20">
        <w:r>
          <w:rPr>
            <w:color w:val="1379A2"/>
            <w:u w:val="single"/>
          </w:rPr>
          <w:t>https://ewshm2024.com/frontend/index.php?page_id=381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123" w:bottom="1037" w:left="1195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373"/>
        <w:sz w:val="16"/>
      </w:rPr>
      <w:t xml:space="preserve">Faculty Review Copy  |  14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Small"/>
      <w:jc w:val="right"/>
      <w:pBdr>
        <w:bottom w:val="single" w:sz="9" w:color="167F85"/>
      </w:pBdr>
    </w:pPr>
    <w:r>
      <w:t>WAVESENSE-CFRP  /  PROJECT PROPOSAL  / 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rlito" w:hAnsi="Carlito"/>
      <w:color w:val="1E2F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527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rlito" w:hAnsi="Carlito"/>
      <w:b/>
      <w:bCs/>
      <w:color w:val="15608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rlito" w:hAnsi="Carlito"/>
      <w:b/>
      <w:bCs/>
      <w:color w:val="007F8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527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00"/>
    </w:pPr>
    <w:rPr>
      <w:rFonts w:ascii="Carlito" w:hAnsi="Carlito"/>
      <w:b/>
      <w:color w:val="007F85"/>
      <w:sz w:val="18"/>
    </w:rPr>
  </w:style>
  <w:style w:type="paragraph" w:customStyle="1" w:styleId="SubTitleCustom">
    <w:name w:val="SubTitleCustom"/>
    <w:pPr>
      <w:spacing w:after="100"/>
    </w:pPr>
    <w:rPr>
      <w:rFonts w:ascii="Carlito" w:hAnsi="Carlito"/>
      <w:b w:val="0"/>
      <w:color w:val="536373"/>
      <w:sz w:val="28"/>
    </w:rPr>
  </w:style>
  <w:style w:type="paragraph" w:customStyle="1" w:styleId="FootSmall">
    <w:name w:val="FootSmall"/>
    <w:pPr>
      <w:spacing w:after="100"/>
    </w:pPr>
    <w:rPr>
      <w:rFonts w:ascii="Carlito" w:hAnsi="Carlito"/>
      <w:b w:val="0"/>
      <w:color w:val="536373"/>
      <w:sz w:val="16"/>
    </w:rPr>
  </w:style>
  <w:style w:type="paragraph" w:customStyle="1" w:styleId="Callout">
    <w:name w:val="Callout"/>
    <w:pPr>
      <w:spacing w:after="100"/>
    </w:pPr>
    <w:rPr>
      <w:rFonts w:ascii="Carlito" w:hAnsi="Carlito"/>
      <w:b/>
      <w:color w:val="1527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i.org/10.1038/s41597-019-0208-1" TargetMode="External"/><Relationship Id="rId14" Type="http://schemas.openxmlformats.org/officeDocument/2006/relationships/hyperlink" Target="https://openguidedwaves.de/downloads/" TargetMode="External"/><Relationship Id="rId15" Type="http://schemas.openxmlformats.org/officeDocument/2006/relationships/hyperlink" Target="https://doi.org/10.6084/m9.figshare.c.4488089.v1" TargetMode="External"/><Relationship Id="rId16" Type="http://schemas.openxmlformats.org/officeDocument/2006/relationships/hyperlink" Target="https://doi.org/10.1177/1475921718817169" TargetMode="External"/><Relationship Id="rId17" Type="http://schemas.openxmlformats.org/officeDocument/2006/relationships/hyperlink" Target="https://doi.org/10.1016/j.ultras.2009.11.002" TargetMode="External"/><Relationship Id="rId18" Type="http://schemas.openxmlformats.org/officeDocument/2006/relationships/hyperlink" Target="https://doi.org/10.1016/j.ndteint.2024.103099" TargetMode="External"/><Relationship Id="rId19" Type="http://schemas.openxmlformats.org/officeDocument/2006/relationships/hyperlink" Target="https://doi.org/10.1016/j.ymssp.2025.112649" TargetMode="External"/><Relationship Id="rId20" Type="http://schemas.openxmlformats.org/officeDocument/2006/relationships/hyperlink" Target="https://ewshm2024.com/frontend/index.php?page_id=3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