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2D684C"/>
          <w:sz w:val="56"/>
          <w:szCs w:val="56"/>
        </w:rPr>
        <w:t xml:space="preserve">GauAmrut</w:t>
      </w:r>
    </w:p>
    <w:p>
      <w:pPr>
        <w:spacing w:after="100"/>
        <w:jc w:val="center"/>
      </w:pPr>
      <w:r>
        <w:rPr>
          <w:b/>
          <w:bCs/>
          <w:color w:val="4B765F"/>
          <w:sz w:val="32"/>
          <w:szCs w:val="32"/>
        </w:rPr>
        <w:t xml:space="preserve">Software Requirements Specification (SRS)</w:t>
      </w:r>
    </w:p>
    <w:p>
      <w:pPr>
        <w:spacing w:after="60"/>
        <w:jc w:val="center"/>
      </w:pPr>
      <w:r>
        <w:rPr>
          <w:sz w:val="22"/>
          <w:szCs w:val="22"/>
        </w:rPr>
        <w:t xml:space="preserve">Dairy Delivery &amp; Billing Platform — Full-Stack Web Application</w:t>
      </w:r>
    </w:p>
    <w:p>
      <w:pPr>
        <w:spacing w:after="60"/>
        <w:jc w:val="center"/>
      </w:pPr>
      <w:r>
        <w:rPr>
          <w:b/>
          <w:bCs/>
          <w:color w:val="4B765F"/>
          <w:sz w:val="21"/>
          <w:szCs w:val="21"/>
        </w:rPr>
        <w:t xml:space="preserve">Target Deployment: Vercel (frontend) + Render (backend) + MongoDB Atlas</w:t>
      </w:r>
    </w:p>
    <w:p>
      <w:pPr>
        <w:spacing w:after="20"/>
        <w:jc w:val="center"/>
      </w:pPr>
      <w:r>
        <w:rPr>
          <w:sz w:val="20"/>
          <w:szCs w:val="20"/>
        </w:rPr>
        <w:t xml:space="preserve">Prepared by: Senior Product Manager</w:t>
      </w:r>
    </w:p>
    <w:p>
      <w:pPr>
        <w:spacing w:after="20"/>
        <w:jc w:val="center"/>
      </w:pPr>
      <w:r>
        <w:rPr>
          <w:sz w:val="20"/>
          <w:szCs w:val="20"/>
        </w:rPr>
        <w:t xml:space="preserve">Audience: Full-Stack Development Team</w:t>
      </w:r>
    </w:p>
    <w:p>
      <w:pPr>
        <w:spacing w:after="20"/>
        <w:jc w:val="center"/>
      </w:pPr>
      <w:r>
        <w:rPr>
          <w:sz w:val="20"/>
          <w:szCs w:val="20"/>
        </w:rPr>
        <w:t xml:space="preserve">Document status: Baseline v1.0 — Level 0 (greenfield), MongoDB-native</w:t>
      </w:r>
    </w:p>
    <w:p>
      <w:pPr>
        <w:spacing w:after="20"/>
        <w:jc w:val="center"/>
      </w:pPr>
      <w:r>
        <w:rPr>
          <w:sz w:val="20"/>
          <w:szCs w:val="20"/>
        </w:rPr>
        <w:t xml:space="preserve">Date: 10 September 2026</w:t>
      </w:r>
    </w:p>
    <w:p>
      <w:r>
        <w:br w:type="page"/>
      </w:r>
    </w:p>
    <w:p>
      <w:pPr>
        <w:pStyle w:val="Heading1"/>
        <w:spacing w:after="140" w:before="320"/>
      </w:pPr>
      <w:r>
        <w:rPr>
          <w:b/>
          <w:bCs/>
          <w:color w:val="2D684C"/>
          <w:sz w:val="30"/>
          <w:szCs w:val="30"/>
        </w:rPr>
        <w:t xml:space="preserve">Table of Contents</w:t>
      </w:r>
    </w:p>
    <w:p>
      <w:pPr>
        <w:pStyle w:val="ListParagraph"/>
        <w:numPr>
          <w:ilvl w:val="0"/>
          <w:numId w:val="2"/>
        </w:numPr>
        <w:spacing w:after="60"/>
      </w:pPr>
      <w:r>
        <w:rPr>
          <w:sz w:val="20"/>
          <w:szCs w:val="20"/>
        </w:rPr>
        <w:t xml:space="preserve">1. Introduction</w:t>
      </w:r>
    </w:p>
    <w:p>
      <w:pPr>
        <w:pStyle w:val="ListParagraph"/>
        <w:numPr>
          <w:ilvl w:val="0"/>
          <w:numId w:val="2"/>
        </w:numPr>
        <w:spacing w:after="60"/>
      </w:pPr>
      <w:r>
        <w:rPr>
          <w:sz w:val="20"/>
          <w:szCs w:val="20"/>
        </w:rPr>
        <w:t xml:space="preserve">2. Overall Description</w:t>
      </w:r>
    </w:p>
    <w:p>
      <w:pPr>
        <w:pStyle w:val="ListParagraph"/>
        <w:numPr>
          <w:ilvl w:val="0"/>
          <w:numId w:val="2"/>
        </w:numPr>
        <w:spacing w:after="60"/>
      </w:pPr>
      <w:r>
        <w:rPr>
          <w:sz w:val="20"/>
          <w:szCs w:val="20"/>
        </w:rPr>
        <w:t xml:space="preserve">3. Actors and Access Control</w:t>
      </w:r>
    </w:p>
    <w:p>
      <w:pPr>
        <w:pStyle w:val="ListParagraph"/>
        <w:numPr>
          <w:ilvl w:val="0"/>
          <w:numId w:val="2"/>
        </w:numPr>
        <w:spacing w:after="60"/>
      </w:pPr>
      <w:r>
        <w:rPr>
          <w:sz w:val="20"/>
          <w:szCs w:val="20"/>
        </w:rPr>
        <w:t xml:space="preserve">4. Functional Requirements</w:t>
      </w:r>
    </w:p>
    <w:p>
      <w:pPr>
        <w:pStyle w:val="ListParagraph"/>
        <w:numPr>
          <w:ilvl w:val="0"/>
          <w:numId w:val="2"/>
        </w:numPr>
        <w:spacing w:after="60"/>
      </w:pPr>
      <w:r>
        <w:rPr>
          <w:sz w:val="20"/>
          <w:szCs w:val="20"/>
        </w:rPr>
        <w:t xml:space="preserve">5. External Interface Requirements</w:t>
      </w:r>
    </w:p>
    <w:p>
      <w:pPr>
        <w:pStyle w:val="ListParagraph"/>
        <w:numPr>
          <w:ilvl w:val="0"/>
          <w:numId w:val="2"/>
        </w:numPr>
        <w:spacing w:after="60"/>
      </w:pPr>
      <w:r>
        <w:rPr>
          <w:sz w:val="20"/>
          <w:szCs w:val="20"/>
        </w:rPr>
        <w:t xml:space="preserve">6. Non-Functional Requirements</w:t>
      </w:r>
    </w:p>
    <w:p>
      <w:pPr>
        <w:pStyle w:val="ListParagraph"/>
        <w:numPr>
          <w:ilvl w:val="0"/>
          <w:numId w:val="2"/>
        </w:numPr>
        <w:spacing w:after="60"/>
      </w:pPr>
      <w:r>
        <w:rPr>
          <w:sz w:val="20"/>
          <w:szCs w:val="20"/>
        </w:rPr>
        <w:t xml:space="preserve">7. System Architecture and Technology Stack</w:t>
      </w:r>
    </w:p>
    <w:p>
      <w:pPr>
        <w:pStyle w:val="ListParagraph"/>
        <w:numPr>
          <w:ilvl w:val="0"/>
          <w:numId w:val="2"/>
        </w:numPr>
        <w:spacing w:after="60"/>
      </w:pPr>
      <w:r>
        <w:rPr>
          <w:sz w:val="20"/>
          <w:szCs w:val="20"/>
        </w:rPr>
        <w:t xml:space="preserve">8. Deployment Specification (Vercel + Render + MongoDB Atlas)</w:t>
      </w:r>
    </w:p>
    <w:p>
      <w:pPr>
        <w:pStyle w:val="ListParagraph"/>
        <w:numPr>
          <w:ilvl w:val="0"/>
          <w:numId w:val="2"/>
        </w:numPr>
        <w:spacing w:after="60"/>
      </w:pPr>
      <w:r>
        <w:rPr>
          <w:sz w:val="20"/>
          <w:szCs w:val="20"/>
        </w:rPr>
        <w:t xml:space="preserve">9. Data Model (MongoDB Collections)</w:t>
      </w:r>
    </w:p>
    <w:p>
      <w:pPr>
        <w:pStyle w:val="ListParagraph"/>
        <w:numPr>
          <w:ilvl w:val="0"/>
          <w:numId w:val="2"/>
        </w:numPr>
        <w:spacing w:after="60"/>
      </w:pPr>
      <w:r>
        <w:rPr>
          <w:sz w:val="20"/>
          <w:szCs w:val="20"/>
        </w:rPr>
        <w:t xml:space="preserve">10. Testing Requirements and Definition of Done</w:t>
      </w:r>
    </w:p>
    <w:p>
      <w:pPr>
        <w:pStyle w:val="ListParagraph"/>
        <w:numPr>
          <w:ilvl w:val="0"/>
          <w:numId w:val="2"/>
        </w:numPr>
        <w:spacing w:after="60"/>
      </w:pPr>
      <w:r>
        <w:rPr>
          <w:sz w:val="20"/>
          <w:szCs w:val="20"/>
        </w:rPr>
        <w:t xml:space="preserve">11. Decisions Requiring Product Owner Approval</w:t>
      </w:r>
    </w:p>
    <w:p>
      <w:pPr>
        <w:pStyle w:val="ListParagraph"/>
        <w:numPr>
          <w:ilvl w:val="0"/>
          <w:numId w:val="2"/>
        </w:numPr>
        <w:spacing w:after="60"/>
      </w:pPr>
      <w:r>
        <w:rPr>
          <w:sz w:val="20"/>
          <w:szCs w:val="20"/>
        </w:rPr>
        <w:t xml:space="preserve">12. Appendix</w:t>
      </w:r>
    </w:p>
    <w:p>
      <w:r>
        <w:br w:type="page"/>
      </w:r>
    </w:p>
    <w:p>
      <w:pPr>
        <w:pStyle w:val="Heading1"/>
        <w:spacing w:after="140" w:before="320"/>
      </w:pPr>
      <w:r>
        <w:rPr>
          <w:b/>
          <w:bCs/>
          <w:color w:val="2D684C"/>
          <w:sz w:val="30"/>
          <w:szCs w:val="30"/>
        </w:rPr>
        <w:t xml:space="preserve">1. Introduction</w:t>
      </w:r>
    </w:p>
    <w:p>
      <w:pPr>
        <w:pStyle w:val="Heading2"/>
        <w:spacing w:after="100" w:before="220"/>
      </w:pPr>
      <w:r>
        <w:rPr>
          <w:b/>
          <w:bCs/>
          <w:color w:val="4B765F"/>
          <w:sz w:val="24"/>
          <w:szCs w:val="24"/>
        </w:rPr>
        <w:t xml:space="preserve">1.1 Purpose</w:t>
      </w:r>
    </w:p>
    <w:p>
      <w:pPr>
        <w:spacing w:after="120"/>
      </w:pPr>
      <w:r>
        <w:rPr>
          <w:sz w:val="20"/>
          <w:szCs w:val="20"/>
        </w:rPr>
        <w:t xml:space="preserve">This Software Requirements Specification (SRS) defines the complete functional and non-functional requirements for GauAmrut, a multilingual, mobile-first, multi-tenant dairy-delivery and billing platform. It is written for the full-stack team building the product from zero — there is no existing codebase — and, together with Section 8 (Deployment), is sufficient to design, build, test, and run a live production application on Vercel and Render with MongoDB Atlas as the database.</w:t>
      </w:r>
    </w:p>
    <w:p>
      <w:pPr>
        <w:spacing w:after="120"/>
      </w:pPr>
      <w:r>
        <w:rPr>
          <w:sz w:val="20"/>
          <w:szCs w:val="20"/>
        </w:rPr>
        <w:t xml:space="preserve">This document is binding: “shall” / “must” marks a mandatory requirement; “should” marks a strong recommendation; “may” marks optional behavior. Where any other artifact conflicts with this SRS, this SRS governs until formally revised.</w:t>
      </w:r>
    </w:p>
    <w:p>
      <w:pPr>
        <w:pStyle w:val="Heading2"/>
        <w:spacing w:after="100" w:before="220"/>
      </w:pPr>
      <w:r>
        <w:rPr>
          <w:b/>
          <w:bCs/>
          <w:color w:val="4B765F"/>
          <w:sz w:val="24"/>
          <w:szCs w:val="24"/>
        </w:rPr>
        <w:t xml:space="preserve">1.2 Scope</w:t>
      </w:r>
    </w:p>
    <w:p>
      <w:pPr>
        <w:spacing w:after="120"/>
      </w:pPr>
      <w:r>
        <w:rPr>
          <w:sz w:val="20"/>
          <w:szCs w:val="20"/>
        </w:rPr>
        <w:t xml:space="preserve">GauAmrut lets independent milk vendors (“milkmen”) manage customers, twice-daily delivery entry, rate-based billing, payment collection, products/orders, disputes, notifications, and reports, while customers get transparent self-service visibility into their own account, and administrators operate the platform through permission-scoped controls.</w:t>
      </w:r>
    </w:p>
    <w:p>
      <w:pPr>
        <w:spacing w:after="120"/>
      </w:pPr>
      <w:r>
        <w:rPr>
          <w:sz w:val="20"/>
          <w:szCs w:val="20"/>
        </w:rPr>
        <w:t xml:space="preserve">In scope for the initial production release: OTP-based registration and JWT authentication; milkman and customer profile/lifecycle management; daily delivery entry (online and offline-capable); vacation/extra adjustments; monthly billing and payment reconciliation; products and orders; disputes; in-app, real-time, email, and WhatsApp notifications; PDF/CSV exports; an admin console; and a responsive, installable, accessible, localized (English/Hindi/Gujarati) Progressive Web App backed by a REST + WebSocket API.</w:t>
      </w:r>
    </w:p>
    <w:p>
      <w:pPr>
        <w:spacing w:after="120"/>
      </w:pPr>
      <w:r>
        <w:rPr>
          <w:sz w:val="20"/>
          <w:szCs w:val="20"/>
        </w:rPr>
        <w:t xml:space="preserve">Out of scope for the initial release: native mobile apps, IoT hardware integration, card custody, inventory/procurement, payroll, GPS route optimization, tax filing automation, simultaneous multi-milkman membership per customer, and AI-based demand forecasting.</w:t>
      </w:r>
    </w:p>
    <w:p>
      <w:pPr>
        <w:pStyle w:val="Heading2"/>
        <w:spacing w:after="100" w:before="220"/>
      </w:pPr>
      <w:r>
        <w:rPr>
          <w:b/>
          <w:bCs/>
          <w:color w:val="4B765F"/>
          <w:sz w:val="24"/>
          <w:szCs w:val="24"/>
        </w:rPr>
        <w:t xml:space="preserve">1.3 Definitions, Acronyms, and Abbreviations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CE8E1" w:val="clear"/>
            <w:tcMar>
              <w:top w:type="dxa" w:w="60"/>
              <w:left w:type="dxa" w:w="100"/>
              <w:bottom w:type="dxa" w:w="60"/>
              <w:right w:type="dxa" w:w="100"/>
            </w:tcMar>
          </w:tcPr>
          <w:p>
            <w:r>
              <w:rPr>
                <w:b/>
                <w:bCs/>
                <w:sz w:val="18"/>
                <w:szCs w:val="18"/>
              </w:rPr>
              <w:t xml:space="preserve">Term</w:t>
            </w:r>
          </w:p>
        </w:tc>
        <w:tc>
          <w:tcPr>
            <w:tcW w:type="dxa" w:w="7400"/>
            <w:shd w:fill="DCE8E1" w:val="clear"/>
            <w:tcMar>
              <w:top w:type="dxa" w:w="60"/>
              <w:left w:type="dxa" w:w="100"/>
              <w:bottom w:type="dxa" w:w="60"/>
              <w:right w:type="dxa" w:w="100"/>
            </w:tcMar>
          </w:tcPr>
          <w:p>
            <w:r>
              <w:rPr>
                <w:b/>
                <w:bCs/>
                <w:sz w:val="18"/>
                <w:szCs w:val="18"/>
              </w:rPr>
              <w:t xml:space="preserve">Definition</w:t>
            </w:r>
          </w:p>
        </w:tc>
      </w:tr>
      <w:tr>
        <w:tc>
          <w:tcPr>
            <w:tcW w:type="dxa" w:w="2200"/>
            <w:tcMar>
              <w:top w:type="dxa" w:w="60"/>
              <w:left w:type="dxa" w:w="100"/>
              <w:bottom w:type="dxa" w:w="60"/>
              <w:right w:type="dxa" w:w="100"/>
            </w:tcMar>
          </w:tcPr>
          <w:p>
            <w:r>
              <w:rPr>
                <w:b w:val="false"/>
                <w:bCs w:val="false"/>
                <w:sz w:val="18"/>
                <w:szCs w:val="18"/>
              </w:rPr>
              <w:t xml:space="preserve">Milkman</w:t>
            </w:r>
          </w:p>
        </w:tc>
        <w:tc>
          <w:tcPr>
            <w:tcW w:type="dxa" w:w="7400"/>
            <w:tcMar>
              <w:top w:type="dxa" w:w="60"/>
              <w:left w:type="dxa" w:w="100"/>
              <w:bottom w:type="dxa" w:w="60"/>
              <w:right w:type="dxa" w:w="100"/>
            </w:tcMar>
          </w:tcPr>
          <w:p>
            <w:r>
              <w:rPr>
                <w:b w:val="false"/>
                <w:bCs w:val="false"/>
                <w:sz w:val="18"/>
                <w:szCs w:val="18"/>
              </w:rPr>
              <w:t xml:space="preserve">Independent dairy vendor / tenant operating on the platform.</w:t>
            </w:r>
          </w:p>
        </w:tc>
      </w:tr>
      <w:tr>
        <w:tc>
          <w:tcPr>
            <w:tcW w:type="dxa" w:w="2200"/>
            <w:tcMar>
              <w:top w:type="dxa" w:w="60"/>
              <w:left w:type="dxa" w:w="100"/>
              <w:bottom w:type="dxa" w:w="60"/>
              <w:right w:type="dxa" w:w="100"/>
            </w:tcMar>
          </w:tcPr>
          <w:p>
            <w:r>
              <w:rPr>
                <w:b w:val="false"/>
                <w:bCs w:val="false"/>
                <w:sz w:val="18"/>
                <w:szCs w:val="18"/>
              </w:rPr>
              <w:t xml:space="preserve">Tenant</w:t>
            </w:r>
          </w:p>
        </w:tc>
        <w:tc>
          <w:tcPr>
            <w:tcW w:type="dxa" w:w="7400"/>
            <w:tcMar>
              <w:top w:type="dxa" w:w="60"/>
              <w:left w:type="dxa" w:w="100"/>
              <w:bottom w:type="dxa" w:w="60"/>
              <w:right w:type="dxa" w:w="100"/>
            </w:tcMar>
          </w:tcPr>
          <w:p>
            <w:r>
              <w:rPr>
                <w:b w:val="false"/>
                <w:bCs w:val="false"/>
                <w:sz w:val="18"/>
                <w:szCs w:val="18"/>
              </w:rPr>
              <w:t xml:space="preserve">A milkman's isolated business scope; every tenant-owned record carries milkman_id.</w:t>
            </w:r>
          </w:p>
        </w:tc>
      </w:tr>
      <w:tr>
        <w:tc>
          <w:tcPr>
            <w:tcW w:type="dxa" w:w="2200"/>
            <w:tcMar>
              <w:top w:type="dxa" w:w="60"/>
              <w:left w:type="dxa" w:w="100"/>
              <w:bottom w:type="dxa" w:w="60"/>
              <w:right w:type="dxa" w:w="100"/>
            </w:tcMar>
          </w:tcPr>
          <w:p>
            <w:r>
              <w:rPr>
                <w:b w:val="false"/>
                <w:bCs w:val="false"/>
                <w:sz w:val="18"/>
                <w:szCs w:val="18"/>
              </w:rPr>
              <w:t xml:space="preserve">OTP</w:t>
            </w:r>
          </w:p>
        </w:tc>
        <w:tc>
          <w:tcPr>
            <w:tcW w:type="dxa" w:w="7400"/>
            <w:tcMar>
              <w:top w:type="dxa" w:w="60"/>
              <w:left w:type="dxa" w:w="100"/>
              <w:bottom w:type="dxa" w:w="60"/>
              <w:right w:type="dxa" w:w="100"/>
            </w:tcMar>
          </w:tcPr>
          <w:p>
            <w:r>
              <w:rPr>
                <w:b w:val="false"/>
                <w:bCs w:val="false"/>
                <w:sz w:val="18"/>
                <w:szCs w:val="18"/>
              </w:rPr>
              <w:t xml:space="preserve">One-Time Password used for registration / verification.</w:t>
            </w:r>
          </w:p>
        </w:tc>
      </w:tr>
      <w:tr>
        <w:tc>
          <w:tcPr>
            <w:tcW w:type="dxa" w:w="2200"/>
            <w:tcMar>
              <w:top w:type="dxa" w:w="60"/>
              <w:left w:type="dxa" w:w="100"/>
              <w:bottom w:type="dxa" w:w="60"/>
              <w:right w:type="dxa" w:w="100"/>
            </w:tcMar>
          </w:tcPr>
          <w:p>
            <w:r>
              <w:rPr>
                <w:b w:val="false"/>
                <w:bCs w:val="false"/>
                <w:sz w:val="18"/>
                <w:szCs w:val="18"/>
              </w:rPr>
              <w:t xml:space="preserve">JWT</w:t>
            </w:r>
          </w:p>
        </w:tc>
        <w:tc>
          <w:tcPr>
            <w:tcW w:type="dxa" w:w="7400"/>
            <w:tcMar>
              <w:top w:type="dxa" w:w="60"/>
              <w:left w:type="dxa" w:w="100"/>
              <w:bottom w:type="dxa" w:w="60"/>
              <w:right w:type="dxa" w:w="100"/>
            </w:tcMar>
          </w:tcPr>
          <w:p>
            <w:r>
              <w:rPr>
                <w:b w:val="false"/>
                <w:bCs w:val="false"/>
                <w:sz w:val="18"/>
                <w:szCs w:val="18"/>
              </w:rPr>
              <w:t xml:space="preserve">JSON Web Token used for stateless session authentication.</w:t>
            </w:r>
          </w:p>
        </w:tc>
      </w:tr>
      <w:tr>
        <w:tc>
          <w:tcPr>
            <w:tcW w:type="dxa" w:w="2200"/>
            <w:tcMar>
              <w:top w:type="dxa" w:w="60"/>
              <w:left w:type="dxa" w:w="100"/>
              <w:bottom w:type="dxa" w:w="60"/>
              <w:right w:type="dxa" w:w="100"/>
            </w:tcMar>
          </w:tcPr>
          <w:p>
            <w:r>
              <w:rPr>
                <w:b w:val="false"/>
                <w:bCs w:val="false"/>
                <w:sz w:val="18"/>
                <w:szCs w:val="18"/>
              </w:rPr>
              <w:t xml:space="preserve">PWA</w:t>
            </w:r>
          </w:p>
        </w:tc>
        <w:tc>
          <w:tcPr>
            <w:tcW w:type="dxa" w:w="7400"/>
            <w:tcMar>
              <w:top w:type="dxa" w:w="60"/>
              <w:left w:type="dxa" w:w="100"/>
              <w:bottom w:type="dxa" w:w="60"/>
              <w:right w:type="dxa" w:w="100"/>
            </w:tcMar>
          </w:tcPr>
          <w:p>
            <w:r>
              <w:rPr>
                <w:b w:val="false"/>
                <w:bCs w:val="false"/>
                <w:sz w:val="18"/>
                <w:szCs w:val="18"/>
              </w:rPr>
              <w:t xml:space="preserve">Progressive Web App — installable, offline-capable web application.</w:t>
            </w:r>
          </w:p>
        </w:tc>
      </w:tr>
      <w:tr>
        <w:tc>
          <w:tcPr>
            <w:tcW w:type="dxa" w:w="2200"/>
            <w:tcMar>
              <w:top w:type="dxa" w:w="60"/>
              <w:left w:type="dxa" w:w="100"/>
              <w:bottom w:type="dxa" w:w="60"/>
              <w:right w:type="dxa" w:w="100"/>
            </w:tcMar>
          </w:tcPr>
          <w:p>
            <w:r>
              <w:rPr>
                <w:b w:val="false"/>
                <w:bCs w:val="false"/>
                <w:sz w:val="18"/>
                <w:szCs w:val="18"/>
              </w:rPr>
              <w:t xml:space="preserve">FR / NFR</w:t>
            </w:r>
          </w:p>
        </w:tc>
        <w:tc>
          <w:tcPr>
            <w:tcW w:type="dxa" w:w="7400"/>
            <w:tcMar>
              <w:top w:type="dxa" w:w="60"/>
              <w:left w:type="dxa" w:w="100"/>
              <w:bottom w:type="dxa" w:w="60"/>
              <w:right w:type="dxa" w:w="100"/>
            </w:tcMar>
          </w:tcPr>
          <w:p>
            <w:r>
              <w:rPr>
                <w:b w:val="false"/>
                <w:bCs w:val="false"/>
                <w:sz w:val="18"/>
                <w:szCs w:val="18"/>
              </w:rPr>
              <w:t xml:space="preserve">Functional Requirement / Non-Functional Requirement identifier.</w:t>
            </w:r>
          </w:p>
        </w:tc>
      </w:tr>
      <w:tr>
        <w:tc>
          <w:tcPr>
            <w:tcW w:type="dxa" w:w="2200"/>
            <w:tcMar>
              <w:top w:type="dxa" w:w="60"/>
              <w:left w:type="dxa" w:w="100"/>
              <w:bottom w:type="dxa" w:w="60"/>
              <w:right w:type="dxa" w:w="100"/>
            </w:tcMar>
          </w:tcPr>
          <w:p>
            <w:r>
              <w:rPr>
                <w:b w:val="false"/>
                <w:bCs w:val="false"/>
                <w:sz w:val="18"/>
                <w:szCs w:val="18"/>
              </w:rPr>
              <w:t xml:space="preserve">Idempotency Key</w:t>
            </w:r>
          </w:p>
        </w:tc>
        <w:tc>
          <w:tcPr>
            <w:tcW w:type="dxa" w:w="7400"/>
            <w:tcMar>
              <w:top w:type="dxa" w:w="60"/>
              <w:left w:type="dxa" w:w="100"/>
              <w:bottom w:type="dxa" w:w="60"/>
              <w:right w:type="dxa" w:w="100"/>
            </w:tcMar>
          </w:tcPr>
          <w:p>
            <w:r>
              <w:rPr>
                <w:b w:val="false"/>
                <w:bCs w:val="false"/>
                <w:sz w:val="18"/>
                <w:szCs w:val="18"/>
              </w:rPr>
              <w:t xml:space="preserve">Client-supplied key ensuring a retried write is applied at most once.</w:t>
            </w:r>
          </w:p>
        </w:tc>
      </w:tr>
      <w:tr>
        <w:tc>
          <w:tcPr>
            <w:tcW w:type="dxa" w:w="2200"/>
            <w:tcMar>
              <w:top w:type="dxa" w:w="60"/>
              <w:left w:type="dxa" w:w="100"/>
              <w:bottom w:type="dxa" w:w="60"/>
              <w:right w:type="dxa" w:w="100"/>
            </w:tcMar>
          </w:tcPr>
          <w:p>
            <w:r>
              <w:rPr>
                <w:b w:val="false"/>
                <w:bCs w:val="false"/>
                <w:sz w:val="18"/>
                <w:szCs w:val="18"/>
              </w:rPr>
              <w:t xml:space="preserve">Replica Set</w:t>
            </w:r>
          </w:p>
        </w:tc>
        <w:tc>
          <w:tcPr>
            <w:tcW w:type="dxa" w:w="7400"/>
            <w:tcMar>
              <w:top w:type="dxa" w:w="60"/>
              <w:left w:type="dxa" w:w="100"/>
              <w:bottom w:type="dxa" w:w="60"/>
              <w:right w:type="dxa" w:w="100"/>
            </w:tcMar>
          </w:tcPr>
          <w:p>
            <w:r>
              <w:rPr>
                <w:b w:val="false"/>
                <w:bCs w:val="false"/>
                <w:sz w:val="18"/>
                <w:szCs w:val="18"/>
              </w:rPr>
              <w:t xml:space="preserve">MongoDB deployment topology required to support multi-document transactions.</w:t>
            </w:r>
          </w:p>
        </w:tc>
      </w:tr>
      <w:tr>
        <w:tc>
          <w:tcPr>
            <w:tcW w:type="dxa" w:w="2200"/>
            <w:tcMar>
              <w:top w:type="dxa" w:w="60"/>
              <w:left w:type="dxa" w:w="100"/>
              <w:bottom w:type="dxa" w:w="60"/>
              <w:right w:type="dxa" w:w="100"/>
            </w:tcMar>
          </w:tcPr>
          <w:p>
            <w:r>
              <w:rPr>
                <w:b w:val="false"/>
                <w:bCs w:val="false"/>
                <w:sz w:val="18"/>
                <w:szCs w:val="18"/>
              </w:rPr>
              <w:t xml:space="preserve">IST</w:t>
            </w:r>
          </w:p>
        </w:tc>
        <w:tc>
          <w:tcPr>
            <w:tcW w:type="dxa" w:w="7400"/>
            <w:tcMar>
              <w:top w:type="dxa" w:w="60"/>
              <w:left w:type="dxa" w:w="100"/>
              <w:bottom w:type="dxa" w:w="60"/>
              <w:right w:type="dxa" w:w="100"/>
            </w:tcMar>
          </w:tcPr>
          <w:p>
            <w:r>
              <w:rPr>
                <w:b w:val="false"/>
                <w:bCs w:val="false"/>
                <w:sz w:val="18"/>
                <w:szCs w:val="18"/>
              </w:rPr>
              <w:t xml:space="preserve">Indian Standard Time (Asia/Kolkata), the default business timezone.</w:t>
            </w:r>
          </w:p>
        </w:tc>
      </w:tr>
    </w:tbl>
    <w:p>
      <w:pPr>
        <w:spacing w:after="60"/>
      </w:pPr>
    </w:p>
    <w:p>
      <w:pPr>
        <w:pStyle w:val="Heading2"/>
        <w:spacing w:after="100" w:before="220"/>
      </w:pPr>
      <w:r>
        <w:rPr>
          <w:b/>
          <w:bCs/>
          <w:color w:val="4B765F"/>
          <w:sz w:val="24"/>
          <w:szCs w:val="24"/>
        </w:rPr>
        <w:t xml:space="preserve">1.4 References</w:t>
      </w:r>
    </w:p>
    <w:p>
      <w:pPr>
        <w:pStyle w:val="ListParagraph"/>
        <w:numPr>
          <w:ilvl w:val="0"/>
          <w:numId w:val="2"/>
        </w:numPr>
        <w:spacing w:after="60"/>
      </w:pPr>
      <w:r>
        <w:rPr>
          <w:sz w:val="20"/>
          <w:szCs w:val="20"/>
        </w:rPr>
        <w:t xml:space="preserve">GauAmrut Product and Engineering Blueprint (PRD/SRS), reviewed 10 September 2026.</w:t>
      </w:r>
    </w:p>
    <w:p>
      <w:pPr>
        <w:pStyle w:val="ListParagraph"/>
        <w:numPr>
          <w:ilvl w:val="0"/>
          <w:numId w:val="2"/>
        </w:numPr>
        <w:spacing w:after="60"/>
      </w:pPr>
      <w:r>
        <w:rPr>
          <w:sz w:val="20"/>
          <w:szCs w:val="20"/>
        </w:rPr>
        <w:t xml:space="preserve">WCAG 2.2 (Level AA) accessibility guidelines.</w:t>
      </w:r>
    </w:p>
    <w:p>
      <w:pPr>
        <w:pStyle w:val="ListParagraph"/>
        <w:numPr>
          <w:ilvl w:val="0"/>
          <w:numId w:val="2"/>
        </w:numPr>
        <w:spacing w:after="60"/>
      </w:pPr>
      <w:r>
        <w:rPr>
          <w:sz w:val="20"/>
          <w:szCs w:val="20"/>
        </w:rPr>
        <w:t xml:space="preserve">OpenAPI 3.1 Specification.</w:t>
      </w:r>
    </w:p>
    <w:p>
      <w:pPr>
        <w:pStyle w:val="ListParagraph"/>
        <w:numPr>
          <w:ilvl w:val="0"/>
          <w:numId w:val="2"/>
        </w:numPr>
        <w:spacing w:after="60"/>
      </w:pPr>
      <w:r>
        <w:rPr>
          <w:sz w:val="20"/>
          <w:szCs w:val="20"/>
        </w:rPr>
        <w:t xml:space="preserve">MongoDB Manual — Replica Sets and Multi-Document Transactions.</w:t>
      </w:r>
    </w:p>
    <w:p>
      <w:pPr>
        <w:pStyle w:val="ListParagraph"/>
        <w:numPr>
          <w:ilvl w:val="0"/>
          <w:numId w:val="2"/>
        </w:numPr>
        <w:spacing w:after="60"/>
      </w:pPr>
      <w:r>
        <w:rPr>
          <w:sz w:val="20"/>
          <w:szCs w:val="20"/>
        </w:rPr>
        <w:t xml:space="preserve">Vercel and Render platform documentation (build / deploy configuration).</w:t>
      </w:r>
    </w:p>
    <w:p>
      <w:pPr>
        <w:pStyle w:val="Heading2"/>
        <w:spacing w:after="100" w:before="220"/>
      </w:pPr>
      <w:r>
        <w:rPr>
          <w:b/>
          <w:bCs/>
          <w:color w:val="4B765F"/>
          <w:sz w:val="24"/>
          <w:szCs w:val="24"/>
        </w:rPr>
        <w:t xml:space="preserve">1.5 Document Overview</w:t>
      </w:r>
    </w:p>
    <w:p>
      <w:pPr>
        <w:spacing w:after="120"/>
      </w:pPr>
      <w:r>
        <w:rPr>
          <w:sz w:val="20"/>
          <w:szCs w:val="20"/>
        </w:rPr>
        <w:t xml:space="preserve">Section 2 describes the product and users at a high level. Section 3 defines actors and access control. Section 4 specifies functional requirements by module. Section 5 specifies external interfaces including the REST API. Section 6 specifies non-functional requirements. Section 7 defines the technology stack and architecture. Section 8 is the deployment specification for Vercel, Render, and MongoDB Atlas. Section 9 is the data model. Section 10 covers testing and definition of done. Section 11 lists open decisions requiring product owner approval. Section 12 is the glossary.</w:t>
      </w:r>
    </w:p>
    <w:p>
      <w:pPr>
        <w:pStyle w:val="Heading1"/>
        <w:spacing w:after="140" w:before="320"/>
      </w:pPr>
      <w:r>
        <w:rPr>
          <w:b/>
          <w:bCs/>
          <w:color w:val="2D684C"/>
          <w:sz w:val="30"/>
          <w:szCs w:val="30"/>
        </w:rPr>
        <w:t xml:space="preserve">2. Overall Description</w:t>
      </w:r>
    </w:p>
    <w:p>
      <w:pPr>
        <w:pStyle w:val="Heading2"/>
        <w:spacing w:after="100" w:before="220"/>
      </w:pPr>
      <w:r>
        <w:rPr>
          <w:b/>
          <w:bCs/>
          <w:color w:val="4B765F"/>
          <w:sz w:val="24"/>
          <w:szCs w:val="24"/>
        </w:rPr>
        <w:t xml:space="preserve">2.1 Product Perspective</w:t>
      </w:r>
    </w:p>
    <w:p>
      <w:pPr>
        <w:spacing w:after="120"/>
      </w:pPr>
      <w:r>
        <w:rPr>
          <w:sz w:val="20"/>
          <w:szCs w:val="20"/>
        </w:rPr>
        <w:t xml:space="preserve">GauAmrut is a new, standalone, cloud-hosted, multi-tenant SaaS product built entirely from this specification. It consists of a single-page React application (frontend), a Node/Express REST + WebSocket API (backend), and MongoDB as the sole system of record, supported by Redis, email, and WhatsApp integrations.</w:t>
      </w:r>
    </w:p>
    <w:p>
      <w:pPr>
        <w:pStyle w:val="Heading2"/>
        <w:spacing w:after="100" w:before="220"/>
      </w:pPr>
      <w:r>
        <w:rPr>
          <w:b/>
          <w:bCs/>
          <w:color w:val="4B765F"/>
          <w:sz w:val="24"/>
          <w:szCs w:val="24"/>
        </w:rPr>
        <w:t xml:space="preserve">2.2 Product Functions (Summary)</w:t>
      </w:r>
    </w:p>
    <w:p>
      <w:pPr>
        <w:pStyle w:val="ListParagraph"/>
        <w:numPr>
          <w:ilvl w:val="0"/>
          <w:numId w:val="2"/>
        </w:numPr>
        <w:spacing w:after="60"/>
      </w:pPr>
      <w:r>
        <w:rPr>
          <w:sz w:val="20"/>
          <w:szCs w:val="20"/>
        </w:rPr>
        <w:t xml:space="preserve">Milkman and customer registration, OTP verification, and JWT-based login.</w:t>
      </w:r>
    </w:p>
    <w:p>
      <w:pPr>
        <w:pStyle w:val="ListParagraph"/>
        <w:numPr>
          <w:ilvl w:val="0"/>
          <w:numId w:val="2"/>
        </w:numPr>
        <w:spacing w:after="60"/>
      </w:pPr>
      <w:r>
        <w:rPr>
          <w:sz w:val="20"/>
          <w:szCs w:val="20"/>
        </w:rPr>
        <w:t xml:space="preserve">Milkman business identity, unique linking code, customer directory, and route ordering.</w:t>
      </w:r>
    </w:p>
    <w:p>
      <w:pPr>
        <w:pStyle w:val="ListParagraph"/>
        <w:numPr>
          <w:ilvl w:val="0"/>
          <w:numId w:val="2"/>
        </w:numPr>
        <w:spacing w:after="60"/>
      </w:pPr>
      <w:r>
        <w:rPr>
          <w:sz w:val="20"/>
          <w:szCs w:val="20"/>
        </w:rPr>
        <w:t xml:space="preserve">Customer onboarding by code, history claim, and single-tenant linkage.</w:t>
      </w:r>
    </w:p>
    <w:p>
      <w:pPr>
        <w:pStyle w:val="ListParagraph"/>
        <w:numPr>
          <w:ilvl w:val="0"/>
          <w:numId w:val="2"/>
        </w:numPr>
        <w:spacing w:after="60"/>
      </w:pPr>
      <w:r>
        <w:rPr>
          <w:sz w:val="20"/>
          <w:szCs w:val="20"/>
        </w:rPr>
        <w:t xml:space="preserve">Daily delivery entry (single and batch) with offline queueing and conflict handling.</w:t>
      </w:r>
    </w:p>
    <w:p>
      <w:pPr>
        <w:pStyle w:val="ListParagraph"/>
        <w:numPr>
          <w:ilvl w:val="0"/>
          <w:numId w:val="2"/>
        </w:numPr>
        <w:spacing w:after="60"/>
      </w:pPr>
      <w:r>
        <w:rPr>
          <w:sz w:val="20"/>
          <w:szCs w:val="20"/>
        </w:rPr>
        <w:t xml:space="preserve">Vacation and extra delivery adjustments with audit trail.</w:t>
      </w:r>
    </w:p>
    <w:p>
      <w:pPr>
        <w:pStyle w:val="ListParagraph"/>
        <w:numPr>
          <w:ilvl w:val="0"/>
          <w:numId w:val="2"/>
        </w:numPr>
        <w:spacing w:after="60"/>
      </w:pPr>
      <w:r>
        <w:rPr>
          <w:sz w:val="20"/>
          <w:szCs w:val="20"/>
        </w:rPr>
        <w:t xml:space="preserve">Monthly bill generation, payment recording, payment requests, and receipts.</w:t>
      </w:r>
    </w:p>
    <w:p>
      <w:pPr>
        <w:pStyle w:val="ListParagraph"/>
        <w:numPr>
          <w:ilvl w:val="0"/>
          <w:numId w:val="2"/>
        </w:numPr>
        <w:spacing w:after="60"/>
      </w:pPr>
      <w:r>
        <w:rPr>
          <w:sz w:val="20"/>
          <w:szCs w:val="20"/>
        </w:rPr>
        <w:t xml:space="preserve">Product catalogue and order management with price/quantity snapshots.</w:t>
      </w:r>
    </w:p>
    <w:p>
      <w:pPr>
        <w:pStyle w:val="ListParagraph"/>
        <w:numPr>
          <w:ilvl w:val="0"/>
          <w:numId w:val="2"/>
        </w:numPr>
        <w:spacing w:after="60"/>
      </w:pPr>
      <w:r>
        <w:rPr>
          <w:sz w:val="20"/>
          <w:szCs w:val="20"/>
        </w:rPr>
        <w:t xml:space="preserve">Dispute lifecycle management with evidence and resolution tracking.</w:t>
      </w:r>
    </w:p>
    <w:p>
      <w:pPr>
        <w:pStyle w:val="ListParagraph"/>
        <w:numPr>
          <w:ilvl w:val="0"/>
          <w:numId w:val="2"/>
        </w:numPr>
        <w:spacing w:after="60"/>
      </w:pPr>
      <w:r>
        <w:rPr>
          <w:sz w:val="20"/>
          <w:szCs w:val="20"/>
        </w:rPr>
        <w:t xml:space="preserve">In-app, real-time (WebSocket), email, and WhatsApp notifications.</w:t>
      </w:r>
    </w:p>
    <w:p>
      <w:pPr>
        <w:pStyle w:val="ListParagraph"/>
        <w:numPr>
          <w:ilvl w:val="0"/>
          <w:numId w:val="2"/>
        </w:numPr>
        <w:spacing w:after="60"/>
      </w:pPr>
      <w:r>
        <w:rPr>
          <w:sz w:val="20"/>
          <w:szCs w:val="20"/>
        </w:rPr>
        <w:t xml:space="preserve">PDF and CSV report generation and export.</w:t>
      </w:r>
    </w:p>
    <w:p>
      <w:pPr>
        <w:pStyle w:val="ListParagraph"/>
        <w:numPr>
          <w:ilvl w:val="0"/>
          <w:numId w:val="2"/>
        </w:numPr>
        <w:spacing w:after="60"/>
      </w:pPr>
      <w:r>
        <w:rPr>
          <w:sz w:val="20"/>
          <w:szCs w:val="20"/>
        </w:rPr>
        <w:t xml:space="preserve">Permission-scoped admin console: users, operations, payments, products, disputes, analytics, settings, backups, audit log, access control.</w:t>
      </w:r>
    </w:p>
    <w:p>
      <w:pPr>
        <w:pStyle w:val="Heading2"/>
        <w:spacing w:after="100" w:before="220"/>
      </w:pPr>
      <w:r>
        <w:rPr>
          <w:b/>
          <w:bCs/>
          <w:color w:val="4B765F"/>
          <w:sz w:val="24"/>
          <w:szCs w:val="24"/>
        </w:rPr>
        <w:t xml:space="preserve">2.3 User Classes and Characteristics</w:t>
      </w:r>
    </w:p>
    <w:p>
      <w:pPr>
        <w:spacing w:after="120"/>
      </w:pPr>
      <w:r>
        <w:rPr>
          <w:sz w:val="20"/>
          <w:szCs w:val="20"/>
        </w:rPr>
        <w:t xml:space="preserve">Full actor detail is in Section 3. In summary: Milkmen are primary operators, frequently on mobile devices outdoors on unreliable connectivity, needing fast low-friction entry. Customers consume transparency and need simple, trustworthy views of deliveries and money. Administrators need safe, permissioned, auditable controls.</w:t>
      </w:r>
    </w:p>
    <w:p>
      <w:pPr>
        <w:pStyle w:val="Heading2"/>
        <w:spacing w:after="100" w:before="220"/>
      </w:pPr>
      <w:r>
        <w:rPr>
          <w:b/>
          <w:bCs/>
          <w:color w:val="4B765F"/>
          <w:sz w:val="24"/>
          <w:szCs w:val="24"/>
        </w:rPr>
        <w:t xml:space="preserve">2.4 Operating Environment</w:t>
      </w:r>
    </w:p>
    <w:p>
      <w:pPr>
        <w:spacing w:after="120"/>
      </w:pPr>
      <w:r>
        <w:rPr>
          <w:sz w:val="20"/>
          <w:szCs w:val="20"/>
        </w:rPr>
        <w:t xml:space="preserve">The application is delivered as a responsive web app (PWA) accessed via modern browsers on mobile and desktop. Production hosting target: static frontend build on Vercel; Node backend as a Render Web Service; MongoDB Atlas as a managed replica set; Redis as a managed add-on; outbound integrations for SMTP email and the WhatsApp Cloud API. Full deployment detail is in Section 8.</w:t>
      </w:r>
    </w:p>
    <w:p>
      <w:pPr>
        <w:pStyle w:val="Heading2"/>
        <w:spacing w:after="100" w:before="220"/>
      </w:pPr>
      <w:r>
        <w:rPr>
          <w:b/>
          <w:bCs/>
          <w:color w:val="4B765F"/>
          <w:sz w:val="24"/>
          <w:szCs w:val="24"/>
        </w:rPr>
        <w:t xml:space="preserve">2.5 Design and Implementation Constraints</w:t>
      </w:r>
    </w:p>
    <w:p>
      <w:pPr>
        <w:pStyle w:val="ListParagraph"/>
        <w:numPr>
          <w:ilvl w:val="0"/>
          <w:numId w:val="2"/>
        </w:numPr>
        <w:spacing w:after="60"/>
      </w:pPr>
      <w:r>
        <w:rPr>
          <w:sz w:val="20"/>
          <w:szCs w:val="20"/>
        </w:rPr>
        <w:t xml:space="preserve">MongoDB is the only database and must run as a replica set (never standalone) because registration, billing, and payment require multi-document transactions.</w:t>
      </w:r>
    </w:p>
    <w:p>
      <w:pPr>
        <w:pStyle w:val="ListParagraph"/>
        <w:numPr>
          <w:ilvl w:val="0"/>
          <w:numId w:val="2"/>
        </w:numPr>
        <w:spacing w:after="60"/>
      </w:pPr>
      <w:r>
        <w:rPr>
          <w:sz w:val="20"/>
          <w:szCs w:val="20"/>
        </w:rPr>
        <w:t xml:space="preserve">Money must be represented as integer minor units or Decimal128 — never native JavaScript floating point — for any accounting value.</w:t>
      </w:r>
    </w:p>
    <w:p>
      <w:pPr>
        <w:pStyle w:val="ListParagraph"/>
        <w:numPr>
          <w:ilvl w:val="0"/>
          <w:numId w:val="2"/>
        </w:numPr>
        <w:spacing w:after="60"/>
      </w:pPr>
      <w:r>
        <w:rPr>
          <w:sz w:val="20"/>
          <w:szCs w:val="20"/>
        </w:rPr>
        <w:t xml:space="preserve">Timestamps are stored in UTC; service dates are interpreted in Asia/Kolkata (configurable) for display and business logic.</w:t>
      </w:r>
    </w:p>
    <w:p>
      <w:pPr>
        <w:pStyle w:val="ListParagraph"/>
        <w:numPr>
          <w:ilvl w:val="0"/>
          <w:numId w:val="2"/>
        </w:numPr>
        <w:spacing w:after="60"/>
      </w:pPr>
      <w:r>
        <w:rPr>
          <w:sz w:val="20"/>
          <w:szCs w:val="20"/>
        </w:rPr>
        <w:t xml:space="preserve">Every tenant-owned document carries milkman_id; the backend derives and verifies tenant context from the authenticated session and never trusts a client-supplied tenant ID.</w:t>
      </w:r>
    </w:p>
    <w:p>
      <w:pPr>
        <w:pStyle w:val="ListParagraph"/>
        <w:numPr>
          <w:ilvl w:val="0"/>
          <w:numId w:val="2"/>
        </w:numPr>
        <w:spacing w:after="60"/>
      </w:pPr>
      <w:r>
        <w:rPr>
          <w:sz w:val="20"/>
          <w:szCs w:val="20"/>
        </w:rPr>
        <w:t xml:space="preserve">The frontend builds and runs entirely as static assets suitable for Vercel; it must not depend on a Node server at runtime.</w:t>
      </w:r>
    </w:p>
    <w:p>
      <w:pPr>
        <w:pStyle w:val="ListParagraph"/>
        <w:numPr>
          <w:ilvl w:val="0"/>
          <w:numId w:val="2"/>
        </w:numPr>
        <w:spacing w:after="60"/>
      </w:pPr>
      <w:r>
        <w:rPr>
          <w:sz w:val="20"/>
          <w:szCs w:val="20"/>
        </w:rPr>
        <w:t xml:space="preserve">The backend is a stateless Express process suitable for horizontal scaling on Render, with no in-memory session or job state that would break under multiple instances.</w:t>
      </w:r>
    </w:p>
    <w:p>
      <w:pPr>
        <w:pStyle w:val="Heading2"/>
        <w:spacing w:after="100" w:before="220"/>
      </w:pPr>
      <w:r>
        <w:rPr>
          <w:b/>
          <w:bCs/>
          <w:color w:val="4B765F"/>
          <w:sz w:val="24"/>
          <w:szCs w:val="24"/>
        </w:rPr>
        <w:t xml:space="preserve">2.6 Assumptions and Dependencies</w:t>
      </w:r>
    </w:p>
    <w:p>
      <w:pPr>
        <w:pStyle w:val="ListParagraph"/>
        <w:numPr>
          <w:ilvl w:val="0"/>
          <w:numId w:val="2"/>
        </w:numPr>
        <w:spacing w:after="60"/>
      </w:pPr>
      <w:r>
        <w:rPr>
          <w:sz w:val="20"/>
          <w:szCs w:val="20"/>
        </w:rPr>
        <w:t xml:space="preserve">A MongoDB Atlas project and cluster are provisioned before backend deployment.</w:t>
      </w:r>
    </w:p>
    <w:p>
      <w:pPr>
        <w:pStyle w:val="ListParagraph"/>
        <w:numPr>
          <w:ilvl w:val="0"/>
          <w:numId w:val="2"/>
        </w:numPr>
        <w:spacing w:after="60"/>
      </w:pPr>
      <w:r>
        <w:rPr>
          <w:sz w:val="20"/>
          <w:szCs w:val="20"/>
        </w:rPr>
        <w:t xml:space="preserve">A transactional email provider (SMTP-compatible, e.g., SendGrid / Postmark / SES) and WhatsApp Cloud API credentials are available before notification features are exercised end-to-end in production.</w:t>
      </w:r>
    </w:p>
    <w:p>
      <w:pPr>
        <w:pStyle w:val="ListParagraph"/>
        <w:numPr>
          <w:ilvl w:val="0"/>
          <w:numId w:val="2"/>
        </w:numPr>
        <w:spacing w:after="60"/>
      </w:pPr>
      <w:r>
        <w:rPr>
          <w:sz w:val="20"/>
          <w:szCs w:val="20"/>
        </w:rPr>
        <w:t xml:space="preserve">Custom domains, if used, are purchased/managed outside this system and pointed at Vercel/Render per Section 8.</w:t>
      </w:r>
    </w:p>
    <w:p>
      <w:pPr>
        <w:pStyle w:val="Heading1"/>
        <w:spacing w:after="140" w:before="320"/>
      </w:pPr>
      <w:r>
        <w:rPr>
          <w:b/>
          <w:bCs/>
          <w:color w:val="2D684C"/>
          <w:sz w:val="30"/>
          <w:szCs w:val="30"/>
        </w:rPr>
        <w:t xml:space="preserve">3. Actors and Access Control</w:t>
      </w:r>
    </w:p>
    <w:p>
      <w:pPr>
        <w:spacing w:after="120"/>
      </w:pPr>
      <w:r>
        <w:rPr>
          <w:sz w:val="20"/>
          <w:szCs w:val="20"/>
        </w:rPr>
        <w:t xml:space="preserve">Authorization is enforced entirely on the backend. A request is valid only if the authenticated identity matches the resource's owning tenant/customer, or the authenticated admin holds the specific named permission for that action. Knowing a resource's ID must never by itself grant access.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CE8E1" w:val="clear"/>
            <w:tcMar>
              <w:top w:type="dxa" w:w="60"/>
              <w:left w:type="dxa" w:w="100"/>
              <w:bottom w:type="dxa" w:w="60"/>
              <w:right w:type="dxa" w:w="100"/>
            </w:tcMar>
          </w:tcPr>
          <w:p>
            <w:r>
              <w:rPr>
                <w:b/>
                <w:bCs/>
                <w:sz w:val="18"/>
                <w:szCs w:val="18"/>
              </w:rPr>
              <w:t xml:space="preserve">Actor</w:t>
            </w:r>
          </w:p>
        </w:tc>
        <w:tc>
          <w:tcPr>
            <w:tcW w:type="dxa" w:w="7200"/>
            <w:shd w:fill="DCE8E1" w:val="clear"/>
            <w:tcMar>
              <w:top w:type="dxa" w:w="60"/>
              <w:left w:type="dxa" w:w="100"/>
              <w:bottom w:type="dxa" w:w="60"/>
              <w:right w:type="dxa" w:w="100"/>
            </w:tcMar>
          </w:tcPr>
          <w:p>
            <w:r>
              <w:rPr>
                <w:b/>
                <w:bCs/>
                <w:sz w:val="18"/>
                <w:szCs w:val="18"/>
              </w:rPr>
              <w:t xml:space="preserve">Access and Responsibilities</w:t>
            </w:r>
          </w:p>
        </w:tc>
      </w:tr>
      <w:tr>
        <w:tc>
          <w:tcPr>
            <w:tcW w:type="dxa" w:w="2400"/>
            <w:tcMar>
              <w:top w:type="dxa" w:w="60"/>
              <w:left w:type="dxa" w:w="100"/>
              <w:bottom w:type="dxa" w:w="60"/>
              <w:right w:type="dxa" w:w="100"/>
            </w:tcMar>
          </w:tcPr>
          <w:p>
            <w:r>
              <w:rPr>
                <w:b w:val="false"/>
                <w:bCs w:val="false"/>
                <w:sz w:val="18"/>
                <w:szCs w:val="18"/>
              </w:rPr>
              <w:t xml:space="preserve">Milkman</w:t>
            </w:r>
          </w:p>
        </w:tc>
        <w:tc>
          <w:tcPr>
            <w:tcW w:type="dxa" w:w="7200"/>
            <w:tcMar>
              <w:top w:type="dxa" w:w="60"/>
              <w:left w:type="dxa" w:w="100"/>
              <w:bottom w:type="dxa" w:w="60"/>
              <w:right w:type="dxa" w:w="100"/>
            </w:tcMar>
          </w:tcPr>
          <w:p>
            <w:r>
              <w:rPr>
                <w:b w:val="false"/>
                <w:bCs w:val="false"/>
                <w:sz w:val="18"/>
                <w:szCs w:val="18"/>
              </w:rPr>
              <w:t xml:space="preserve">Owns one tenant. Rapid daily route entry, customer management, collections, product/order fulfilment, reports. Often on a phone, outdoors, on unreliable connectivity.</w:t>
            </w:r>
          </w:p>
        </w:tc>
      </w:tr>
      <w:tr>
        <w:tc>
          <w:tcPr>
            <w:tcW w:type="dxa" w:w="2400"/>
            <w:tcMar>
              <w:top w:type="dxa" w:w="60"/>
              <w:left w:type="dxa" w:w="100"/>
              <w:bottom w:type="dxa" w:w="60"/>
              <w:right w:type="dxa" w:w="100"/>
            </w:tcMar>
          </w:tcPr>
          <w:p>
            <w:r>
              <w:rPr>
                <w:b w:val="false"/>
                <w:bCs w:val="false"/>
                <w:sz w:val="18"/>
                <w:szCs w:val="18"/>
              </w:rPr>
              <w:t xml:space="preserve">Customer</w:t>
            </w:r>
          </w:p>
        </w:tc>
        <w:tc>
          <w:tcPr>
            <w:tcW w:type="dxa" w:w="7200"/>
            <w:tcMar>
              <w:top w:type="dxa" w:w="60"/>
              <w:left w:type="dxa" w:w="100"/>
              <w:bottom w:type="dxa" w:w="60"/>
              <w:right w:type="dxa" w:w="100"/>
            </w:tcMar>
          </w:tcPr>
          <w:p>
            <w:r>
              <w:rPr>
                <w:b w:val="false"/>
                <w:bCs w:val="false"/>
                <w:sz w:val="18"/>
                <w:szCs w:val="18"/>
              </w:rPr>
              <w:t xml:space="preserve">Linked to exactly one milkman. Views delivery history and balance, submits pause/extra requests and payment claims, places product orders, raises disputes.</w:t>
            </w:r>
          </w:p>
        </w:tc>
      </w:tr>
      <w:tr>
        <w:tc>
          <w:tcPr>
            <w:tcW w:type="dxa" w:w="2400"/>
            <w:tcMar>
              <w:top w:type="dxa" w:w="60"/>
              <w:left w:type="dxa" w:w="100"/>
              <w:bottom w:type="dxa" w:w="60"/>
              <w:right w:type="dxa" w:w="100"/>
            </w:tcMar>
          </w:tcPr>
          <w:p>
            <w:r>
              <w:rPr>
                <w:b w:val="false"/>
                <w:bCs w:val="false"/>
                <w:sz w:val="18"/>
                <w:szCs w:val="18"/>
              </w:rPr>
              <w:t xml:space="preserve">Admin — super_admin</w:t>
            </w:r>
          </w:p>
        </w:tc>
        <w:tc>
          <w:tcPr>
            <w:tcW w:type="dxa" w:w="7200"/>
            <w:tcMar>
              <w:top w:type="dxa" w:w="60"/>
              <w:left w:type="dxa" w:w="100"/>
              <w:bottom w:type="dxa" w:w="60"/>
              <w:right w:type="dxa" w:w="100"/>
            </w:tcMar>
          </w:tcPr>
          <w:p>
            <w:r>
              <w:rPr>
                <w:b w:val="false"/>
                <w:bCs w:val="false"/>
                <w:sz w:val="18"/>
                <w:szCs w:val="18"/>
              </w:rPr>
              <w:t xml:space="preserve">Full platform authority across all modules, including access control and irreversible actions (with reason/audit).</w:t>
            </w:r>
          </w:p>
        </w:tc>
      </w:tr>
      <w:tr>
        <w:tc>
          <w:tcPr>
            <w:tcW w:type="dxa" w:w="2400"/>
            <w:tcMar>
              <w:top w:type="dxa" w:w="60"/>
              <w:left w:type="dxa" w:w="100"/>
              <w:bottom w:type="dxa" w:w="60"/>
              <w:right w:type="dxa" w:w="100"/>
            </w:tcMar>
          </w:tcPr>
          <w:p>
            <w:r>
              <w:rPr>
                <w:b w:val="false"/>
                <w:bCs w:val="false"/>
                <w:sz w:val="18"/>
                <w:szCs w:val="18"/>
              </w:rPr>
              <w:t xml:space="preserve">Admin — operations</w:t>
            </w:r>
          </w:p>
        </w:tc>
        <w:tc>
          <w:tcPr>
            <w:tcW w:type="dxa" w:w="7200"/>
            <w:tcMar>
              <w:top w:type="dxa" w:w="60"/>
              <w:left w:type="dxa" w:w="100"/>
              <w:bottom w:type="dxa" w:w="60"/>
              <w:right w:type="dxa" w:w="100"/>
            </w:tcMar>
          </w:tcPr>
          <w:p>
            <w:r>
              <w:rPr>
                <w:b w:val="false"/>
                <w:bCs w:val="false"/>
                <w:sz w:val="18"/>
                <w:szCs w:val="18"/>
              </w:rPr>
              <w:t xml:space="preserve">Manages users/lifecycle, dairy operations, products, disputes, analytics.</w:t>
            </w:r>
          </w:p>
        </w:tc>
      </w:tr>
      <w:tr>
        <w:tc>
          <w:tcPr>
            <w:tcW w:type="dxa" w:w="2400"/>
            <w:tcMar>
              <w:top w:type="dxa" w:w="60"/>
              <w:left w:type="dxa" w:w="100"/>
              <w:bottom w:type="dxa" w:w="60"/>
              <w:right w:type="dxa" w:w="100"/>
            </w:tcMar>
          </w:tcPr>
          <w:p>
            <w:r>
              <w:rPr>
                <w:b w:val="false"/>
                <w:bCs w:val="false"/>
                <w:sz w:val="18"/>
                <w:szCs w:val="18"/>
              </w:rPr>
              <w:t xml:space="preserve">Admin — finance</w:t>
            </w:r>
          </w:p>
        </w:tc>
        <w:tc>
          <w:tcPr>
            <w:tcW w:type="dxa" w:w="7200"/>
            <w:tcMar>
              <w:top w:type="dxa" w:w="60"/>
              <w:left w:type="dxa" w:w="100"/>
              <w:bottom w:type="dxa" w:w="60"/>
              <w:right w:type="dxa" w:w="100"/>
            </w:tcMar>
          </w:tcPr>
          <w:p>
            <w:r>
              <w:rPr>
                <w:b w:val="false"/>
                <w:bCs w:val="false"/>
                <w:sz w:val="18"/>
                <w:szCs w:val="18"/>
              </w:rPr>
              <w:t xml:space="preserve">Manages payments and financial analytics.</w:t>
            </w:r>
          </w:p>
        </w:tc>
      </w:tr>
      <w:tr>
        <w:tc>
          <w:tcPr>
            <w:tcW w:type="dxa" w:w="2400"/>
            <w:tcMar>
              <w:top w:type="dxa" w:w="60"/>
              <w:left w:type="dxa" w:w="100"/>
              <w:bottom w:type="dxa" w:w="60"/>
              <w:right w:type="dxa" w:w="100"/>
            </w:tcMar>
          </w:tcPr>
          <w:p>
            <w:r>
              <w:rPr>
                <w:b w:val="false"/>
                <w:bCs w:val="false"/>
                <w:sz w:val="18"/>
                <w:szCs w:val="18"/>
              </w:rPr>
              <w:t xml:space="preserve">Admin — support</w:t>
            </w:r>
          </w:p>
        </w:tc>
        <w:tc>
          <w:tcPr>
            <w:tcW w:type="dxa" w:w="7200"/>
            <w:tcMar>
              <w:top w:type="dxa" w:w="60"/>
              <w:left w:type="dxa" w:w="100"/>
              <w:bottom w:type="dxa" w:w="60"/>
              <w:right w:type="dxa" w:w="100"/>
            </w:tcMar>
          </w:tcPr>
          <w:p>
            <w:r>
              <w:rPr>
                <w:b w:val="false"/>
                <w:bCs w:val="false"/>
                <w:sz w:val="18"/>
                <w:szCs w:val="18"/>
              </w:rPr>
              <w:t xml:space="preserve">Read visibility into users and disputes for customer support.</w:t>
            </w:r>
          </w:p>
        </w:tc>
      </w:tr>
    </w:tbl>
    <w:p>
      <w:pPr>
        <w:spacing w:after="60"/>
      </w:pPr>
    </w:p>
    <w:p>
      <w:pPr>
        <w:spacing w:after="120"/>
      </w:pPr>
      <w:r>
        <w:rPr>
          <w:sz w:val="20"/>
          <w:szCs w:val="20"/>
        </w:rPr>
        <w:t xml:space="preserve">Rule: milkman-scoped requests must match the authenticated profile's own milkman_id; customer-scoped requests must match the authenticated customer; nested resources (e.g., a delivery under a customer) must match the same tenant/customer chain; admin routes require the specific named permission, not just an admin role flag.</w:t>
      </w:r>
    </w:p>
    <w:p>
      <w:pPr>
        <w:pStyle w:val="Heading1"/>
        <w:spacing w:after="140" w:before="320"/>
      </w:pPr>
      <w:r>
        <w:rPr>
          <w:b/>
          <w:bCs/>
          <w:color w:val="2D684C"/>
          <w:sz w:val="30"/>
          <w:szCs w:val="30"/>
        </w:rPr>
        <w:t xml:space="preserve">4. Functional Requirements</w:t>
      </w:r>
    </w:p>
    <w:p>
      <w:pPr>
        <w:spacing w:after="120"/>
      </w:pPr>
      <w:r>
        <w:rPr>
          <w:sz w:val="20"/>
          <w:szCs w:val="20"/>
        </w:rPr>
        <w:t xml:space="preserve">Requirements are grouped by module. Priority: M = Must (blocks release), S = Should (strongly expected), C = Could (nice to have, may slip).</w:t>
      </w:r>
    </w:p>
    <w:p>
      <w:pPr>
        <w:pStyle w:val="Heading2"/>
        <w:spacing w:after="100" w:before="220"/>
      </w:pPr>
      <w:r>
        <w:rPr>
          <w:b/>
          <w:bCs/>
          <w:color w:val="4B765F"/>
          <w:sz w:val="24"/>
          <w:szCs w:val="24"/>
        </w:rPr>
        <w:t xml:space="preserve">4.1 Authentication and Account Management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FR-AUTH-01</w:t>
            </w:r>
          </w:p>
        </w:tc>
        <w:tc>
          <w:tcPr>
            <w:tcW w:type="dxa" w:w="6900"/>
            <w:tcMar>
              <w:top w:type="dxa" w:w="60"/>
              <w:left w:type="dxa" w:w="100"/>
              <w:bottom w:type="dxa" w:w="60"/>
              <w:right w:type="dxa" w:w="100"/>
            </w:tcMar>
          </w:tcPr>
          <w:p>
            <w:r>
              <w:rPr>
                <w:b w:val="false"/>
                <w:bCs w:val="false"/>
                <w:sz w:val="18"/>
                <w:szCs w:val="18"/>
              </w:rPr>
              <w:t xml:space="preserve">The system shall register role-specific milkman/customer accounts with a normalized, unique email and a password of at least 8 characters, stored using an adaptive hash (e.g., bcrypt).</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FR-AUTH-02</w:t>
            </w:r>
          </w:p>
        </w:tc>
        <w:tc>
          <w:tcPr>
            <w:tcW w:type="dxa" w:w="6900"/>
            <w:tcMar>
              <w:top w:type="dxa" w:w="60"/>
              <w:left w:type="dxa" w:w="100"/>
              <w:bottom w:type="dxa" w:w="60"/>
              <w:right w:type="dxa" w:w="100"/>
            </w:tcMar>
          </w:tcPr>
          <w:p>
            <w:r>
              <w:rPr>
                <w:b w:val="false"/>
                <w:bCs w:val="false"/>
                <w:sz w:val="18"/>
                <w:szCs w:val="18"/>
              </w:rPr>
              <w:t xml:space="preserve">The system shall hash OTPs at rest and enforce expiry, a maximum attempt count, invalidation on replacement, and single use.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FR-AUTH-03</w:t>
            </w:r>
          </w:p>
        </w:tc>
        <w:tc>
          <w:tcPr>
            <w:tcW w:type="dxa" w:w="6900"/>
            <w:tcMar>
              <w:top w:type="dxa" w:w="60"/>
              <w:left w:type="dxa" w:w="100"/>
              <w:bottom w:type="dxa" w:w="60"/>
              <w:right w:type="dxa" w:w="100"/>
            </w:tcMar>
          </w:tcPr>
          <w:p>
            <w:r>
              <w:rPr>
                <w:b w:val="false"/>
                <w:bCs w:val="false"/>
                <w:sz w:val="18"/>
                <w:szCs w:val="18"/>
              </w:rPr>
              <w:t xml:space="preserve">The system shall rate-limit login and OTP endpoints. A successful login shall return role, profile identity, permissions (where applicable), and a signed JWT.</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FR-AUTH-04</w:t>
            </w:r>
          </w:p>
        </w:tc>
        <w:tc>
          <w:tcPr>
            <w:tcW w:type="dxa" w:w="6900"/>
            <w:tcMar>
              <w:top w:type="dxa" w:w="60"/>
              <w:left w:type="dxa" w:w="100"/>
              <w:bottom w:type="dxa" w:w="60"/>
              <w:right w:type="dxa" w:w="100"/>
            </w:tcMar>
          </w:tcPr>
          <w:p>
            <w:r>
              <w:rPr>
                <w:b w:val="false"/>
                <w:bCs w:val="false"/>
                <w:sz w:val="18"/>
                <w:szCs w:val="18"/>
              </w:rPr>
              <w:t xml:space="preserve">Token verification shall re-check user existence and active state on every protected request. Passwords, hashes, OTPs, and secrets shall never be included in any API response.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FR-ACC-01</w:t>
            </w:r>
          </w:p>
        </w:tc>
        <w:tc>
          <w:tcPr>
            <w:tcW w:type="dxa" w:w="6900"/>
            <w:tcMar>
              <w:top w:type="dxa" w:w="60"/>
              <w:left w:type="dxa" w:w="100"/>
              <w:bottom w:type="dxa" w:w="60"/>
              <w:right w:type="dxa" w:w="100"/>
            </w:tcMar>
          </w:tcPr>
          <w:p>
            <w:r>
              <w:rPr>
                <w:b w:val="false"/>
                <w:bCs w:val="false"/>
                <w:sz w:val="18"/>
                <w:szCs w:val="18"/>
              </w:rPr>
              <w:t xml:space="preserve">A milkman profile shall include identity/contact fields, a mandatory business name, UPI ID, a unique linking code, verification status, and subscription fields.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FR-ACC-02</w:t>
            </w:r>
          </w:p>
        </w:tc>
        <w:tc>
          <w:tcPr>
            <w:tcW w:type="dxa" w:w="6900"/>
            <w:tcMar>
              <w:top w:type="dxa" w:w="60"/>
              <w:left w:type="dxa" w:w="100"/>
              <w:bottom w:type="dxa" w:w="60"/>
              <w:right w:type="dxa" w:w="100"/>
            </w:tcMar>
          </w:tcPr>
          <w:p>
            <w:r>
              <w:rPr>
                <w:b w:val="false"/>
                <w:bCs w:val="false"/>
                <w:sz w:val="18"/>
                <w:szCs w:val="18"/>
              </w:rPr>
              <w:t xml:space="preserve">The milkman's business name shall appear on dashboards, customer views, invoices, and reports.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FR-ACC-03</w:t>
            </w:r>
          </w:p>
        </w:tc>
        <w:tc>
          <w:tcPr>
            <w:tcW w:type="dxa" w:w="6900"/>
            <w:tcMar>
              <w:top w:type="dxa" w:w="60"/>
              <w:left w:type="dxa" w:w="100"/>
              <w:bottom w:type="dxa" w:w="60"/>
              <w:right w:type="dxa" w:w="100"/>
            </w:tcMar>
          </w:tcPr>
          <w:p>
            <w:r>
              <w:rPr>
                <w:b w:val="false"/>
                <w:bCs w:val="false"/>
                <w:sz w:val="18"/>
                <w:szCs w:val="18"/>
              </w:rPr>
              <w:t xml:space="preserve">Code regeneration shall be collision-safe and shall immediately invalidate the old code for new customer connections.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FR-ACC-04</w:t>
            </w:r>
          </w:p>
        </w:tc>
        <w:tc>
          <w:tcPr>
            <w:tcW w:type="dxa" w:w="6900"/>
            <w:tcMar>
              <w:top w:type="dxa" w:w="60"/>
              <w:left w:type="dxa" w:w="100"/>
              <w:bottom w:type="dxa" w:w="60"/>
              <w:right w:type="dxa" w:w="100"/>
            </w:tcMar>
          </w:tcPr>
          <w:p>
            <w:r>
              <w:rPr>
                <w:b w:val="false"/>
                <w:bCs w:val="false"/>
                <w:sz w:val="18"/>
                <w:szCs w:val="18"/>
              </w:rPr>
              <w:t xml:space="preserve">A customer profile shall include contact/address, service start/end dates, lifecycle status, language preference, cow/buffalo rates, four shift/type quantity defaults, and two route-position fields.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FR-ACC-05</w:t>
            </w:r>
          </w:p>
        </w:tc>
        <w:tc>
          <w:tcPr>
            <w:tcW w:type="dxa" w:w="6900"/>
            <w:tcMar>
              <w:top w:type="dxa" w:w="60"/>
              <w:left w:type="dxa" w:w="100"/>
              <w:bottom w:type="dxa" w:w="60"/>
              <w:right w:type="dxa" w:w="100"/>
            </w:tcMar>
          </w:tcPr>
          <w:p>
            <w:r>
              <w:rPr>
                <w:b w:val="false"/>
                <w:bCs w:val="false"/>
                <w:sz w:val="18"/>
                <w:szCs w:val="18"/>
              </w:rPr>
              <w:t xml:space="preserve">A milkman shall be able to list, search, filter, paginate, add, edit, deactivate, and reactivate customers. Delivery eligibility shall respect lifecycle and service-date fields.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FR-ACC-06</w:t>
            </w:r>
          </w:p>
        </w:tc>
        <w:tc>
          <w:tcPr>
            <w:tcW w:type="dxa" w:w="6900"/>
            <w:tcMar>
              <w:top w:type="dxa" w:w="60"/>
              <w:left w:type="dxa" w:w="100"/>
              <w:bottom w:type="dxa" w:w="60"/>
              <w:right w:type="dxa" w:w="100"/>
            </w:tcMar>
          </w:tcPr>
          <w:p>
            <w:r>
              <w:rPr>
                <w:b w:val="false"/>
                <w:bCs w:val="false"/>
                <w:sz w:val="18"/>
                <w:szCs w:val="18"/>
              </w:rPr>
              <w:t xml:space="preserve">Route updates shall validate a complete, tenant-owned set of positions. A customer shall not be able to edit rates, ownership, balance, or role.</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4.2 Onboarding Journeys</w:t>
      </w:r>
    </w:p>
    <w:p>
      <w:pPr>
        <w:pStyle w:val="Heading3"/>
        <w:spacing w:after="80" w:before="160"/>
      </w:pPr>
      <w:r>
        <w:rPr>
          <w:b/>
          <w:bCs/>
          <w:color w:val="4B765F"/>
          <w:sz w:val="21"/>
          <w:szCs w:val="21"/>
        </w:rPr>
        <w:t xml:space="preserve">4.2.1 Milkman Onboarding</w:t>
      </w:r>
    </w:p>
    <w:p>
      <w:pPr>
        <w:spacing w:after="120"/>
      </w:pPr>
      <w:r>
        <w:rPr>
          <w:sz w:val="20"/>
          <w:szCs w:val="20"/>
        </w:rPr>
        <w:t xml:space="preserve">Flow: collect identity, contact, password, and business name → send OTP → verify OTP → atomically create user and milkman profile → generate a collision-safe 8-character milkman code → redirect to dashboard → prompt to add customers, rates, defaults, and route. A failure at any step shall leave no orphaned user or profile record (the create step must be transactional).</w:t>
      </w:r>
    </w:p>
    <w:p>
      <w:pPr>
        <w:pStyle w:val="Heading3"/>
        <w:spacing w:after="80" w:before="160"/>
      </w:pPr>
      <w:r>
        <w:rPr>
          <w:b/>
          <w:bCs/>
          <w:color w:val="4B765F"/>
          <w:sz w:val="21"/>
          <w:szCs w:val="21"/>
        </w:rPr>
        <w:t xml:space="preserve">4.2.2 Customer Onboarding</w:t>
      </w:r>
    </w:p>
    <w:p>
      <w:pPr>
        <w:spacing w:after="120"/>
      </w:pPr>
      <w:r>
        <w:rPr>
          <w:sz w:val="20"/>
          <w:szCs w:val="20"/>
        </w:rPr>
        <w:t xml:space="preserve">Flow: customer enters a milkman code → system resolves and displays the business name for confirmation → OTP verification → if unlinked delivery/billing history exists for that contact, offer a safe claim step → link the customer to exactly one milkman → from that point the customer only ever sees that tenant's data.</w:t>
      </w:r>
    </w:p>
    <w:p>
      <w:pPr>
        <w:pStyle w:val="Heading2"/>
        <w:spacing w:after="100" w:before="220"/>
      </w:pPr>
      <w:r>
        <w:rPr>
          <w:b/>
          <w:bCs/>
          <w:color w:val="4B765F"/>
          <w:sz w:val="24"/>
          <w:szCs w:val="24"/>
        </w:rPr>
        <w:t xml:space="preserve">4.3 Delivery and Adjustments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FR-DEL-01</w:t>
            </w:r>
          </w:p>
        </w:tc>
        <w:tc>
          <w:tcPr>
            <w:tcW w:type="dxa" w:w="6900"/>
            <w:tcMar>
              <w:top w:type="dxa" w:w="60"/>
              <w:left w:type="dxa" w:w="100"/>
              <w:bottom w:type="dxa" w:w="60"/>
              <w:right w:type="dxa" w:w="100"/>
            </w:tcMar>
          </w:tcPr>
          <w:p>
            <w:r>
              <w:rPr>
                <w:b w:val="false"/>
                <w:bCs w:val="false"/>
                <w:sz w:val="18"/>
                <w:szCs w:val="18"/>
              </w:rPr>
              <w:t xml:space="preserve">A delivery record shall store tenant, customer, date, milk type (cow/buffalo), shift (morning/evening), quantity, rate and total snapshots, optional fat/SNF values, and timestamps.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FR-DEL-02</w:t>
            </w:r>
          </w:p>
        </w:tc>
        <w:tc>
          <w:tcPr>
            <w:tcW w:type="dxa" w:w="6900"/>
            <w:tcMar>
              <w:top w:type="dxa" w:w="60"/>
              <w:left w:type="dxa" w:w="100"/>
              <w:bottom w:type="dxa" w:w="60"/>
              <w:right w:type="dxa" w:w="100"/>
            </w:tcMar>
          </w:tcPr>
          <w:p>
            <w:r>
              <w:rPr>
                <w:b w:val="false"/>
                <w:bCs w:val="false"/>
                <w:sz w:val="18"/>
                <w:szCs w:val="18"/>
              </w:rPr>
              <w:t xml:space="preserve">The backend shall validate quantity/rate ranges and calculate totals server-side. The tuple (tenant, customer, date, shift, type) shall be unique.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FR-DEL-03</w:t>
            </w:r>
          </w:p>
        </w:tc>
        <w:tc>
          <w:tcPr>
            <w:tcW w:type="dxa" w:w="6900"/>
            <w:tcMar>
              <w:top w:type="dxa" w:w="60"/>
              <w:left w:type="dxa" w:w="100"/>
              <w:bottom w:type="dxa" w:w="60"/>
              <w:right w:type="dxa" w:w="100"/>
            </w:tcMar>
          </w:tcPr>
          <w:p>
            <w:r>
              <w:rPr>
                <w:b w:val="false"/>
                <w:bCs w:val="false"/>
                <w:sz w:val="18"/>
                <w:szCs w:val="18"/>
              </w:rPr>
              <w:t xml:space="preserve">The system shall support single-entry and batch entry, and shall provide today / by-date / by-customer / by-month views.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FR-DEL-04</w:t>
            </w:r>
          </w:p>
        </w:tc>
        <w:tc>
          <w:tcPr>
            <w:tcW w:type="dxa" w:w="6900"/>
            <w:tcMar>
              <w:top w:type="dxa" w:w="60"/>
              <w:left w:type="dxa" w:w="100"/>
              <w:bottom w:type="dxa" w:w="60"/>
              <w:right w:type="dxa" w:w="100"/>
            </w:tcMar>
          </w:tcPr>
          <w:p>
            <w:r>
              <w:rPr>
                <w:b w:val="false"/>
                <w:bCs w:val="false"/>
                <w:sz w:val="18"/>
                <w:szCs w:val="18"/>
              </w:rPr>
              <w:t xml:space="preserve">Batch entry shall be transactional, or shall return item-level failures that are safely retryable without creating duplicates.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FR-DEL-05</w:t>
            </w:r>
          </w:p>
        </w:tc>
        <w:tc>
          <w:tcPr>
            <w:tcW w:type="dxa" w:w="6900"/>
            <w:tcMar>
              <w:top w:type="dxa" w:w="60"/>
              <w:left w:type="dxa" w:w="100"/>
              <w:bottom w:type="dxa" w:w="60"/>
              <w:right w:type="dxa" w:w="100"/>
            </w:tcMar>
          </w:tcPr>
          <w:p>
            <w:r>
              <w:rPr>
                <w:b w:val="false"/>
                <w:bCs w:val="false"/>
                <w:sz w:val="18"/>
                <w:szCs w:val="18"/>
              </w:rPr>
              <w:t xml:space="preserve">Corrections to delivery records shall be tenant-scoped, timestamped, and audited. A normal delete shall be a soft delete.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FR-DEL-06</w:t>
            </w:r>
          </w:p>
        </w:tc>
        <w:tc>
          <w:tcPr>
            <w:tcW w:type="dxa" w:w="6900"/>
            <w:tcMar>
              <w:top w:type="dxa" w:w="60"/>
              <w:left w:type="dxa" w:w="100"/>
              <w:bottom w:type="dxa" w:w="60"/>
              <w:right w:type="dxa" w:w="100"/>
            </w:tcMar>
          </w:tcPr>
          <w:p>
            <w:r>
              <w:rPr>
                <w:b w:val="false"/>
                <w:bCs w:val="false"/>
                <w:sz w:val="18"/>
                <w:szCs w:val="18"/>
              </w:rPr>
              <w:t xml:space="preserve">Vacation and extra adjustments shall validate ownership, an inclusive date range, overlap and cutoff rules, shift, quantities, and shall support cancellation without erasing history.</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FR-DEL-07</w:t>
            </w:r>
          </w:p>
        </w:tc>
        <w:tc>
          <w:tcPr>
            <w:tcW w:type="dxa" w:w="6900"/>
            <w:tcMar>
              <w:top w:type="dxa" w:w="60"/>
              <w:left w:type="dxa" w:w="100"/>
              <w:bottom w:type="dxa" w:w="60"/>
              <w:right w:type="dxa" w:w="100"/>
            </w:tcMar>
          </w:tcPr>
          <w:p>
            <w:r>
              <w:rPr>
                <w:b w:val="false"/>
                <w:bCs w:val="false"/>
                <w:sz w:val="18"/>
                <w:szCs w:val="18"/>
              </w:rPr>
              <w:t xml:space="preserve">The frontend shall queue delivery writes made while offline and shall sync them when connectivity returns, tagging each write with an idempotency key.</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4.4 Billing and Payments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FR-PAY-01</w:t>
            </w:r>
          </w:p>
        </w:tc>
        <w:tc>
          <w:tcPr>
            <w:tcW w:type="dxa" w:w="6900"/>
            <w:tcMar>
              <w:top w:type="dxa" w:w="60"/>
              <w:left w:type="dxa" w:w="100"/>
              <w:bottom w:type="dxa" w:w="60"/>
              <w:right w:type="dxa" w:w="100"/>
            </w:tcMar>
          </w:tcPr>
          <w:p>
            <w:r>
              <w:rPr>
                <w:b w:val="false"/>
                <w:bCs w:val="false"/>
                <w:sz w:val="18"/>
                <w:szCs w:val="18"/>
              </w:rPr>
              <w:t xml:space="preserve">The system shall maintain, per payment record: billing month, total, paid amount, balance/status, method/source, date, reference, receipt, notes, and soft-delete state.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FR-PAY-02</w:t>
            </w:r>
          </w:p>
        </w:tc>
        <w:tc>
          <w:tcPr>
            <w:tcW w:type="dxa" w:w="6900"/>
            <w:tcMar>
              <w:top w:type="dxa" w:w="60"/>
              <w:left w:type="dxa" w:w="100"/>
              <w:bottom w:type="dxa" w:w="60"/>
              <w:right w:type="dxa" w:w="100"/>
            </w:tcMar>
          </w:tcPr>
          <w:p>
            <w:r>
              <w:rPr>
                <w:b w:val="false"/>
                <w:bCs w:val="false"/>
                <w:sz w:val="18"/>
                <w:szCs w:val="18"/>
              </w:rPr>
              <w:t xml:space="preserve">The system shall generate exactly one reproducible bill per customer per month, computed as opening balance + delivery charges − allocations = closing balance.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FR-PAY-03</w:t>
            </w:r>
          </w:p>
        </w:tc>
        <w:tc>
          <w:tcPr>
            <w:tcW w:type="dxa" w:w="6900"/>
            <w:tcMar>
              <w:top w:type="dxa" w:w="60"/>
              <w:left w:type="dxa" w:w="100"/>
              <w:bottom w:type="dxa" w:w="60"/>
              <w:right w:type="dxa" w:w="100"/>
            </w:tcMar>
          </w:tcPr>
          <w:p>
            <w:r>
              <w:rPr>
                <w:b w:val="false"/>
                <w:bCs w:val="false"/>
                <w:sz w:val="18"/>
                <w:szCs w:val="18"/>
              </w:rPr>
              <w:t xml:space="preserve">Payment allocation to a bill shall be deterministic, transactional, and idempotent, and shall not exceed outstanding debt without a formal credit model.</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FR-PAY-04</w:t>
            </w:r>
          </w:p>
        </w:tc>
        <w:tc>
          <w:tcPr>
            <w:tcW w:type="dxa" w:w="6900"/>
            <w:tcMar>
              <w:top w:type="dxa" w:w="60"/>
              <w:left w:type="dxa" w:w="100"/>
              <w:bottom w:type="dxa" w:w="60"/>
              <w:right w:type="dxa" w:w="100"/>
            </w:tcMar>
          </w:tcPr>
          <w:p>
            <w:r>
              <w:rPr>
                <w:b w:val="false"/>
                <w:bCs w:val="false"/>
                <w:sz w:val="18"/>
                <w:szCs w:val="18"/>
              </w:rPr>
              <w:t xml:space="preserve">Payment requests submitted by a customer shall move through pending → processing → approved/rejected states, retaining risk signals and reviewer identity/time.</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FR-PAY-05</w:t>
            </w:r>
          </w:p>
        </w:tc>
        <w:tc>
          <w:tcPr>
            <w:tcW w:type="dxa" w:w="6900"/>
            <w:tcMar>
              <w:top w:type="dxa" w:w="60"/>
              <w:left w:type="dxa" w:w="100"/>
              <w:bottom w:type="dxa" w:w="60"/>
              <w:right w:type="dxa" w:w="100"/>
            </w:tcMar>
          </w:tcPr>
          <w:p>
            <w:r>
              <w:rPr>
                <w:b w:val="false"/>
                <w:bCs w:val="false"/>
                <w:sz w:val="18"/>
                <w:szCs w:val="18"/>
              </w:rPr>
              <w:t xml:space="preserve">Provider references and receipts shall be unique. Approval shall produce exactly one immutable receipt even if the approval action is retried.</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FR-PAY-06</w:t>
            </w:r>
          </w:p>
        </w:tc>
        <w:tc>
          <w:tcPr>
            <w:tcW w:type="dxa" w:w="6900"/>
            <w:tcMar>
              <w:top w:type="dxa" w:w="60"/>
              <w:left w:type="dxa" w:w="100"/>
              <w:bottom w:type="dxa" w:w="60"/>
              <w:right w:type="dxa" w:w="100"/>
            </w:tcMar>
          </w:tcPr>
          <w:p>
            <w:r>
              <w:rPr>
                <w:b w:val="false"/>
                <w:bCs w:val="false"/>
                <w:sz w:val="18"/>
                <w:szCs w:val="18"/>
              </w:rPr>
              <w:t xml:space="preserve">Customers shall be able to export invoices/statements. Milkmen shall see payment summaries and outstanding accounts across customers.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FR-PAY-07</w:t>
            </w:r>
          </w:p>
        </w:tc>
        <w:tc>
          <w:tcPr>
            <w:tcW w:type="dxa" w:w="6900"/>
            <w:tcMar>
              <w:top w:type="dxa" w:w="60"/>
              <w:left w:type="dxa" w:w="100"/>
              <w:bottom w:type="dxa" w:w="60"/>
              <w:right w:type="dxa" w:w="100"/>
            </w:tcMar>
          </w:tcPr>
          <w:p>
            <w:r>
              <w:rPr>
                <w:b w:val="false"/>
                <w:bCs w:val="false"/>
                <w:sz w:val="18"/>
                <w:szCs w:val="18"/>
              </w:rPr>
              <w:t xml:space="preserve">Reversal or deletion of a payment shall be soft, permissioned, require a reason, and be audited.</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4.5 Products and Orders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FR-PRD-01</w:t>
            </w:r>
          </w:p>
        </w:tc>
        <w:tc>
          <w:tcPr>
            <w:tcW w:type="dxa" w:w="6900"/>
            <w:tcMar>
              <w:top w:type="dxa" w:w="60"/>
              <w:left w:type="dxa" w:w="100"/>
              <w:bottom w:type="dxa" w:w="60"/>
              <w:right w:type="dxa" w:w="100"/>
            </w:tcMar>
          </w:tcPr>
          <w:p>
            <w:r>
              <w:rPr>
                <w:b w:val="false"/>
                <w:bCs w:val="false"/>
                <w:sz w:val="18"/>
                <w:szCs w:val="18"/>
              </w:rPr>
              <w:t xml:space="preserve">A milkman shall manage a tenant-scoped product catalogue (name, type, price, unit, description, availability). A customer shall see only their connected milkman's available products.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FR-PRD-02</w:t>
            </w:r>
          </w:p>
        </w:tc>
        <w:tc>
          <w:tcPr>
            <w:tcW w:type="dxa" w:w="6900"/>
            <w:tcMar>
              <w:top w:type="dxa" w:w="60"/>
              <w:left w:type="dxa" w:w="100"/>
              <w:bottom w:type="dxa" w:w="60"/>
              <w:right w:type="dxa" w:w="100"/>
            </w:tcMar>
          </w:tcPr>
          <w:p>
            <w:r>
              <w:rPr>
                <w:b w:val="false"/>
                <w:bCs w:val="false"/>
                <w:sz w:val="18"/>
                <w:szCs w:val="18"/>
              </w:rPr>
              <w:t xml:space="preserve">An order shall snapshot quantity, unit price, and total at time of order, plus delivery data and status. The backend shall validate every state transition and cancellation.</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4.6 Disputes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FR-DSP-01</w:t>
            </w:r>
          </w:p>
        </w:tc>
        <w:tc>
          <w:tcPr>
            <w:tcW w:type="dxa" w:w="6900"/>
            <w:tcMar>
              <w:top w:type="dxa" w:w="60"/>
              <w:left w:type="dxa" w:w="100"/>
              <w:bottom w:type="dxa" w:w="60"/>
              <w:right w:type="dxa" w:w="100"/>
            </w:tcMar>
          </w:tcPr>
          <w:p>
            <w:r>
              <w:rPr>
                <w:b w:val="false"/>
                <w:bCs w:val="false"/>
                <w:sz w:val="18"/>
                <w:szCs w:val="18"/>
              </w:rPr>
              <w:t xml:space="preserve">Dispute types shall be quantity mismatch, quality, billing, or other. States shall be open, under review, resolved, or cancelled.</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FR-DSP-02</w:t>
            </w:r>
          </w:p>
        </w:tc>
        <w:tc>
          <w:tcPr>
            <w:tcW w:type="dxa" w:w="6900"/>
            <w:tcMar>
              <w:top w:type="dxa" w:w="60"/>
              <w:left w:type="dxa" w:w="100"/>
              <w:bottom w:type="dxa" w:w="60"/>
              <w:right w:type="dxa" w:w="100"/>
            </w:tcMar>
          </w:tcPr>
          <w:p>
            <w:r>
              <w:rPr>
                <w:b w:val="false"/>
                <w:bCs w:val="false"/>
                <w:sz w:val="18"/>
                <w:szCs w:val="18"/>
              </w:rPr>
              <w:t xml:space="preserve">A dispute shall belong to one customer/tenant (optionally one delivery). Replies and resolution shall record actor and time. Permitted admins shall be able to set priority, assignment, and escalation.</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4.7 Notifications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FR-NOT-01</w:t>
            </w:r>
          </w:p>
        </w:tc>
        <w:tc>
          <w:tcPr>
            <w:tcW w:type="dxa" w:w="6900"/>
            <w:tcMar>
              <w:top w:type="dxa" w:w="60"/>
              <w:left w:type="dxa" w:w="100"/>
              <w:bottom w:type="dxa" w:w="60"/>
              <w:right w:type="dxa" w:w="100"/>
            </w:tcMar>
          </w:tcPr>
          <w:p>
            <w:r>
              <w:rPr>
                <w:b w:val="false"/>
                <w:bCs w:val="false"/>
                <w:sz w:val="18"/>
                <w:szCs w:val="18"/>
              </w:rPr>
              <w:t xml:space="preserve">Users shall be able to list and mark notifications as read. WebSocket connections shall be scoped per user and per tenant. WhatsApp delivery shall use a durable outbox with retries.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FR-NOT-02</w:t>
            </w:r>
          </w:p>
        </w:tc>
        <w:tc>
          <w:tcPr>
            <w:tcW w:type="dxa" w:w="6900"/>
            <w:tcMar>
              <w:top w:type="dxa" w:w="60"/>
              <w:left w:type="dxa" w:w="100"/>
              <w:bottom w:type="dxa" w:w="60"/>
              <w:right w:type="dxa" w:w="100"/>
            </w:tcMar>
          </w:tcPr>
          <w:p>
            <w:r>
              <w:rPr>
                <w:b w:val="false"/>
                <w:bCs w:val="false"/>
                <w:sz w:val="18"/>
                <w:szCs w:val="18"/>
              </w:rPr>
              <w:t xml:space="preserve">A communication failure (email/WhatsApp/socket) shall never roll back already-committed business data; the ledger write is authoritative regardless of notification outcome.</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4.8 Reports and Exports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FR-RPT-01</w:t>
            </w:r>
          </w:p>
        </w:tc>
        <w:tc>
          <w:tcPr>
            <w:tcW w:type="dxa" w:w="6900"/>
            <w:tcMar>
              <w:top w:type="dxa" w:w="60"/>
              <w:left w:type="dxa" w:w="100"/>
              <w:bottom w:type="dxa" w:w="60"/>
              <w:right w:type="dxa" w:w="100"/>
            </w:tcMar>
          </w:tcPr>
          <w:p>
            <w:r>
              <w:rPr>
                <w:b w:val="false"/>
                <w:bCs w:val="false"/>
                <w:sz w:val="18"/>
                <w:szCs w:val="18"/>
              </w:rPr>
              <w:t xml:space="preserve">The system shall provide monthly, per-customer, all-customer, payment-history, and product-sales reports.</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FR-RPT-02</w:t>
            </w:r>
          </w:p>
        </w:tc>
        <w:tc>
          <w:tcPr>
            <w:tcW w:type="dxa" w:w="6900"/>
            <w:tcMar>
              <w:top w:type="dxa" w:w="60"/>
              <w:left w:type="dxa" w:w="100"/>
              <w:bottom w:type="dxa" w:w="60"/>
              <w:right w:type="dxa" w:w="100"/>
            </w:tcMar>
          </w:tcPr>
          <w:p>
            <w:r>
              <w:rPr>
                <w:b w:val="false"/>
                <w:bCs w:val="false"/>
                <w:sz w:val="18"/>
                <w:szCs w:val="18"/>
              </w:rPr>
              <w:t xml:space="preserve">On-screen, PDF, and CSV totals for the same report shall match exactly. Exports shall include business name, period, generation time, and currency; filenames and CSV formula-triggering cells shall be sanitized; large exports shall be queued rather than generated synchronously.</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4.9 Administration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FR-ADM-01</w:t>
            </w:r>
          </w:p>
        </w:tc>
        <w:tc>
          <w:tcPr>
            <w:tcW w:type="dxa" w:w="6900"/>
            <w:tcMar>
              <w:top w:type="dxa" w:w="60"/>
              <w:left w:type="dxa" w:w="100"/>
              <w:bottom w:type="dxa" w:w="60"/>
              <w:right w:type="dxa" w:w="100"/>
            </w:tcMar>
          </w:tcPr>
          <w:p>
            <w:r>
              <w:rPr>
                <w:b w:val="false"/>
                <w:bCs w:val="false"/>
                <w:sz w:val="18"/>
                <w:szCs w:val="18"/>
              </w:rPr>
              <w:t xml:space="preserve">The admin console shall provide a permissioned dashboard covering users/lifecycle, dairy operations, payments, products, disputes, analytics, settings, backup, audit log, and access control.</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FR-ADM-02</w:t>
            </w:r>
          </w:p>
        </w:tc>
        <w:tc>
          <w:tcPr>
            <w:tcW w:type="dxa" w:w="6900"/>
            <w:tcMar>
              <w:top w:type="dxa" w:w="60"/>
              <w:left w:type="dxa" w:w="100"/>
              <w:bottom w:type="dxa" w:w="60"/>
              <w:right w:type="dxa" w:w="100"/>
            </w:tcMar>
          </w:tcPr>
          <w:p>
            <w:r>
              <w:rPr>
                <w:b w:val="false"/>
                <w:bCs w:val="false"/>
                <w:sz w:val="18"/>
                <w:szCs w:val="18"/>
              </w:rPr>
              <w:t xml:space="preserve">Sensitive settings shall be versioned, validated, and encrypted at rest. High-risk actions shall require a reason and shall be audited.</w:t>
            </w:r>
          </w:p>
        </w:tc>
        <w:tc>
          <w:tcPr>
            <w:tcW w:type="dxa" w:w="1100"/>
            <w:tcMar>
              <w:top w:type="dxa" w:w="60"/>
              <w:left w:type="dxa" w:w="100"/>
              <w:bottom w:type="dxa" w:w="60"/>
              <w:right w:type="dxa" w:w="100"/>
            </w:tcMar>
          </w:tcPr>
          <w:p>
            <w:r>
              <w:rPr>
                <w:b w:val="false"/>
                <w:bCs w:val="false"/>
                <w:sz w:val="18"/>
                <w:szCs w:val="18"/>
              </w:rPr>
              <w:t xml:space="preserve">M</w:t>
            </w:r>
          </w:p>
        </w:tc>
      </w:tr>
      <w:tr>
        <w:tc>
          <w:tcPr>
            <w:tcW w:type="dxa" w:w="1600"/>
            <w:tcMar>
              <w:top w:type="dxa" w:w="60"/>
              <w:left w:type="dxa" w:w="100"/>
              <w:bottom w:type="dxa" w:w="60"/>
              <w:right w:type="dxa" w:w="100"/>
            </w:tcMar>
          </w:tcPr>
          <w:p>
            <w:r>
              <w:rPr>
                <w:b w:val="false"/>
                <w:bCs w:val="false"/>
                <w:sz w:val="18"/>
                <w:szCs w:val="18"/>
              </w:rPr>
              <w:t xml:space="preserve">FR-ADM-03</w:t>
            </w:r>
          </w:p>
        </w:tc>
        <w:tc>
          <w:tcPr>
            <w:tcW w:type="dxa" w:w="6900"/>
            <w:tcMar>
              <w:top w:type="dxa" w:w="60"/>
              <w:left w:type="dxa" w:w="100"/>
              <w:bottom w:type="dxa" w:w="60"/>
              <w:right w:type="dxa" w:w="100"/>
            </w:tcMar>
          </w:tcPr>
          <w:p>
            <w:r>
              <w:rPr>
                <w:b w:val="false"/>
                <w:bCs w:val="false"/>
                <w:sz w:val="18"/>
                <w:szCs w:val="18"/>
              </w:rPr>
              <w:t xml:space="preserve">The system shall never allow removal or demotion of the last remaining usable super_admin account.</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2"/>
        <w:spacing w:after="100" w:before="220"/>
      </w:pPr>
      <w:r>
        <w:rPr>
          <w:b/>
          <w:bCs/>
          <w:color w:val="4B765F"/>
          <w:sz w:val="24"/>
          <w:szCs w:val="24"/>
        </w:rPr>
        <w:t xml:space="preserve">4.10 Subscription (Pre-Enforcement Scaffolding)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gridCol w:w="1100"/>
      </w:tblGrid>
      <w:tr>
        <w:trPr>
          <w:tblHeader/>
        </w:trPr>
        <w:tc>
          <w:tcPr>
            <w:tcW w:type="dxa" w:w="1600"/>
            <w:shd w:fill="DCE8E1" w:val="clear"/>
            <w:tcMar>
              <w:top w:type="dxa" w:w="60"/>
              <w:left w:type="dxa" w:w="100"/>
              <w:bottom w:type="dxa" w:w="60"/>
              <w:right w:type="dxa" w:w="100"/>
            </w:tcMar>
          </w:tcPr>
          <w:p>
            <w:r>
              <w:rPr>
                <w:b/>
                <w:bCs/>
                <w:sz w:val="18"/>
                <w:szCs w:val="18"/>
              </w:rPr>
              <w:t xml:space="preserve">ID</w:t>
            </w:r>
          </w:p>
        </w:tc>
        <w:tc>
          <w:tcPr>
            <w:tcW w:type="dxa" w:w="6900"/>
            <w:shd w:fill="DCE8E1" w:val="clear"/>
            <w:tcMar>
              <w:top w:type="dxa" w:w="60"/>
              <w:left w:type="dxa" w:w="100"/>
              <w:bottom w:type="dxa" w:w="60"/>
              <w:right w:type="dxa" w:w="100"/>
            </w:tcMar>
          </w:tcPr>
          <w:p>
            <w:r>
              <w:rPr>
                <w:b/>
                <w:bCs/>
                <w:sz w:val="18"/>
                <w:szCs w:val="18"/>
              </w:rPr>
              <w:t xml:space="preserve">Requirement</w:t>
            </w:r>
          </w:p>
        </w:tc>
        <w:tc>
          <w:tcPr>
            <w:tcW w:type="dxa" w:w="1100"/>
            <w:shd w:fill="DCE8E1" w:val="clear"/>
            <w:tcMar>
              <w:top w:type="dxa" w:w="60"/>
              <w:left w:type="dxa" w:w="100"/>
              <w:bottom w:type="dxa" w:w="60"/>
              <w:right w:type="dxa" w:w="100"/>
            </w:tcMar>
          </w:tcPr>
          <w:p>
            <w:r>
              <w:rPr>
                <w:b/>
                <w:bCs/>
                <w:sz w:val="18"/>
                <w:szCs w:val="18"/>
              </w:rPr>
              <w:t xml:space="preserve">Priority</w:t>
            </w:r>
          </w:p>
        </w:tc>
      </w:tr>
      <w:tr>
        <w:tc>
          <w:tcPr>
            <w:tcW w:type="dxa" w:w="1600"/>
            <w:tcMar>
              <w:top w:type="dxa" w:w="60"/>
              <w:left w:type="dxa" w:w="100"/>
              <w:bottom w:type="dxa" w:w="60"/>
              <w:right w:type="dxa" w:w="100"/>
            </w:tcMar>
          </w:tcPr>
          <w:p>
            <w:r>
              <w:rPr>
                <w:b w:val="false"/>
                <w:bCs w:val="false"/>
                <w:sz w:val="18"/>
                <w:szCs w:val="18"/>
              </w:rPr>
              <w:t xml:space="preserve">FR-SUB-01</w:t>
            </w:r>
          </w:p>
        </w:tc>
        <w:tc>
          <w:tcPr>
            <w:tcW w:type="dxa" w:w="6900"/>
            <w:tcMar>
              <w:top w:type="dxa" w:w="60"/>
              <w:left w:type="dxa" w:w="100"/>
              <w:bottom w:type="dxa" w:w="60"/>
              <w:right w:type="dxa" w:w="100"/>
            </w:tcMar>
          </w:tcPr>
          <w:p>
            <w:r>
              <w:rPr>
                <w:b w:val="false"/>
                <w:bCs w:val="false"/>
                <w:sz w:val="18"/>
                <w:szCs w:val="18"/>
              </w:rPr>
              <w:t xml:space="preserve">Before any plan is enforced, the system shall define a plan catalogue, entitlements, trial period, renewal, grace period, cancellation, tax treatment, and manual overrides.</w:t>
            </w:r>
          </w:p>
        </w:tc>
        <w:tc>
          <w:tcPr>
            <w:tcW w:type="dxa" w:w="1100"/>
            <w:tcMar>
              <w:top w:type="dxa" w:w="60"/>
              <w:left w:type="dxa" w:w="100"/>
              <w:bottom w:type="dxa" w:w="60"/>
              <w:right w:type="dxa" w:w="100"/>
            </w:tcMar>
          </w:tcPr>
          <w:p>
            <w:r>
              <w:rPr>
                <w:b w:val="false"/>
                <w:bCs w:val="false"/>
                <w:sz w:val="18"/>
                <w:szCs w:val="18"/>
              </w:rPr>
              <w:t xml:space="preserve">S</w:t>
            </w:r>
          </w:p>
        </w:tc>
      </w:tr>
      <w:tr>
        <w:tc>
          <w:tcPr>
            <w:tcW w:type="dxa" w:w="1600"/>
            <w:tcMar>
              <w:top w:type="dxa" w:w="60"/>
              <w:left w:type="dxa" w:w="100"/>
              <w:bottom w:type="dxa" w:w="60"/>
              <w:right w:type="dxa" w:w="100"/>
            </w:tcMar>
          </w:tcPr>
          <w:p>
            <w:r>
              <w:rPr>
                <w:b w:val="false"/>
                <w:bCs w:val="false"/>
                <w:sz w:val="18"/>
                <w:szCs w:val="18"/>
              </w:rPr>
              <w:t xml:space="preserve">FR-SUB-02</w:t>
            </w:r>
          </w:p>
        </w:tc>
        <w:tc>
          <w:tcPr>
            <w:tcW w:type="dxa" w:w="6900"/>
            <w:tcMar>
              <w:top w:type="dxa" w:w="60"/>
              <w:left w:type="dxa" w:w="100"/>
              <w:bottom w:type="dxa" w:w="60"/>
              <w:right w:type="dxa" w:w="100"/>
            </w:tcMar>
          </w:tcPr>
          <w:p>
            <w:r>
              <w:rPr>
                <w:b w:val="false"/>
                <w:bCs w:val="false"/>
                <w:sz w:val="18"/>
                <w:szCs w:val="18"/>
              </w:rPr>
              <w:t xml:space="preserve">Subscription expiry shall be visible and deterministic. Legal access to the account and data export shall never be blocked solely by expiry.</w:t>
            </w:r>
          </w:p>
        </w:tc>
        <w:tc>
          <w:tcPr>
            <w:tcW w:type="dxa" w:w="1100"/>
            <w:tcMar>
              <w:top w:type="dxa" w:w="60"/>
              <w:left w:type="dxa" w:w="100"/>
              <w:bottom w:type="dxa" w:w="60"/>
              <w:right w:type="dxa" w:w="100"/>
            </w:tcMar>
          </w:tcPr>
          <w:p>
            <w:r>
              <w:rPr>
                <w:b w:val="false"/>
                <w:bCs w:val="false"/>
                <w:sz w:val="18"/>
                <w:szCs w:val="18"/>
              </w:rPr>
              <w:t xml:space="preserve">M</w:t>
            </w:r>
          </w:p>
        </w:tc>
      </w:tr>
    </w:tbl>
    <w:p>
      <w:pPr>
        <w:pStyle w:val="Heading1"/>
        <w:spacing w:after="140" w:before="320"/>
      </w:pPr>
      <w:r>
        <w:rPr>
          <w:b/>
          <w:bCs/>
          <w:color w:val="2D684C"/>
          <w:sz w:val="30"/>
          <w:szCs w:val="30"/>
        </w:rPr>
        <w:t xml:space="preserve">5. External Interface Requirements</w:t>
      </w:r>
    </w:p>
    <w:p>
      <w:pPr>
        <w:pStyle w:val="Heading2"/>
        <w:spacing w:after="100" w:before="220"/>
      </w:pPr>
      <w:r>
        <w:rPr>
          <w:b/>
          <w:bCs/>
          <w:color w:val="4B765F"/>
          <w:sz w:val="24"/>
          <w:szCs w:val="24"/>
        </w:rPr>
        <w:t xml:space="preserve">5.1 User Interfaces</w:t>
      </w:r>
    </w:p>
    <w:p>
      <w:pPr>
        <w:spacing w:after="120"/>
      </w:pPr>
      <w:r>
        <w:rPr>
          <w:sz w:val="20"/>
          <w:szCs w:val="20"/>
        </w:rPr>
        <w:t xml:space="preserve">Three role-specific navigation sets, all served by the same responsive PWA: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CE8E1" w:val="clear"/>
            <w:tcMar>
              <w:top w:type="dxa" w:w="60"/>
              <w:left w:type="dxa" w:w="100"/>
              <w:bottom w:type="dxa" w:w="60"/>
              <w:right w:type="dxa" w:w="100"/>
            </w:tcMar>
          </w:tcPr>
          <w:p>
            <w:r>
              <w:rPr>
                <w:b/>
                <w:bCs/>
                <w:sz w:val="18"/>
                <w:szCs w:val="18"/>
              </w:rPr>
              <w:t xml:space="preserve">Role</w:t>
            </w:r>
          </w:p>
        </w:tc>
        <w:tc>
          <w:tcPr>
            <w:tcW w:type="dxa" w:w="7200"/>
            <w:shd w:fill="DCE8E1" w:val="clear"/>
            <w:tcMar>
              <w:top w:type="dxa" w:w="60"/>
              <w:left w:type="dxa" w:w="100"/>
              <w:bottom w:type="dxa" w:w="60"/>
              <w:right w:type="dxa" w:w="100"/>
            </w:tcMar>
          </w:tcPr>
          <w:p>
            <w:r>
              <w:rPr>
                <w:b/>
                <w:bCs/>
                <w:sz w:val="18"/>
                <w:szCs w:val="18"/>
              </w:rPr>
              <w:t xml:space="preserve">Navigation</w:t>
            </w:r>
          </w:p>
        </w:tc>
      </w:tr>
      <w:tr>
        <w:tc>
          <w:tcPr>
            <w:tcW w:type="dxa" w:w="2400"/>
            <w:tcMar>
              <w:top w:type="dxa" w:w="60"/>
              <w:left w:type="dxa" w:w="100"/>
              <w:bottom w:type="dxa" w:w="60"/>
              <w:right w:type="dxa" w:w="100"/>
            </w:tcMar>
          </w:tcPr>
          <w:p>
            <w:r>
              <w:rPr>
                <w:b w:val="false"/>
                <w:bCs w:val="false"/>
                <w:sz w:val="18"/>
                <w:szCs w:val="18"/>
              </w:rPr>
              <w:t xml:space="preserve">Milkman</w:t>
            </w:r>
          </w:p>
        </w:tc>
        <w:tc>
          <w:tcPr>
            <w:tcW w:type="dxa" w:w="7200"/>
            <w:tcMar>
              <w:top w:type="dxa" w:w="60"/>
              <w:left w:type="dxa" w:w="100"/>
              <w:bottom w:type="dxa" w:w="60"/>
              <w:right w:type="dxa" w:w="100"/>
            </w:tcMar>
          </w:tcPr>
          <w:p>
            <w:r>
              <w:rPr>
                <w:b w:val="false"/>
                <w:bCs w:val="false"/>
                <w:sz w:val="18"/>
                <w:szCs w:val="18"/>
              </w:rPr>
              <w:t xml:space="preserve">Dashboard, Customers, Milk Records, Payments, Products, Disputes, Reports, Profile.</w:t>
            </w:r>
          </w:p>
        </w:tc>
      </w:tr>
      <w:tr>
        <w:tc>
          <w:tcPr>
            <w:tcW w:type="dxa" w:w="2400"/>
            <w:tcMar>
              <w:top w:type="dxa" w:w="60"/>
              <w:left w:type="dxa" w:w="100"/>
              <w:bottom w:type="dxa" w:w="60"/>
              <w:right w:type="dxa" w:w="100"/>
            </w:tcMar>
          </w:tcPr>
          <w:p>
            <w:r>
              <w:rPr>
                <w:b w:val="false"/>
                <w:bCs w:val="false"/>
                <w:sz w:val="18"/>
                <w:szCs w:val="18"/>
              </w:rPr>
              <w:t xml:space="preserve">Customer</w:t>
            </w:r>
          </w:p>
        </w:tc>
        <w:tc>
          <w:tcPr>
            <w:tcW w:type="dxa" w:w="7200"/>
            <w:tcMar>
              <w:top w:type="dxa" w:w="60"/>
              <w:left w:type="dxa" w:w="100"/>
              <w:bottom w:type="dxa" w:w="60"/>
              <w:right w:type="dxa" w:w="100"/>
            </w:tcMar>
          </w:tcPr>
          <w:p>
            <w:r>
              <w:rPr>
                <w:b w:val="false"/>
                <w:bCs w:val="false"/>
                <w:sz w:val="18"/>
                <w:szCs w:val="18"/>
              </w:rPr>
              <w:t xml:space="preserve">Dashboard, Delivery History, Payments, Products, Orders, Disputes, Profile.</w:t>
            </w:r>
          </w:p>
        </w:tc>
      </w:tr>
      <w:tr>
        <w:tc>
          <w:tcPr>
            <w:tcW w:type="dxa" w:w="2400"/>
            <w:tcMar>
              <w:top w:type="dxa" w:w="60"/>
              <w:left w:type="dxa" w:w="100"/>
              <w:bottom w:type="dxa" w:w="60"/>
              <w:right w:type="dxa" w:w="100"/>
            </w:tcMar>
          </w:tcPr>
          <w:p>
            <w:r>
              <w:rPr>
                <w:b w:val="false"/>
                <w:bCs w:val="false"/>
                <w:sz w:val="18"/>
                <w:szCs w:val="18"/>
              </w:rPr>
              <w:t xml:space="preserve">Admin</w:t>
            </w:r>
          </w:p>
        </w:tc>
        <w:tc>
          <w:tcPr>
            <w:tcW w:type="dxa" w:w="7200"/>
            <w:tcMar>
              <w:top w:type="dxa" w:w="60"/>
              <w:left w:type="dxa" w:w="100"/>
              <w:bottom w:type="dxa" w:w="60"/>
              <w:right w:type="dxa" w:w="100"/>
            </w:tcMar>
          </w:tcPr>
          <w:p>
            <w:r>
              <w:rPr>
                <w:b w:val="false"/>
                <w:bCs w:val="false"/>
                <w:sz w:val="18"/>
                <w:szCs w:val="18"/>
              </w:rPr>
              <w:t xml:space="preserve">Dashboard, Users, Dairy Operations, Payments, Analytics, Products, Disputes, Settings, Activity Log, Access Control.</w:t>
            </w:r>
          </w:p>
        </w:tc>
      </w:tr>
    </w:tbl>
    <w:p>
      <w:pPr>
        <w:spacing w:after="60"/>
      </w:pPr>
    </w:p>
    <w:p>
      <w:pPr>
        <w:spacing w:after="120"/>
      </w:pPr>
      <w:r>
        <w:rPr>
          <w:sz w:val="20"/>
          <w:szCs w:val="20"/>
        </w:rPr>
        <w:t xml:space="preserve">UX requirements are detailed in Section 6.5 (Usability and Accessibility).</w:t>
      </w:r>
    </w:p>
    <w:p>
      <w:pPr>
        <w:pStyle w:val="Heading2"/>
        <w:spacing w:after="100" w:before="220"/>
      </w:pPr>
      <w:r>
        <w:rPr>
          <w:b/>
          <w:bCs/>
          <w:color w:val="4B765F"/>
          <w:sz w:val="24"/>
          <w:szCs w:val="24"/>
        </w:rPr>
        <w:t xml:space="preserve">5.2 API Interfaces</w:t>
      </w:r>
    </w:p>
    <w:p>
      <w:pPr>
        <w:spacing w:after="120"/>
      </w:pPr>
      <w:r>
        <w:rPr>
          <w:sz w:val="20"/>
          <w:szCs w:val="20"/>
        </w:rPr>
        <w:t xml:space="preserve">The backend exposes a versioned JSON REST API under /api, plus an authenticated WebSocket channel for real-time notifications.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DCE8E1" w:val="clear"/>
            <w:tcMar>
              <w:top w:type="dxa" w:w="60"/>
              <w:left w:type="dxa" w:w="100"/>
              <w:bottom w:type="dxa" w:w="60"/>
              <w:right w:type="dxa" w:w="100"/>
            </w:tcMar>
          </w:tcPr>
          <w:p>
            <w:r>
              <w:rPr>
                <w:b/>
                <w:bCs/>
                <w:sz w:val="18"/>
                <w:szCs w:val="18"/>
              </w:rPr>
              <w:t xml:space="preserve">Route group</w:t>
            </w:r>
          </w:p>
        </w:tc>
        <w:tc>
          <w:tcPr>
            <w:tcW w:type="dxa" w:w="7000"/>
            <w:shd w:fill="DCE8E1" w:val="clear"/>
            <w:tcMar>
              <w:top w:type="dxa" w:w="60"/>
              <w:left w:type="dxa" w:w="100"/>
              <w:bottom w:type="dxa" w:w="60"/>
              <w:right w:type="dxa" w:w="100"/>
            </w:tcMar>
          </w:tcPr>
          <w:p>
            <w:r>
              <w:rPr>
                <w:b/>
                <w:bCs/>
                <w:sz w:val="18"/>
                <w:szCs w:val="18"/>
              </w:rPr>
              <w:t xml:space="preserve">Purpose</w:t>
            </w:r>
          </w:p>
        </w:tc>
      </w:tr>
      <w:tr>
        <w:tc>
          <w:tcPr>
            <w:tcW w:type="dxa" w:w="2600"/>
            <w:tcMar>
              <w:top w:type="dxa" w:w="60"/>
              <w:left w:type="dxa" w:w="100"/>
              <w:bottom w:type="dxa" w:w="60"/>
              <w:right w:type="dxa" w:w="100"/>
            </w:tcMar>
          </w:tcPr>
          <w:p>
            <w:r>
              <w:rPr>
                <w:b w:val="false"/>
                <w:bCs w:val="false"/>
                <w:sz w:val="18"/>
                <w:szCs w:val="18"/>
              </w:rPr>
              <w:t xml:space="preserve">/api/auth</w:t>
            </w:r>
          </w:p>
        </w:tc>
        <w:tc>
          <w:tcPr>
            <w:tcW w:type="dxa" w:w="7000"/>
            <w:tcMar>
              <w:top w:type="dxa" w:w="60"/>
              <w:left w:type="dxa" w:w="100"/>
              <w:bottom w:type="dxa" w:w="60"/>
              <w:right w:type="dxa" w:w="100"/>
            </w:tcMar>
          </w:tcPr>
          <w:p>
            <w:r>
              <w:rPr>
                <w:b w:val="false"/>
                <w:bCs w:val="false"/>
                <w:sz w:val="18"/>
                <w:szCs w:val="18"/>
              </w:rPr>
              <w:t xml:space="preserve">OTP issuance, milkman/customer registration, login, logout, token verification.</w:t>
            </w:r>
          </w:p>
        </w:tc>
      </w:tr>
      <w:tr>
        <w:tc>
          <w:tcPr>
            <w:tcW w:type="dxa" w:w="2600"/>
            <w:tcMar>
              <w:top w:type="dxa" w:w="60"/>
              <w:left w:type="dxa" w:w="100"/>
              <w:bottom w:type="dxa" w:w="60"/>
              <w:right w:type="dxa" w:w="100"/>
            </w:tcMar>
          </w:tcPr>
          <w:p>
            <w:r>
              <w:rPr>
                <w:b w:val="false"/>
                <w:bCs w:val="false"/>
                <w:sz w:val="18"/>
                <w:szCs w:val="18"/>
              </w:rPr>
              <w:t xml:space="preserve">/api/milkmen/:id</w:t>
            </w:r>
          </w:p>
        </w:tc>
        <w:tc>
          <w:tcPr>
            <w:tcW w:type="dxa" w:w="7000"/>
            <w:tcMar>
              <w:top w:type="dxa" w:w="60"/>
              <w:left w:type="dxa" w:w="100"/>
              <w:bottom w:type="dxa" w:w="60"/>
              <w:right w:type="dxa" w:w="100"/>
            </w:tcMar>
          </w:tcPr>
          <w:p>
            <w:r>
              <w:rPr>
                <w:b w:val="false"/>
                <w:bCs w:val="false"/>
                <w:sz w:val="18"/>
                <w:szCs w:val="18"/>
              </w:rPr>
              <w:t xml:space="preserve">Profile, code management, dashboard, customers, route, lifecycle, disputes.</w:t>
            </w:r>
          </w:p>
        </w:tc>
      </w:tr>
      <w:tr>
        <w:tc>
          <w:tcPr>
            <w:tcW w:type="dxa" w:w="2600"/>
            <w:tcMar>
              <w:top w:type="dxa" w:w="60"/>
              <w:left w:type="dxa" w:w="100"/>
              <w:bottom w:type="dxa" w:w="60"/>
              <w:right w:type="dxa" w:w="100"/>
            </w:tcMar>
          </w:tcPr>
          <w:p>
            <w:r>
              <w:rPr>
                <w:b w:val="false"/>
                <w:bCs w:val="false"/>
                <w:sz w:val="18"/>
                <w:szCs w:val="18"/>
              </w:rPr>
              <w:t xml:space="preserve">/api/customers/:id</w:t>
            </w:r>
          </w:p>
        </w:tc>
        <w:tc>
          <w:tcPr>
            <w:tcW w:type="dxa" w:w="7000"/>
            <w:tcMar>
              <w:top w:type="dxa" w:w="60"/>
              <w:left w:type="dxa" w:w="100"/>
              <w:bottom w:type="dxa" w:w="60"/>
              <w:right w:type="dxa" w:w="100"/>
            </w:tcMar>
          </w:tcPr>
          <w:p>
            <w:r>
              <w:rPr>
                <w:b w:val="false"/>
                <w:bCs w:val="false"/>
                <w:sz w:val="18"/>
                <w:szCs w:val="18"/>
              </w:rPr>
              <w:t xml:space="preserve">Dashboard, delivery records/exports, payments/requests/exports, products/orders, disputes, profile, adjustments.</w:t>
            </w:r>
          </w:p>
        </w:tc>
      </w:tr>
      <w:tr>
        <w:tc>
          <w:tcPr>
            <w:tcW w:type="dxa" w:w="2600"/>
            <w:tcMar>
              <w:top w:type="dxa" w:w="60"/>
              <w:left w:type="dxa" w:w="100"/>
              <w:bottom w:type="dxa" w:w="60"/>
              <w:right w:type="dxa" w:w="100"/>
            </w:tcMar>
          </w:tcPr>
          <w:p>
            <w:r>
              <w:rPr>
                <w:b w:val="false"/>
                <w:bCs w:val="false"/>
                <w:sz w:val="18"/>
                <w:szCs w:val="18"/>
              </w:rPr>
              <w:t xml:space="preserve">/api/records/milkmen/:id</w:t>
            </w:r>
          </w:p>
        </w:tc>
        <w:tc>
          <w:tcPr>
            <w:tcW w:type="dxa" w:w="7000"/>
            <w:tcMar>
              <w:top w:type="dxa" w:w="60"/>
              <w:left w:type="dxa" w:w="100"/>
              <w:bottom w:type="dxa" w:w="60"/>
              <w:right w:type="dxa" w:w="100"/>
            </w:tcMar>
          </w:tcPr>
          <w:p>
            <w:r>
              <w:rPr>
                <w:b w:val="false"/>
                <w:bCs w:val="false"/>
                <w:sz w:val="18"/>
                <w:szCs w:val="18"/>
              </w:rPr>
              <w:t xml:space="preserve">Single/batch delivery entry; today/date/customer/month reads; update/delete.</w:t>
            </w:r>
          </w:p>
        </w:tc>
      </w:tr>
      <w:tr>
        <w:tc>
          <w:tcPr>
            <w:tcW w:type="dxa" w:w="2600"/>
            <w:tcMar>
              <w:top w:type="dxa" w:w="60"/>
              <w:left w:type="dxa" w:w="100"/>
              <w:bottom w:type="dxa" w:w="60"/>
              <w:right w:type="dxa" w:w="100"/>
            </w:tcMar>
          </w:tcPr>
          <w:p>
            <w:r>
              <w:rPr>
                <w:b w:val="false"/>
                <w:bCs w:val="false"/>
                <w:sz w:val="18"/>
                <w:szCs w:val="18"/>
              </w:rPr>
              <w:t xml:space="preserve">/api/payments/milkmen/:id</w:t>
            </w:r>
          </w:p>
        </w:tc>
        <w:tc>
          <w:tcPr>
            <w:tcW w:type="dxa" w:w="7000"/>
            <w:tcMar>
              <w:top w:type="dxa" w:w="60"/>
              <w:left w:type="dxa" w:w="100"/>
              <w:bottom w:type="dxa" w:w="60"/>
              <w:right w:type="dxa" w:w="100"/>
            </w:tcMar>
          </w:tcPr>
          <w:p>
            <w:r>
              <w:rPr>
                <w:b w:val="false"/>
                <w:bCs w:val="false"/>
                <w:sz w:val="18"/>
                <w:szCs w:val="18"/>
              </w:rPr>
              <w:t xml:space="preserve">Payment lists, record/update/delete, requests/review, summary/outstanding.</w:t>
            </w:r>
          </w:p>
        </w:tc>
      </w:tr>
      <w:tr>
        <w:tc>
          <w:tcPr>
            <w:tcW w:type="dxa" w:w="2600"/>
            <w:tcMar>
              <w:top w:type="dxa" w:w="60"/>
              <w:left w:type="dxa" w:w="100"/>
              <w:bottom w:type="dxa" w:w="60"/>
              <w:right w:type="dxa" w:w="100"/>
            </w:tcMar>
          </w:tcPr>
          <w:p>
            <w:r>
              <w:rPr>
                <w:b w:val="false"/>
                <w:bCs w:val="false"/>
                <w:sz w:val="18"/>
                <w:szCs w:val="18"/>
              </w:rPr>
              <w:t xml:space="preserve">/api/products/milkmen/:id</w:t>
            </w:r>
          </w:p>
        </w:tc>
        <w:tc>
          <w:tcPr>
            <w:tcW w:type="dxa" w:w="7000"/>
            <w:tcMar>
              <w:top w:type="dxa" w:w="60"/>
              <w:left w:type="dxa" w:w="100"/>
              <w:bottom w:type="dxa" w:w="60"/>
              <w:right w:type="dxa" w:w="100"/>
            </w:tcMar>
          </w:tcPr>
          <w:p>
            <w:r>
              <w:rPr>
                <w:b w:val="false"/>
                <w:bCs w:val="false"/>
                <w:sz w:val="18"/>
                <w:szCs w:val="18"/>
              </w:rPr>
              <w:t xml:space="preserve">Catalogue, orders, update, sales summary.</w:t>
            </w:r>
          </w:p>
        </w:tc>
      </w:tr>
      <w:tr>
        <w:tc>
          <w:tcPr>
            <w:tcW w:type="dxa" w:w="2600"/>
            <w:tcMar>
              <w:top w:type="dxa" w:w="60"/>
              <w:left w:type="dxa" w:w="100"/>
              <w:bottom w:type="dxa" w:w="60"/>
              <w:right w:type="dxa" w:w="100"/>
            </w:tcMar>
          </w:tcPr>
          <w:p>
            <w:r>
              <w:rPr>
                <w:b w:val="false"/>
                <w:bCs w:val="false"/>
                <w:sz w:val="18"/>
                <w:szCs w:val="18"/>
              </w:rPr>
              <w:t xml:space="preserve">/api/reports/milkmen/:id</w:t>
            </w:r>
          </w:p>
        </w:tc>
        <w:tc>
          <w:tcPr>
            <w:tcW w:type="dxa" w:w="7000"/>
            <w:tcMar>
              <w:top w:type="dxa" w:w="60"/>
              <w:left w:type="dxa" w:w="100"/>
              <w:bottom w:type="dxa" w:w="60"/>
              <w:right w:type="dxa" w:w="100"/>
            </w:tcMar>
          </w:tcPr>
          <w:p>
            <w:r>
              <w:rPr>
                <w:b w:val="false"/>
                <w:bCs w:val="false"/>
                <w:sz w:val="18"/>
                <w:szCs w:val="18"/>
              </w:rPr>
              <w:t xml:space="preserve">Summaries, customer/all/payment/product reports, PDF/CSV generation.</w:t>
            </w:r>
          </w:p>
        </w:tc>
      </w:tr>
      <w:tr>
        <w:tc>
          <w:tcPr>
            <w:tcW w:type="dxa" w:w="2600"/>
            <w:tcMar>
              <w:top w:type="dxa" w:w="60"/>
              <w:left w:type="dxa" w:w="100"/>
              <w:bottom w:type="dxa" w:w="60"/>
              <w:right w:type="dxa" w:w="100"/>
            </w:tcMar>
          </w:tcPr>
          <w:p>
            <w:r>
              <w:rPr>
                <w:b w:val="false"/>
                <w:bCs w:val="false"/>
                <w:sz w:val="18"/>
                <w:szCs w:val="18"/>
              </w:rPr>
              <w:t xml:space="preserve">/api/notifications</w:t>
            </w:r>
          </w:p>
        </w:tc>
        <w:tc>
          <w:tcPr>
            <w:tcW w:type="dxa" w:w="7000"/>
            <w:tcMar>
              <w:top w:type="dxa" w:w="60"/>
              <w:left w:type="dxa" w:w="100"/>
              <w:bottom w:type="dxa" w:w="60"/>
              <w:right w:type="dxa" w:w="100"/>
            </w:tcMar>
          </w:tcPr>
          <w:p>
            <w:r>
              <w:rPr>
                <w:b w:val="false"/>
                <w:bCs w:val="false"/>
                <w:sz w:val="18"/>
                <w:szCs w:val="18"/>
              </w:rPr>
              <w:t xml:space="preserve">List notifications and update read state.</w:t>
            </w:r>
          </w:p>
        </w:tc>
      </w:tr>
      <w:tr>
        <w:tc>
          <w:tcPr>
            <w:tcW w:type="dxa" w:w="2600"/>
            <w:tcMar>
              <w:top w:type="dxa" w:w="60"/>
              <w:left w:type="dxa" w:w="100"/>
              <w:bottom w:type="dxa" w:w="60"/>
              <w:right w:type="dxa" w:w="100"/>
            </w:tcMar>
          </w:tcPr>
          <w:p>
            <w:r>
              <w:rPr>
                <w:b w:val="false"/>
                <w:bCs w:val="false"/>
                <w:sz w:val="18"/>
                <w:szCs w:val="18"/>
              </w:rPr>
              <w:t xml:space="preserve">/api/admin</w:t>
            </w:r>
          </w:p>
        </w:tc>
        <w:tc>
          <w:tcPr>
            <w:tcW w:type="dxa" w:w="7000"/>
            <w:tcMar>
              <w:top w:type="dxa" w:w="60"/>
              <w:left w:type="dxa" w:w="100"/>
              <w:bottom w:type="dxa" w:w="60"/>
              <w:right w:type="dxa" w:w="100"/>
            </w:tcMar>
          </w:tcPr>
          <w:p>
            <w:r>
              <w:rPr>
                <w:b w:val="false"/>
                <w:bCs w:val="false"/>
                <w:sz w:val="18"/>
                <w:szCs w:val="18"/>
              </w:rPr>
              <w:t xml:space="preserve">Dashboard, users, operations, payments, products, orders, disputes, logs, analytics, settings, backup, access control.</w:t>
            </w:r>
          </w:p>
        </w:tc>
      </w:tr>
    </w:tbl>
    <w:p>
      <w:pPr>
        <w:spacing w:after="60"/>
      </w:pPr>
    </w:p>
    <w:p>
      <w:pPr>
        <w:spacing w:after="120"/>
      </w:pPr>
      <w:r>
        <w:rPr>
          <w:sz w:val="20"/>
          <w:szCs w:val="20"/>
        </w:rPr>
        <w:t xml:space="preserve">API conventions: JSON envelope of { success, data, meta? } on success and a machine-readable { error: { code, message } } on failure; bounded pagination; ISO 8601 dates; explicit money amount + currency fields (never bare floats); an Idempotency-Key header required on all consequential writes (delivery entry, payment recording, payment approval); a correlation/request ID on every response for support and log tracing. Passwords, hashes, secrets, and stack traces are never exposed. The API is documented with OpenAPI 3.1, including role, permission, tenancy, request/response schema, and error cases for every endpoint.</w:t>
      </w:r>
    </w:p>
    <w:p>
      <w:pPr>
        <w:pStyle w:val="Heading2"/>
        <w:spacing w:after="100" w:before="220"/>
      </w:pPr>
      <w:r>
        <w:rPr>
          <w:b/>
          <w:bCs/>
          <w:color w:val="4B765F"/>
          <w:sz w:val="24"/>
          <w:szCs w:val="24"/>
        </w:rPr>
        <w:t xml:space="preserve">5.3 Software Interfaces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DCE8E1" w:val="clear"/>
            <w:tcMar>
              <w:top w:type="dxa" w:w="60"/>
              <w:left w:type="dxa" w:w="100"/>
              <w:bottom w:type="dxa" w:w="60"/>
              <w:right w:type="dxa" w:w="100"/>
            </w:tcMar>
          </w:tcPr>
          <w:p>
            <w:r>
              <w:rPr>
                <w:b/>
                <w:bCs/>
                <w:sz w:val="18"/>
                <w:szCs w:val="18"/>
              </w:rPr>
              <w:t xml:space="preserve">System</w:t>
            </w:r>
          </w:p>
        </w:tc>
        <w:tc>
          <w:tcPr>
            <w:tcW w:type="dxa" w:w="7000"/>
            <w:shd w:fill="DCE8E1" w:val="clear"/>
            <w:tcMar>
              <w:top w:type="dxa" w:w="60"/>
              <w:left w:type="dxa" w:w="100"/>
              <w:bottom w:type="dxa" w:w="60"/>
              <w:right w:type="dxa" w:w="100"/>
            </w:tcMar>
          </w:tcPr>
          <w:p>
            <w:r>
              <w:rPr>
                <w:b/>
                <w:bCs/>
                <w:sz w:val="18"/>
                <w:szCs w:val="18"/>
              </w:rPr>
              <w:t xml:space="preserve">Interface</w:t>
            </w:r>
          </w:p>
        </w:tc>
      </w:tr>
      <w:tr>
        <w:tc>
          <w:tcPr>
            <w:tcW w:type="dxa" w:w="2600"/>
            <w:tcMar>
              <w:top w:type="dxa" w:w="60"/>
              <w:left w:type="dxa" w:w="100"/>
              <w:bottom w:type="dxa" w:w="60"/>
              <w:right w:type="dxa" w:w="100"/>
            </w:tcMar>
          </w:tcPr>
          <w:p>
            <w:r>
              <w:rPr>
                <w:b w:val="false"/>
                <w:bCs w:val="false"/>
                <w:sz w:val="18"/>
                <w:szCs w:val="18"/>
              </w:rPr>
              <w:t xml:space="preserve">MongoDB Atlas</w:t>
            </w:r>
          </w:p>
        </w:tc>
        <w:tc>
          <w:tcPr>
            <w:tcW w:type="dxa" w:w="7000"/>
            <w:tcMar>
              <w:top w:type="dxa" w:w="60"/>
              <w:left w:type="dxa" w:w="100"/>
              <w:bottom w:type="dxa" w:w="60"/>
              <w:right w:type="dxa" w:w="100"/>
            </w:tcMar>
          </w:tcPr>
          <w:p>
            <w:r>
              <w:rPr>
                <w:b w:val="false"/>
                <w:bCs w:val="false"/>
                <w:sz w:val="18"/>
                <w:szCs w:val="18"/>
              </w:rPr>
              <w:t xml:space="preserve">Primary datastore, accessed via Mongoose over a TLS connection string; replica set required for transactions.</w:t>
            </w:r>
          </w:p>
        </w:tc>
      </w:tr>
      <w:tr>
        <w:tc>
          <w:tcPr>
            <w:tcW w:type="dxa" w:w="2600"/>
            <w:tcMar>
              <w:top w:type="dxa" w:w="60"/>
              <w:left w:type="dxa" w:w="100"/>
              <w:bottom w:type="dxa" w:w="60"/>
              <w:right w:type="dxa" w:w="100"/>
            </w:tcMar>
          </w:tcPr>
          <w:p>
            <w:r>
              <w:rPr>
                <w:b w:val="false"/>
                <w:bCs w:val="false"/>
                <w:sz w:val="18"/>
                <w:szCs w:val="18"/>
              </w:rPr>
              <w:t xml:space="preserve">Redis</w:t>
            </w:r>
          </w:p>
        </w:tc>
        <w:tc>
          <w:tcPr>
            <w:tcW w:type="dxa" w:w="7000"/>
            <w:tcMar>
              <w:top w:type="dxa" w:w="60"/>
              <w:left w:type="dxa" w:w="100"/>
              <w:bottom w:type="dxa" w:w="60"/>
              <w:right w:type="dxa" w:w="100"/>
            </w:tcMar>
          </w:tcPr>
          <w:p>
            <w:r>
              <w:rPr>
                <w:b w:val="false"/>
                <w:bCs w:val="false"/>
                <w:sz w:val="18"/>
                <w:szCs w:val="18"/>
              </w:rPr>
              <w:t xml:space="preserve">Cache and distributed coordination (rate limiting, job locks, OTP throttling).</w:t>
            </w:r>
          </w:p>
        </w:tc>
      </w:tr>
      <w:tr>
        <w:tc>
          <w:tcPr>
            <w:tcW w:type="dxa" w:w="2600"/>
            <w:tcMar>
              <w:top w:type="dxa" w:w="60"/>
              <w:left w:type="dxa" w:w="100"/>
              <w:bottom w:type="dxa" w:w="60"/>
              <w:right w:type="dxa" w:w="100"/>
            </w:tcMar>
          </w:tcPr>
          <w:p>
            <w:r>
              <w:rPr>
                <w:b w:val="false"/>
                <w:bCs w:val="false"/>
                <w:sz w:val="18"/>
                <w:szCs w:val="18"/>
              </w:rPr>
              <w:t xml:space="preserve">SMTP provider</w:t>
            </w:r>
          </w:p>
        </w:tc>
        <w:tc>
          <w:tcPr>
            <w:tcW w:type="dxa" w:w="7000"/>
            <w:tcMar>
              <w:top w:type="dxa" w:w="60"/>
              <w:left w:type="dxa" w:w="100"/>
              <w:bottom w:type="dxa" w:w="60"/>
              <w:right w:type="dxa" w:w="100"/>
            </w:tcMar>
          </w:tcPr>
          <w:p>
            <w:r>
              <w:rPr>
                <w:b w:val="false"/>
                <w:bCs w:val="false"/>
                <w:sz w:val="18"/>
                <w:szCs w:val="18"/>
              </w:rPr>
              <w:t xml:space="preserve">Transactional email (OTP, receipts, statements, notifications).</w:t>
            </w:r>
          </w:p>
        </w:tc>
      </w:tr>
      <w:tr>
        <w:tc>
          <w:tcPr>
            <w:tcW w:type="dxa" w:w="2600"/>
            <w:tcMar>
              <w:top w:type="dxa" w:w="60"/>
              <w:left w:type="dxa" w:w="100"/>
              <w:bottom w:type="dxa" w:w="60"/>
              <w:right w:type="dxa" w:w="100"/>
            </w:tcMar>
          </w:tcPr>
          <w:p>
            <w:r>
              <w:rPr>
                <w:b w:val="false"/>
                <w:bCs w:val="false"/>
                <w:sz w:val="18"/>
                <w:szCs w:val="18"/>
              </w:rPr>
              <w:t xml:space="preserve">WhatsApp Cloud API</w:t>
            </w:r>
          </w:p>
        </w:tc>
        <w:tc>
          <w:tcPr>
            <w:tcW w:type="dxa" w:w="7000"/>
            <w:tcMar>
              <w:top w:type="dxa" w:w="60"/>
              <w:left w:type="dxa" w:w="100"/>
              <w:bottom w:type="dxa" w:w="60"/>
              <w:right w:type="dxa" w:w="100"/>
            </w:tcMar>
          </w:tcPr>
          <w:p>
            <w:r>
              <w:rPr>
                <w:b w:val="false"/>
                <w:bCs w:val="false"/>
                <w:sz w:val="18"/>
                <w:szCs w:val="18"/>
              </w:rPr>
              <w:t xml:space="preserve">Template-based delivery notifications via a durable retrying outbox.</w:t>
            </w:r>
          </w:p>
        </w:tc>
      </w:tr>
      <w:tr>
        <w:tc>
          <w:tcPr>
            <w:tcW w:type="dxa" w:w="2600"/>
            <w:tcMar>
              <w:top w:type="dxa" w:w="60"/>
              <w:left w:type="dxa" w:w="100"/>
              <w:bottom w:type="dxa" w:w="60"/>
              <w:right w:type="dxa" w:w="100"/>
            </w:tcMar>
          </w:tcPr>
          <w:p>
            <w:r>
              <w:rPr>
                <w:b w:val="false"/>
                <w:bCs w:val="false"/>
                <w:sz w:val="18"/>
                <w:szCs w:val="18"/>
              </w:rPr>
              <w:t xml:space="preserve">Payment provider (future)</w:t>
            </w:r>
          </w:p>
        </w:tc>
        <w:tc>
          <w:tcPr>
            <w:tcW w:type="dxa" w:w="7000"/>
            <w:tcMar>
              <w:top w:type="dxa" w:w="60"/>
              <w:left w:type="dxa" w:w="100"/>
              <w:bottom w:type="dxa" w:w="60"/>
              <w:right w:type="dxa" w:w="100"/>
            </w:tcMar>
          </w:tcPr>
          <w:p>
            <w:r>
              <w:rPr>
                <w:b w:val="false"/>
                <w:bCs w:val="false"/>
                <w:sz w:val="18"/>
                <w:szCs w:val="18"/>
              </w:rPr>
              <w:t xml:space="preserve">Provider-hosted payment collection; the platform never stores card credentials.</w:t>
            </w:r>
          </w:p>
        </w:tc>
      </w:tr>
      <w:tr>
        <w:tc>
          <w:tcPr>
            <w:tcW w:type="dxa" w:w="2600"/>
            <w:tcMar>
              <w:top w:type="dxa" w:w="60"/>
              <w:left w:type="dxa" w:w="100"/>
              <w:bottom w:type="dxa" w:w="60"/>
              <w:right w:type="dxa" w:w="100"/>
            </w:tcMar>
          </w:tcPr>
          <w:p>
            <w:r>
              <w:rPr>
                <w:b w:val="false"/>
                <w:bCs w:val="false"/>
                <w:sz w:val="18"/>
                <w:szCs w:val="18"/>
              </w:rPr>
              <w:t xml:space="preserve">Object storage</w:t>
            </w:r>
          </w:p>
        </w:tc>
        <w:tc>
          <w:tcPr>
            <w:tcW w:type="dxa" w:w="7000"/>
            <w:tcMar>
              <w:top w:type="dxa" w:w="60"/>
              <w:left w:type="dxa" w:w="100"/>
              <w:bottom w:type="dxa" w:w="60"/>
              <w:right w:type="dxa" w:w="100"/>
            </w:tcMar>
          </w:tcPr>
          <w:p>
            <w:r>
              <w:rPr>
                <w:b w:val="false"/>
                <w:bCs w:val="false"/>
                <w:sz w:val="18"/>
                <w:szCs w:val="18"/>
              </w:rPr>
              <w:t xml:space="preserve">Durable storage for generated PDFs/CSVs and encrypted backups.</w:t>
            </w:r>
          </w:p>
        </w:tc>
      </w:tr>
    </w:tbl>
    <w:p>
      <w:pPr>
        <w:spacing w:after="60"/>
      </w:pPr>
    </w:p>
    <w:p>
      <w:pPr>
        <w:pStyle w:val="Heading2"/>
        <w:spacing w:after="100" w:before="220"/>
      </w:pPr>
      <w:r>
        <w:rPr>
          <w:b/>
          <w:bCs/>
          <w:color w:val="4B765F"/>
          <w:sz w:val="24"/>
          <w:szCs w:val="24"/>
        </w:rPr>
        <w:t xml:space="preserve">5.4 Communication Interfaces</w:t>
      </w:r>
    </w:p>
    <w:p>
      <w:pPr>
        <w:spacing w:after="120"/>
      </w:pPr>
      <w:r>
        <w:rPr>
          <w:sz w:val="20"/>
          <w:szCs w:val="20"/>
        </w:rPr>
        <w:t xml:space="preserve">All client-server communication uses HTTPS. Real-time notifications use an authenticated, tenant/user-scoped Socket.IO channel over WSS in production. There are no hardware interfaces; the system is browser/network only.</w:t>
      </w:r>
    </w:p>
    <w:p>
      <w:pPr>
        <w:pStyle w:val="Heading1"/>
        <w:spacing w:after="140" w:before="320"/>
      </w:pPr>
      <w:r>
        <w:rPr>
          <w:b/>
          <w:bCs/>
          <w:color w:val="2D684C"/>
          <w:sz w:val="30"/>
          <w:szCs w:val="30"/>
        </w:rPr>
        <w:t xml:space="preserve">6. Non-Functional Requirements</w:t>
      </w:r>
    </w:p>
    <w:p>
      <w:pPr>
        <w:pStyle w:val="Heading2"/>
        <w:spacing w:after="100" w:before="220"/>
      </w:pPr>
      <w:r>
        <w:rPr>
          <w:b/>
          <w:bCs/>
          <w:color w:val="4B765F"/>
          <w:sz w:val="24"/>
          <w:szCs w:val="24"/>
        </w:rPr>
        <w:t xml:space="preserve">6.1 Security and Privacy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NFR-SEC-01</w:t>
            </w:r>
          </w:p>
        </w:tc>
        <w:tc>
          <w:tcPr>
            <w:tcW w:type="dxa" w:w="7900"/>
            <w:tcMar>
              <w:top w:type="dxa" w:w="60"/>
              <w:left w:type="dxa" w:w="100"/>
              <w:bottom w:type="dxa" w:w="60"/>
              <w:right w:type="dxa" w:w="100"/>
            </w:tcMar>
          </w:tcPr>
          <w:p>
            <w:r>
              <w:rPr>
                <w:b w:val="false"/>
                <w:bCs w:val="false"/>
                <w:sz w:val="18"/>
                <w:szCs w:val="18"/>
              </w:rPr>
              <w:t xml:space="preserve">TLS and secure HTTP headers (Helmet) shall be enforced in production; CORS shall allow only exact, credentialed origins — never a wildcard.</w:t>
            </w:r>
          </w:p>
        </w:tc>
      </w:tr>
      <w:tr>
        <w:tc>
          <w:tcPr>
            <w:tcW w:type="dxa" w:w="1700"/>
            <w:tcMar>
              <w:top w:type="dxa" w:w="60"/>
              <w:left w:type="dxa" w:w="100"/>
              <w:bottom w:type="dxa" w:w="60"/>
              <w:right w:type="dxa" w:w="100"/>
            </w:tcMar>
          </w:tcPr>
          <w:p>
            <w:r>
              <w:rPr>
                <w:b w:val="false"/>
                <w:bCs w:val="false"/>
                <w:sz w:val="18"/>
                <w:szCs w:val="18"/>
              </w:rPr>
              <w:t xml:space="preserve">NFR-SEC-02</w:t>
            </w:r>
          </w:p>
        </w:tc>
        <w:tc>
          <w:tcPr>
            <w:tcW w:type="dxa" w:w="7900"/>
            <w:tcMar>
              <w:top w:type="dxa" w:w="60"/>
              <w:left w:type="dxa" w:w="100"/>
              <w:bottom w:type="dxa" w:w="60"/>
              <w:right w:type="dxa" w:w="100"/>
            </w:tcMar>
          </w:tcPr>
          <w:p>
            <w:r>
              <w:rPr>
                <w:b w:val="false"/>
                <w:bCs w:val="false"/>
                <w:sz w:val="18"/>
                <w:szCs w:val="18"/>
              </w:rPr>
              <w:t xml:space="preserve">Secrets shall be high-entropy, rotatable, and stored outside source control. JWT signing key and settings-encryption key shall be distinct.</w:t>
            </w:r>
          </w:p>
        </w:tc>
      </w:tr>
      <w:tr>
        <w:tc>
          <w:tcPr>
            <w:tcW w:type="dxa" w:w="1700"/>
            <w:tcMar>
              <w:top w:type="dxa" w:w="60"/>
              <w:left w:type="dxa" w:w="100"/>
              <w:bottom w:type="dxa" w:w="60"/>
              <w:right w:type="dxa" w:w="100"/>
            </w:tcMar>
          </w:tcPr>
          <w:p>
            <w:r>
              <w:rPr>
                <w:b w:val="false"/>
                <w:bCs w:val="false"/>
                <w:sz w:val="18"/>
                <w:szCs w:val="18"/>
              </w:rPr>
              <w:t xml:space="preserve">NFR-SEC-03</w:t>
            </w:r>
          </w:p>
        </w:tc>
        <w:tc>
          <w:tcPr>
            <w:tcW w:type="dxa" w:w="7900"/>
            <w:tcMar>
              <w:top w:type="dxa" w:w="60"/>
              <w:left w:type="dxa" w:w="100"/>
              <w:bottom w:type="dxa" w:w="60"/>
              <w:right w:type="dxa" w:w="100"/>
            </w:tcMar>
          </w:tcPr>
          <w:p>
            <w:r>
              <w:rPr>
                <w:b w:val="false"/>
                <w:bCs w:val="false"/>
                <w:sz w:val="18"/>
                <w:szCs w:val="18"/>
              </w:rPr>
              <w:t xml:space="preserve">Every resource-returning endpoint and every export shall be covered by a tenant-ownership test.</w:t>
            </w:r>
          </w:p>
        </w:tc>
      </w:tr>
      <w:tr>
        <w:tc>
          <w:tcPr>
            <w:tcW w:type="dxa" w:w="1700"/>
            <w:tcMar>
              <w:top w:type="dxa" w:w="60"/>
              <w:left w:type="dxa" w:w="100"/>
              <w:bottom w:type="dxa" w:w="60"/>
              <w:right w:type="dxa" w:w="100"/>
            </w:tcMar>
          </w:tcPr>
          <w:p>
            <w:r>
              <w:rPr>
                <w:b w:val="false"/>
                <w:bCs w:val="false"/>
                <w:sz w:val="18"/>
                <w:szCs w:val="18"/>
              </w:rPr>
              <w:t xml:space="preserve">NFR-SEC-04</w:t>
            </w:r>
          </w:p>
        </w:tc>
        <w:tc>
          <w:tcPr>
            <w:tcW w:type="dxa" w:w="7900"/>
            <w:tcMar>
              <w:top w:type="dxa" w:w="60"/>
              <w:left w:type="dxa" w:w="100"/>
              <w:bottom w:type="dxa" w:w="60"/>
              <w:right w:type="dxa" w:w="100"/>
            </w:tcMar>
          </w:tcPr>
          <w:p>
            <w:r>
              <w:rPr>
                <w:b w:val="false"/>
                <w:bCs w:val="false"/>
                <w:sz w:val="18"/>
                <w:szCs w:val="18"/>
              </w:rPr>
              <w:t xml:space="preserve">The system shall prevent NoSQL operator injection, XSS, prototype pollution, path traversal, and CSV formula injection.</w:t>
            </w:r>
          </w:p>
        </w:tc>
      </w:tr>
      <w:tr>
        <w:tc>
          <w:tcPr>
            <w:tcW w:type="dxa" w:w="1700"/>
            <w:tcMar>
              <w:top w:type="dxa" w:w="60"/>
              <w:left w:type="dxa" w:w="100"/>
              <w:bottom w:type="dxa" w:w="60"/>
              <w:right w:type="dxa" w:w="100"/>
            </w:tcMar>
          </w:tcPr>
          <w:p>
            <w:r>
              <w:rPr>
                <w:b w:val="false"/>
                <w:bCs w:val="false"/>
                <w:sz w:val="18"/>
                <w:szCs w:val="18"/>
              </w:rPr>
              <w:t xml:space="preserve">NFR-SEC-05</w:t>
            </w:r>
          </w:p>
        </w:tc>
        <w:tc>
          <w:tcPr>
            <w:tcW w:type="dxa" w:w="7900"/>
            <w:tcMar>
              <w:top w:type="dxa" w:w="60"/>
              <w:left w:type="dxa" w:w="100"/>
              <w:bottom w:type="dxa" w:w="60"/>
              <w:right w:type="dxa" w:w="100"/>
            </w:tcMar>
          </w:tcPr>
          <w:p>
            <w:r>
              <w:rPr>
                <w:b w:val="false"/>
                <w:bCs w:val="false"/>
                <w:sz w:val="18"/>
                <w:szCs w:val="18"/>
              </w:rPr>
              <w:t xml:space="preserve">Auth/OTP rate limits shall be enforced across distributed instances (via Redis); settings and backups shall be encrypted; service credentials shall follow least privilege.</w:t>
            </w:r>
          </w:p>
        </w:tc>
      </w:tr>
      <w:tr>
        <w:tc>
          <w:tcPr>
            <w:tcW w:type="dxa" w:w="1700"/>
            <w:tcMar>
              <w:top w:type="dxa" w:w="60"/>
              <w:left w:type="dxa" w:w="100"/>
              <w:bottom w:type="dxa" w:w="60"/>
              <w:right w:type="dxa" w:w="100"/>
            </w:tcMar>
          </w:tcPr>
          <w:p>
            <w:r>
              <w:rPr>
                <w:b w:val="false"/>
                <w:bCs w:val="false"/>
                <w:sz w:val="18"/>
                <w:szCs w:val="18"/>
              </w:rPr>
              <w:t xml:space="preserve">NFR-SEC-06</w:t>
            </w:r>
          </w:p>
        </w:tc>
        <w:tc>
          <w:tcPr>
            <w:tcW w:type="dxa" w:w="7900"/>
            <w:tcMar>
              <w:top w:type="dxa" w:w="60"/>
              <w:left w:type="dxa" w:w="100"/>
              <w:bottom w:type="dxa" w:w="60"/>
              <w:right w:type="dxa" w:w="100"/>
            </w:tcMar>
          </w:tcPr>
          <w:p>
            <w:r>
              <w:rPr>
                <w:b w:val="false"/>
                <w:bCs w:val="false"/>
                <w:sz w:val="18"/>
                <w:szCs w:val="18"/>
              </w:rPr>
              <w:t xml:space="preserve">Personally identifiable information shall be minimized, masked in logs, retained per policy, and deletable on request; secrets shall never be logged.</w:t>
            </w:r>
          </w:p>
        </w:tc>
      </w:tr>
      <w:tr>
        <w:tc>
          <w:tcPr>
            <w:tcW w:type="dxa" w:w="1700"/>
            <w:tcMar>
              <w:top w:type="dxa" w:w="60"/>
              <w:left w:type="dxa" w:w="100"/>
              <w:bottom w:type="dxa" w:w="60"/>
              <w:right w:type="dxa" w:w="100"/>
            </w:tcMar>
          </w:tcPr>
          <w:p>
            <w:r>
              <w:rPr>
                <w:b w:val="false"/>
                <w:bCs w:val="false"/>
                <w:sz w:val="18"/>
                <w:szCs w:val="18"/>
              </w:rPr>
              <w:t xml:space="preserve">NFR-SEC-07</w:t>
            </w:r>
          </w:p>
        </w:tc>
        <w:tc>
          <w:tcPr>
            <w:tcW w:type="dxa" w:w="7900"/>
            <w:tcMar>
              <w:top w:type="dxa" w:w="60"/>
              <w:left w:type="dxa" w:w="100"/>
              <w:bottom w:type="dxa" w:w="60"/>
              <w:right w:type="dxa" w:w="100"/>
            </w:tcMar>
          </w:tcPr>
          <w:p>
            <w:r>
              <w:rPr>
                <w:b w:val="false"/>
                <w:bCs w:val="false"/>
                <w:sz w:val="18"/>
                <w:szCs w:val="18"/>
              </w:rPr>
              <w:t xml:space="preserve">Payment collection shall be provider-hosted; card credentials shall never be stored by the platform.</w:t>
            </w:r>
          </w:p>
        </w:tc>
      </w:tr>
      <w:tr>
        <w:tc>
          <w:tcPr>
            <w:tcW w:type="dxa" w:w="1700"/>
            <w:tcMar>
              <w:top w:type="dxa" w:w="60"/>
              <w:left w:type="dxa" w:w="100"/>
              <w:bottom w:type="dxa" w:w="60"/>
              <w:right w:type="dxa" w:w="100"/>
            </w:tcMar>
          </w:tcPr>
          <w:p>
            <w:r>
              <w:rPr>
                <w:b w:val="false"/>
                <w:bCs w:val="false"/>
                <w:sz w:val="18"/>
                <w:szCs w:val="18"/>
              </w:rPr>
              <w:t xml:space="preserve">NFR-SEC-08</w:t>
            </w:r>
          </w:p>
        </w:tc>
        <w:tc>
          <w:tcPr>
            <w:tcW w:type="dxa" w:w="7900"/>
            <w:tcMar>
              <w:top w:type="dxa" w:w="60"/>
              <w:left w:type="dxa" w:w="100"/>
              <w:bottom w:type="dxa" w:w="60"/>
              <w:right w:type="dxa" w:w="100"/>
            </w:tcMar>
          </w:tcPr>
          <w:p>
            <w:r>
              <w:rPr>
                <w:b w:val="false"/>
                <w:bCs w:val="false"/>
                <w:sz w:val="18"/>
                <w:szCs w:val="18"/>
              </w:rPr>
              <w:t xml:space="preserve">Dependencies and deployment images shall be scanned for known vulnerabilities; audit logs shall be tamper-resistant.</w:t>
            </w:r>
          </w:p>
        </w:tc>
      </w:tr>
    </w:tbl>
    <w:p>
      <w:pPr>
        <w:pStyle w:val="Heading2"/>
        <w:spacing w:after="100" w:before="220"/>
      </w:pPr>
      <w:r>
        <w:rPr>
          <w:b/>
          <w:bCs/>
          <w:color w:val="4B765F"/>
          <w:sz w:val="24"/>
          <w:szCs w:val="24"/>
        </w:rPr>
        <w:t xml:space="preserve">6.2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NFR-PERF-01</w:t>
            </w:r>
          </w:p>
        </w:tc>
        <w:tc>
          <w:tcPr>
            <w:tcW w:type="dxa" w:w="7900"/>
            <w:tcMar>
              <w:top w:type="dxa" w:w="60"/>
              <w:left w:type="dxa" w:w="100"/>
              <w:bottom w:type="dxa" w:w="60"/>
              <w:right w:type="dxa" w:w="100"/>
            </w:tcMar>
          </w:tcPr>
          <w:p>
            <w:r>
              <w:rPr>
                <w:b w:val="false"/>
                <w:bCs w:val="false"/>
                <w:sz w:val="18"/>
                <w:szCs w:val="18"/>
              </w:rPr>
              <w:t xml:space="preserve">p95 latency for ordinary API calls shall be ≤ 500 ms under agreed normal load; mobile pages shall be interactive within ≤ 3 s; a normal report shall render within ≤ 5 s.</w:t>
            </w:r>
          </w:p>
        </w:tc>
      </w:tr>
      <w:tr>
        <w:tc>
          <w:tcPr>
            <w:tcW w:type="dxa" w:w="1700"/>
            <w:tcMar>
              <w:top w:type="dxa" w:w="60"/>
              <w:left w:type="dxa" w:w="100"/>
              <w:bottom w:type="dxa" w:w="60"/>
              <w:right w:type="dxa" w:w="100"/>
            </w:tcMar>
          </w:tcPr>
          <w:p>
            <w:r>
              <w:rPr>
                <w:b w:val="false"/>
                <w:bCs w:val="false"/>
                <w:sz w:val="18"/>
                <w:szCs w:val="18"/>
              </w:rPr>
              <w:t xml:space="preserve">NFR-PERF-02</w:t>
            </w:r>
          </w:p>
        </w:tc>
        <w:tc>
          <w:tcPr>
            <w:tcW w:type="dxa" w:w="7900"/>
            <w:tcMar>
              <w:top w:type="dxa" w:w="60"/>
              <w:left w:type="dxa" w:w="100"/>
              <w:bottom w:type="dxa" w:w="60"/>
              <w:right w:type="dxa" w:w="100"/>
            </w:tcMar>
          </w:tcPr>
          <w:p>
            <w:r>
              <w:rPr>
                <w:b w:val="false"/>
                <w:bCs w:val="false"/>
                <w:sz w:val="18"/>
                <w:szCs w:val="18"/>
              </w:rPr>
              <w:t xml:space="preserve">The system shall be load-tested to a baseline capacity of 10,000 milkmen / 100,000 customers under realistic delivery-volume traffic.</w:t>
            </w:r>
          </w:p>
        </w:tc>
      </w:tr>
      <w:tr>
        <w:tc>
          <w:tcPr>
            <w:tcW w:type="dxa" w:w="1700"/>
            <w:tcMar>
              <w:top w:type="dxa" w:w="60"/>
              <w:left w:type="dxa" w:w="100"/>
              <w:bottom w:type="dxa" w:w="60"/>
              <w:right w:type="dxa" w:w="100"/>
            </w:tcMar>
          </w:tcPr>
          <w:p>
            <w:r>
              <w:rPr>
                <w:b w:val="false"/>
                <w:bCs w:val="false"/>
                <w:sz w:val="18"/>
                <w:szCs w:val="18"/>
              </w:rPr>
              <w:t xml:space="preserve">NFR-PERF-03</w:t>
            </w:r>
          </w:p>
        </w:tc>
        <w:tc>
          <w:tcPr>
            <w:tcW w:type="dxa" w:w="7900"/>
            <w:tcMar>
              <w:top w:type="dxa" w:w="60"/>
              <w:left w:type="dxa" w:w="100"/>
              <w:bottom w:type="dxa" w:w="60"/>
              <w:right w:type="dxa" w:w="100"/>
            </w:tcMar>
          </w:tcPr>
          <w:p>
            <w:r>
              <w:rPr>
                <w:b w:val="false"/>
                <w:bCs w:val="false"/>
                <w:sz w:val="18"/>
                <w:szCs w:val="18"/>
              </w:rPr>
              <w:t xml:space="preserve">All list/report queries shall be indexed, bounded, and paginated; large exports shall run asynchronously via a job queue.</w:t>
            </w:r>
          </w:p>
        </w:tc>
      </w:tr>
    </w:tbl>
    <w:p>
      <w:pPr>
        <w:pStyle w:val="Heading2"/>
        <w:spacing w:after="100" w:before="220"/>
      </w:pPr>
      <w:r>
        <w:rPr>
          <w:b/>
          <w:bCs/>
          <w:color w:val="4B765F"/>
          <w:sz w:val="24"/>
          <w:szCs w:val="24"/>
        </w:rPr>
        <w:t xml:space="preserve">6.3 Reliability and Availability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NFR-REL-01</w:t>
            </w:r>
          </w:p>
        </w:tc>
        <w:tc>
          <w:tcPr>
            <w:tcW w:type="dxa" w:w="7900"/>
            <w:tcMar>
              <w:top w:type="dxa" w:w="60"/>
              <w:left w:type="dxa" w:w="100"/>
              <w:bottom w:type="dxa" w:w="60"/>
              <w:right w:type="dxa" w:w="100"/>
            </w:tcMar>
          </w:tcPr>
          <w:p>
            <w:r>
              <w:rPr>
                <w:b w:val="false"/>
                <w:bCs w:val="false"/>
                <w:sz w:val="18"/>
                <w:szCs w:val="18"/>
              </w:rPr>
              <w:t xml:space="preserve">Critical flows (registration, billing, payment) shall be transactional; writes and scheduled jobs shall be idempotent; the process shall shut down gracefully, finishing or safely aborting in-flight work.</w:t>
            </w:r>
          </w:p>
        </w:tc>
      </w:tr>
      <w:tr>
        <w:tc>
          <w:tcPr>
            <w:tcW w:type="dxa" w:w="1700"/>
            <w:tcMar>
              <w:top w:type="dxa" w:w="60"/>
              <w:left w:type="dxa" w:w="100"/>
              <w:bottom w:type="dxa" w:w="60"/>
              <w:right w:type="dxa" w:w="100"/>
            </w:tcMar>
          </w:tcPr>
          <w:p>
            <w:r>
              <w:rPr>
                <w:b w:val="false"/>
                <w:bCs w:val="false"/>
                <w:sz w:val="18"/>
                <w:szCs w:val="18"/>
              </w:rPr>
              <w:t xml:space="preserve">NFR-REL-02</w:t>
            </w:r>
          </w:p>
        </w:tc>
        <w:tc>
          <w:tcPr>
            <w:tcW w:type="dxa" w:w="7900"/>
            <w:tcMar>
              <w:top w:type="dxa" w:w="60"/>
              <w:left w:type="dxa" w:w="100"/>
              <w:bottom w:type="dxa" w:w="60"/>
              <w:right w:type="dxa" w:w="100"/>
            </w:tcMar>
          </w:tcPr>
          <w:p>
            <w:r>
              <w:rPr>
                <w:b w:val="false"/>
                <w:bCs w:val="false"/>
                <w:sz w:val="18"/>
                <w:szCs w:val="18"/>
              </w:rPr>
              <w:t xml:space="preserve">Encrypted, off-host backups shall run daily. Initial RPO ≤ 24 h (target ≤ 1 h once mature); RTO ≤ 4 h; restores shall be verified quarterly.</w:t>
            </w:r>
          </w:p>
        </w:tc>
      </w:tr>
    </w:tbl>
    <w:p>
      <w:pPr>
        <w:pStyle w:val="Heading2"/>
        <w:spacing w:after="100" w:before="220"/>
      </w:pPr>
      <w:r>
        <w:rPr>
          <w:b/>
          <w:bCs/>
          <w:color w:val="4B765F"/>
          <w:sz w:val="24"/>
          <w:szCs w:val="24"/>
        </w:rPr>
        <w:t xml:space="preserve">6.4 Operability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NFR-OPS-01</w:t>
            </w:r>
          </w:p>
        </w:tc>
        <w:tc>
          <w:tcPr>
            <w:tcW w:type="dxa" w:w="7900"/>
            <w:tcMar>
              <w:top w:type="dxa" w:w="60"/>
              <w:left w:type="dxa" w:w="100"/>
              <w:bottom w:type="dxa" w:w="60"/>
              <w:right w:type="dxa" w:w="100"/>
            </w:tcMar>
          </w:tcPr>
          <w:p>
            <w:r>
              <w:rPr>
                <w:b w:val="false"/>
                <w:bCs w:val="false"/>
                <w:sz w:val="18"/>
                <w:szCs w:val="18"/>
              </w:rPr>
              <w:t xml:space="preserve">The API shall be stateless and horizontally scalable; scheduled jobs shall use distributed locks to avoid duplicate execution; the service shall expose liveness, readiness, and dependency health checks.</w:t>
            </w:r>
          </w:p>
        </w:tc>
      </w:tr>
      <w:tr>
        <w:tc>
          <w:tcPr>
            <w:tcW w:type="dxa" w:w="1700"/>
            <w:tcMar>
              <w:top w:type="dxa" w:w="60"/>
              <w:left w:type="dxa" w:w="100"/>
              <w:bottom w:type="dxa" w:w="60"/>
              <w:right w:type="dxa" w:w="100"/>
            </w:tcMar>
          </w:tcPr>
          <w:p>
            <w:r>
              <w:rPr>
                <w:b w:val="false"/>
                <w:bCs w:val="false"/>
                <w:sz w:val="18"/>
                <w:szCs w:val="18"/>
              </w:rPr>
              <w:t xml:space="preserve">NFR-OPS-02</w:t>
            </w:r>
          </w:p>
        </w:tc>
        <w:tc>
          <w:tcPr>
            <w:tcW w:type="dxa" w:w="7900"/>
            <w:tcMar>
              <w:top w:type="dxa" w:w="60"/>
              <w:left w:type="dxa" w:w="100"/>
              <w:bottom w:type="dxa" w:w="60"/>
              <w:right w:type="dxa" w:w="100"/>
            </w:tcMar>
          </w:tcPr>
          <w:p>
            <w:r>
              <w:rPr>
                <w:b w:val="false"/>
                <w:bCs w:val="false"/>
                <w:sz w:val="18"/>
                <w:szCs w:val="18"/>
              </w:rPr>
              <w:t xml:space="preserve">Structured logs, metrics, and traces shall cover latency, errors, database health, job/outbox status, backup age, and authentication anomalies, with alerting on each.</w:t>
            </w:r>
          </w:p>
        </w:tc>
      </w:tr>
      <w:tr>
        <w:tc>
          <w:tcPr>
            <w:tcW w:type="dxa" w:w="1700"/>
            <w:tcMar>
              <w:top w:type="dxa" w:w="60"/>
              <w:left w:type="dxa" w:w="100"/>
              <w:bottom w:type="dxa" w:w="60"/>
              <w:right w:type="dxa" w:w="100"/>
            </w:tcMar>
          </w:tcPr>
          <w:p>
            <w:r>
              <w:rPr>
                <w:b w:val="false"/>
                <w:bCs w:val="false"/>
                <w:sz w:val="18"/>
                <w:szCs w:val="18"/>
              </w:rPr>
              <w:t xml:space="preserve">NFR-OPS-03</w:t>
            </w:r>
          </w:p>
        </w:tc>
        <w:tc>
          <w:tcPr>
            <w:tcW w:type="dxa" w:w="7900"/>
            <w:tcMar>
              <w:top w:type="dxa" w:w="60"/>
              <w:left w:type="dxa" w:w="100"/>
              <w:bottom w:type="dxa" w:w="60"/>
              <w:right w:type="dxa" w:w="100"/>
            </w:tcMar>
          </w:tcPr>
          <w:p>
            <w:r>
              <w:rPr>
                <w:b w:val="false"/>
                <w:bCs w:val="false"/>
                <w:sz w:val="18"/>
                <w:szCs w:val="18"/>
              </w:rPr>
              <w:t xml:space="preserve">Startup shall validate required environment variables and fail fast if missing; deployments shall support low-downtime rollout and rollback.</w:t>
            </w:r>
          </w:p>
        </w:tc>
      </w:tr>
    </w:tbl>
    <w:p>
      <w:pPr>
        <w:pStyle w:val="Heading2"/>
        <w:spacing w:after="100" w:before="220"/>
      </w:pPr>
      <w:r>
        <w:rPr>
          <w:b/>
          <w:bCs/>
          <w:color w:val="4B765F"/>
          <w:sz w:val="24"/>
          <w:szCs w:val="24"/>
        </w:rPr>
        <w:t xml:space="preserve">6.5 Usability and Accessibility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NFR-UX-01</w:t>
            </w:r>
          </w:p>
        </w:tc>
        <w:tc>
          <w:tcPr>
            <w:tcW w:type="dxa" w:w="7900"/>
            <w:tcMar>
              <w:top w:type="dxa" w:w="60"/>
              <w:left w:type="dxa" w:w="100"/>
              <w:bottom w:type="dxa" w:w="60"/>
              <w:right w:type="dxa" w:w="100"/>
            </w:tcMar>
          </w:tcPr>
          <w:p>
            <w:r>
              <w:rPr>
                <w:b w:val="false"/>
                <w:bCs w:val="false"/>
                <w:sz w:val="18"/>
                <w:szCs w:val="18"/>
              </w:rPr>
              <w:t xml:space="preserve">Core screens shall work from a 320px viewport with touch targets ≥ 44×44 CSS pixels.</w:t>
            </w:r>
          </w:p>
        </w:tc>
      </w:tr>
      <w:tr>
        <w:tc>
          <w:tcPr>
            <w:tcW w:type="dxa" w:w="1700"/>
            <w:tcMar>
              <w:top w:type="dxa" w:w="60"/>
              <w:left w:type="dxa" w:w="100"/>
              <w:bottom w:type="dxa" w:w="60"/>
              <w:right w:type="dxa" w:w="100"/>
            </w:tcMar>
          </w:tcPr>
          <w:p>
            <w:r>
              <w:rPr>
                <w:b w:val="false"/>
                <w:bCs w:val="false"/>
                <w:sz w:val="18"/>
                <w:szCs w:val="18"/>
              </w:rPr>
              <w:t xml:space="preserve">NFR-UX-02</w:t>
            </w:r>
          </w:p>
        </w:tc>
        <w:tc>
          <w:tcPr>
            <w:tcW w:type="dxa" w:w="7900"/>
            <w:tcMar>
              <w:top w:type="dxa" w:w="60"/>
              <w:left w:type="dxa" w:w="100"/>
              <w:bottom w:type="dxa" w:w="60"/>
              <w:right w:type="dxa" w:w="100"/>
            </w:tcMar>
          </w:tcPr>
          <w:p>
            <w:r>
              <w:rPr>
                <w:b w:val="false"/>
                <w:bCs w:val="false"/>
                <w:sz w:val="18"/>
                <w:szCs w:val="18"/>
              </w:rPr>
              <w:t xml:space="preserve">Daily entry shall use inline numeric fields, a keypad-friendly flow, sticky save/progress indication, and no per-customer modal.</w:t>
            </w:r>
          </w:p>
        </w:tc>
      </w:tr>
      <w:tr>
        <w:tc>
          <w:tcPr>
            <w:tcW w:type="dxa" w:w="1700"/>
            <w:tcMar>
              <w:top w:type="dxa" w:w="60"/>
              <w:left w:type="dxa" w:w="100"/>
              <w:bottom w:type="dxa" w:w="60"/>
              <w:right w:type="dxa" w:w="100"/>
            </w:tcMar>
          </w:tcPr>
          <w:p>
            <w:r>
              <w:rPr>
                <w:b w:val="false"/>
                <w:bCs w:val="false"/>
                <w:sz w:val="18"/>
                <w:szCs w:val="18"/>
              </w:rPr>
              <w:t xml:space="preserve">NFR-UX-03</w:t>
            </w:r>
          </w:p>
        </w:tc>
        <w:tc>
          <w:tcPr>
            <w:tcW w:type="dxa" w:w="7900"/>
            <w:tcMar>
              <w:top w:type="dxa" w:w="60"/>
              <w:left w:type="dxa" w:w="100"/>
              <w:bottom w:type="dxa" w:w="60"/>
              <w:right w:type="dxa" w:w="100"/>
            </w:tcMar>
          </w:tcPr>
          <w:p>
            <w:r>
              <w:rPr>
                <w:b w:val="false"/>
                <w:bCs w:val="false"/>
                <w:sz w:val="18"/>
                <w:szCs w:val="18"/>
              </w:rPr>
              <w:t xml:space="preserve">Every asynchronous action shall show pending, success, and failure states with a safe retry path.</w:t>
            </w:r>
          </w:p>
        </w:tc>
      </w:tr>
      <w:tr>
        <w:tc>
          <w:tcPr>
            <w:tcW w:type="dxa" w:w="1700"/>
            <w:tcMar>
              <w:top w:type="dxa" w:w="60"/>
              <w:left w:type="dxa" w:w="100"/>
              <w:bottom w:type="dxa" w:w="60"/>
              <w:right w:type="dxa" w:w="100"/>
            </w:tcMar>
          </w:tcPr>
          <w:p>
            <w:r>
              <w:rPr>
                <w:b w:val="false"/>
                <w:bCs w:val="false"/>
                <w:sz w:val="18"/>
                <w:szCs w:val="18"/>
              </w:rPr>
              <w:t xml:space="preserve">NFR-UX-04</w:t>
            </w:r>
          </w:p>
        </w:tc>
        <w:tc>
          <w:tcPr>
            <w:tcW w:type="dxa" w:w="7900"/>
            <w:tcMar>
              <w:top w:type="dxa" w:w="60"/>
              <w:left w:type="dxa" w:w="100"/>
              <w:bottom w:type="dxa" w:w="60"/>
              <w:right w:type="dxa" w:w="100"/>
            </w:tcMar>
          </w:tcPr>
          <w:p>
            <w:r>
              <w:rPr>
                <w:b w:val="false"/>
                <w:bCs w:val="false"/>
                <w:sz w:val="18"/>
                <w:szCs w:val="18"/>
              </w:rPr>
              <w:t xml:space="preserve">Financial and destructive confirmations shall explain their impact; high-risk admin actions shall require a typed reason.</w:t>
            </w:r>
          </w:p>
        </w:tc>
      </w:tr>
      <w:tr>
        <w:tc>
          <w:tcPr>
            <w:tcW w:type="dxa" w:w="1700"/>
            <w:tcMar>
              <w:top w:type="dxa" w:w="60"/>
              <w:left w:type="dxa" w:w="100"/>
              <w:bottom w:type="dxa" w:w="60"/>
              <w:right w:type="dxa" w:w="100"/>
            </w:tcMar>
          </w:tcPr>
          <w:p>
            <w:r>
              <w:rPr>
                <w:b w:val="false"/>
                <w:bCs w:val="false"/>
                <w:sz w:val="18"/>
                <w:szCs w:val="18"/>
              </w:rPr>
              <w:t xml:space="preserve">NFR-UX-05</w:t>
            </w:r>
          </w:p>
        </w:tc>
        <w:tc>
          <w:tcPr>
            <w:tcW w:type="dxa" w:w="7900"/>
            <w:tcMar>
              <w:top w:type="dxa" w:w="60"/>
              <w:left w:type="dxa" w:w="100"/>
              <w:bottom w:type="dxa" w:w="60"/>
              <w:right w:type="dxa" w:w="100"/>
            </w:tcMar>
          </w:tcPr>
          <w:p>
            <w:r>
              <w:rPr>
                <w:b w:val="false"/>
                <w:bCs w:val="false"/>
                <w:sz w:val="18"/>
                <w:szCs w:val="18"/>
              </w:rPr>
              <w:t xml:space="preserve">Empty states shall explain cause and next action; errors shall state what failed, what remains saved, and how to recover.</w:t>
            </w:r>
          </w:p>
        </w:tc>
      </w:tr>
      <w:tr>
        <w:tc>
          <w:tcPr>
            <w:tcW w:type="dxa" w:w="1700"/>
            <w:tcMar>
              <w:top w:type="dxa" w:w="60"/>
              <w:left w:type="dxa" w:w="100"/>
              <w:bottom w:type="dxa" w:w="60"/>
              <w:right w:type="dxa" w:w="100"/>
            </w:tcMar>
          </w:tcPr>
          <w:p>
            <w:r>
              <w:rPr>
                <w:b w:val="false"/>
                <w:bCs w:val="false"/>
                <w:sz w:val="18"/>
                <w:szCs w:val="18"/>
              </w:rPr>
              <w:t xml:space="preserve">NFR-UX-06</w:t>
            </w:r>
          </w:p>
        </w:tc>
        <w:tc>
          <w:tcPr>
            <w:tcW w:type="dxa" w:w="7900"/>
            <w:tcMar>
              <w:top w:type="dxa" w:w="60"/>
              <w:left w:type="dxa" w:w="100"/>
              <w:bottom w:type="dxa" w:w="60"/>
              <w:right w:type="dxa" w:w="100"/>
            </w:tcMar>
          </w:tcPr>
          <w:p>
            <w:r>
              <w:rPr>
                <w:b w:val="false"/>
                <w:bCs w:val="false"/>
                <w:sz w:val="18"/>
                <w:szCs w:val="18"/>
              </w:rPr>
              <w:t xml:space="preserve">Dates, money, quantities, milk type, shift, and status shall be shown consistently and never rely on color alone.</w:t>
            </w:r>
          </w:p>
        </w:tc>
      </w:tr>
      <w:tr>
        <w:tc>
          <w:tcPr>
            <w:tcW w:type="dxa" w:w="1700"/>
            <w:tcMar>
              <w:top w:type="dxa" w:w="60"/>
              <w:left w:type="dxa" w:w="100"/>
              <w:bottom w:type="dxa" w:w="60"/>
              <w:right w:type="dxa" w:w="100"/>
            </w:tcMar>
          </w:tcPr>
          <w:p>
            <w:r>
              <w:rPr>
                <w:b w:val="false"/>
                <w:bCs w:val="false"/>
                <w:sz w:val="18"/>
                <w:szCs w:val="18"/>
              </w:rPr>
              <w:t xml:space="preserve">NFR-UX-07</w:t>
            </w:r>
          </w:p>
        </w:tc>
        <w:tc>
          <w:tcPr>
            <w:tcW w:type="dxa" w:w="7900"/>
            <w:tcMar>
              <w:top w:type="dxa" w:w="60"/>
              <w:left w:type="dxa" w:w="100"/>
              <w:bottom w:type="dxa" w:w="60"/>
              <w:right w:type="dxa" w:w="100"/>
            </w:tcMar>
          </w:tcPr>
          <w:p>
            <w:r>
              <w:rPr>
                <w:b w:val="false"/>
                <w:bCs w:val="false"/>
                <w:sz w:val="18"/>
                <w:szCs w:val="18"/>
              </w:rPr>
              <w:t xml:space="preserve">Offline delivery data shall visibly distinguish queued, syncing, synced, and conflicted states.</w:t>
            </w:r>
          </w:p>
        </w:tc>
      </w:tr>
      <w:tr>
        <w:tc>
          <w:tcPr>
            <w:tcW w:type="dxa" w:w="1700"/>
            <w:tcMar>
              <w:top w:type="dxa" w:w="60"/>
              <w:left w:type="dxa" w:w="100"/>
              <w:bottom w:type="dxa" w:w="60"/>
              <w:right w:type="dxa" w:w="100"/>
            </w:tcMar>
          </w:tcPr>
          <w:p>
            <w:r>
              <w:rPr>
                <w:b w:val="false"/>
                <w:bCs w:val="false"/>
                <w:sz w:val="18"/>
                <w:szCs w:val="18"/>
              </w:rPr>
              <w:t xml:space="preserve">NFR-UX-08</w:t>
            </w:r>
          </w:p>
        </w:tc>
        <w:tc>
          <w:tcPr>
            <w:tcW w:type="dxa" w:w="7900"/>
            <w:tcMar>
              <w:top w:type="dxa" w:w="60"/>
              <w:left w:type="dxa" w:w="100"/>
              <w:bottom w:type="dxa" w:w="60"/>
              <w:right w:type="dxa" w:w="100"/>
            </w:tcMar>
          </w:tcPr>
          <w:p>
            <w:r>
              <w:rPr>
                <w:b w:val="false"/>
                <w:bCs w:val="false"/>
                <w:sz w:val="18"/>
                <w:szCs w:val="18"/>
              </w:rPr>
              <w:t xml:space="preserve">Unsaved changes shall be protected against accidental navigation; filters/pagination shall persist and be reflected in the URL.</w:t>
            </w:r>
          </w:p>
        </w:tc>
      </w:tr>
      <w:tr>
        <w:tc>
          <w:tcPr>
            <w:tcW w:type="dxa" w:w="1700"/>
            <w:tcMar>
              <w:top w:type="dxa" w:w="60"/>
              <w:left w:type="dxa" w:w="100"/>
              <w:bottom w:type="dxa" w:w="60"/>
              <w:right w:type="dxa" w:w="100"/>
            </w:tcMar>
          </w:tcPr>
          <w:p>
            <w:r>
              <w:rPr>
                <w:b w:val="false"/>
                <w:bCs w:val="false"/>
                <w:sz w:val="18"/>
                <w:szCs w:val="18"/>
              </w:rPr>
              <w:t xml:space="preserve">NFR-UX-09</w:t>
            </w:r>
          </w:p>
        </w:tc>
        <w:tc>
          <w:tcPr>
            <w:tcW w:type="dxa" w:w="7900"/>
            <w:tcMar>
              <w:top w:type="dxa" w:w="60"/>
              <w:left w:type="dxa" w:w="100"/>
              <w:bottom w:type="dxa" w:w="60"/>
              <w:right w:type="dxa" w:w="100"/>
            </w:tcMar>
          </w:tcPr>
          <w:p>
            <w:r>
              <w:rPr>
                <w:b w:val="false"/>
                <w:bCs w:val="false"/>
                <w:sz w:val="18"/>
                <w:szCs w:val="18"/>
              </w:rPr>
              <w:t xml:space="preserve">The system shall meet WCAG 2.2 Level AA: labelling, heading structure, focus order, full keyboard operability, contrast, live-region error announcements, and usability at 200% zoom.</w:t>
            </w:r>
          </w:p>
        </w:tc>
      </w:tr>
      <w:tr>
        <w:tc>
          <w:tcPr>
            <w:tcW w:type="dxa" w:w="1700"/>
            <w:tcMar>
              <w:top w:type="dxa" w:w="60"/>
              <w:left w:type="dxa" w:w="100"/>
              <w:bottom w:type="dxa" w:w="60"/>
              <w:right w:type="dxa" w:w="100"/>
            </w:tcMar>
          </w:tcPr>
          <w:p>
            <w:r>
              <w:rPr>
                <w:b w:val="false"/>
                <w:bCs w:val="false"/>
                <w:sz w:val="18"/>
                <w:szCs w:val="18"/>
              </w:rPr>
              <w:t xml:space="preserve">NFR-UX-10</w:t>
            </w:r>
          </w:p>
        </w:tc>
        <w:tc>
          <w:tcPr>
            <w:tcW w:type="dxa" w:w="7900"/>
            <w:tcMar>
              <w:top w:type="dxa" w:w="60"/>
              <w:left w:type="dxa" w:w="100"/>
              <w:bottom w:type="dxa" w:w="60"/>
              <w:right w:type="dxa" w:w="100"/>
            </w:tcMar>
          </w:tcPr>
          <w:p>
            <w:r>
              <w:rPr>
                <w:b w:val="false"/>
                <w:bCs w:val="false"/>
                <w:sz w:val="18"/>
                <w:szCs w:val="18"/>
              </w:rPr>
              <w:t xml:space="preserve">Mobile tables shall render as accessible cards or clearly scrollable regions, not truncated/overflowing tables.</w:t>
            </w:r>
          </w:p>
        </w:tc>
      </w:tr>
    </w:tbl>
    <w:p>
      <w:pPr>
        <w:pStyle w:val="Heading2"/>
        <w:spacing w:after="100" w:before="220"/>
      </w:pPr>
      <w:r>
        <w:rPr>
          <w:b/>
          <w:bCs/>
          <w:color w:val="4B765F"/>
          <w:sz w:val="24"/>
          <w:szCs w:val="24"/>
        </w:rPr>
        <w:t xml:space="preserve">6.6 Localization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NFR-L10N-01</w:t>
            </w:r>
          </w:p>
        </w:tc>
        <w:tc>
          <w:tcPr>
            <w:tcW w:type="dxa" w:w="7900"/>
            <w:tcMar>
              <w:top w:type="dxa" w:w="60"/>
              <w:left w:type="dxa" w:w="100"/>
              <w:bottom w:type="dxa" w:w="60"/>
              <w:right w:type="dxa" w:w="100"/>
            </w:tcMar>
          </w:tcPr>
          <w:p>
            <w:r>
              <w:rPr>
                <w:b w:val="false"/>
                <w:bCs w:val="false"/>
                <w:sz w:val="18"/>
                <w:szCs w:val="18"/>
              </w:rPr>
              <w:t xml:space="preserve">English, Hindi, and Gujarati shall be complete, equivalent experiences across all core flows, using translation keys with missing-key tests in CI.</w:t>
            </w:r>
          </w:p>
        </w:tc>
      </w:tr>
      <w:tr>
        <w:tc>
          <w:tcPr>
            <w:tcW w:type="dxa" w:w="1700"/>
            <w:tcMar>
              <w:top w:type="dxa" w:w="60"/>
              <w:left w:type="dxa" w:w="100"/>
              <w:bottom w:type="dxa" w:w="60"/>
              <w:right w:type="dxa" w:w="100"/>
            </w:tcMar>
          </w:tcPr>
          <w:p>
            <w:r>
              <w:rPr>
                <w:b w:val="false"/>
                <w:bCs w:val="false"/>
                <w:sz w:val="18"/>
                <w:szCs w:val="18"/>
              </w:rPr>
              <w:t xml:space="preserve">NFR-L10N-02</w:t>
            </w:r>
          </w:p>
        </w:tc>
        <w:tc>
          <w:tcPr>
            <w:tcW w:type="dxa" w:w="7900"/>
            <w:tcMar>
              <w:top w:type="dxa" w:w="60"/>
              <w:left w:type="dxa" w:w="100"/>
              <w:bottom w:type="dxa" w:w="60"/>
              <w:right w:type="dxa" w:w="100"/>
            </w:tcMar>
          </w:tcPr>
          <w:p>
            <w:r>
              <w:rPr>
                <w:b w:val="false"/>
                <w:bCs w:val="false"/>
                <w:sz w:val="18"/>
                <w:szCs w:val="18"/>
              </w:rPr>
              <w:t xml:space="preserve">Localized display shall never alter canonical stored values (e.g., dates/money remain in canonical form regardless of display locale).</w:t>
            </w:r>
          </w:p>
        </w:tc>
      </w:tr>
    </w:tbl>
    <w:p>
      <w:pPr>
        <w:pStyle w:val="Heading2"/>
        <w:spacing w:after="100" w:before="220"/>
      </w:pPr>
      <w:r>
        <w:rPr>
          <w:b/>
          <w:bCs/>
          <w:color w:val="4B765F"/>
          <w:sz w:val="24"/>
          <w:szCs w:val="24"/>
        </w:rPr>
        <w:t xml:space="preserve">6.7 Maintainability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ID</w:t>
            </w:r>
          </w:p>
        </w:tc>
        <w:tc>
          <w:tcPr>
            <w:tcW w:type="dxa" w:w="7900"/>
            <w:shd w:fill="DCE8E1" w:val="clear"/>
            <w:tcMar>
              <w:top w:type="dxa" w:w="60"/>
              <w:left w:type="dxa" w:w="100"/>
              <w:bottom w:type="dxa" w:w="60"/>
              <w:right w:type="dxa" w:w="100"/>
            </w:tcMar>
          </w:tcPr>
          <w:p>
            <w:r>
              <w:rPr>
                <w:b/>
                <w:bCs/>
                <w:sz w:val="18"/>
                <w:szCs w:val="18"/>
              </w:rPr>
              <w:t xml:space="preserve">Requirement</w:t>
            </w:r>
          </w:p>
        </w:tc>
      </w:tr>
      <w:tr>
        <w:tc>
          <w:tcPr>
            <w:tcW w:type="dxa" w:w="1700"/>
            <w:tcMar>
              <w:top w:type="dxa" w:w="60"/>
              <w:left w:type="dxa" w:w="100"/>
              <w:bottom w:type="dxa" w:w="60"/>
              <w:right w:type="dxa" w:w="100"/>
            </w:tcMar>
          </w:tcPr>
          <w:p>
            <w:r>
              <w:rPr>
                <w:b w:val="false"/>
                <w:bCs w:val="false"/>
                <w:sz w:val="18"/>
                <w:szCs w:val="18"/>
              </w:rPr>
              <w:t xml:space="preserve">NFR-MNT-01</w:t>
            </w:r>
          </w:p>
        </w:tc>
        <w:tc>
          <w:tcPr>
            <w:tcW w:type="dxa" w:w="7900"/>
            <w:tcMar>
              <w:top w:type="dxa" w:w="60"/>
              <w:left w:type="dxa" w:w="100"/>
              <w:bottom w:type="dxa" w:w="60"/>
              <w:right w:type="dxa" w:w="100"/>
            </w:tcMar>
          </w:tcPr>
          <w:p>
            <w:r>
              <w:rPr>
                <w:b w:val="false"/>
                <w:bCs w:val="false"/>
                <w:sz w:val="18"/>
                <w:szCs w:val="18"/>
              </w:rPr>
              <w:t xml:space="preserve">The codebase shall have modular boundaries (feature-based on the frontend, layered on the backend) with documented architecture and API decisions.</w:t>
            </w:r>
          </w:p>
        </w:tc>
      </w:tr>
      <w:tr>
        <w:tc>
          <w:tcPr>
            <w:tcW w:type="dxa" w:w="1700"/>
            <w:tcMar>
              <w:top w:type="dxa" w:w="60"/>
              <w:left w:type="dxa" w:w="100"/>
              <w:bottom w:type="dxa" w:w="60"/>
              <w:right w:type="dxa" w:w="100"/>
            </w:tcMar>
          </w:tcPr>
          <w:p>
            <w:r>
              <w:rPr>
                <w:b w:val="false"/>
                <w:bCs w:val="false"/>
                <w:sz w:val="18"/>
                <w:szCs w:val="18"/>
              </w:rPr>
              <w:t xml:space="preserve">NFR-MNT-02</w:t>
            </w:r>
          </w:p>
        </w:tc>
        <w:tc>
          <w:tcPr>
            <w:tcW w:type="dxa" w:w="7900"/>
            <w:tcMar>
              <w:top w:type="dxa" w:w="60"/>
              <w:left w:type="dxa" w:w="100"/>
              <w:bottom w:type="dxa" w:w="60"/>
              <w:right w:type="dxa" w:w="100"/>
            </w:tcMar>
          </w:tcPr>
          <w:p>
            <w:r>
              <w:rPr>
                <w:b w:val="false"/>
                <w:bCs w:val="false"/>
                <w:sz w:val="18"/>
                <w:szCs w:val="18"/>
              </w:rPr>
              <w:t xml:space="preserve">CI shall gate formatting/lint, automated tests, build, and dependency audit on every change.</w:t>
            </w:r>
          </w:p>
        </w:tc>
      </w:tr>
      <w:tr>
        <w:tc>
          <w:tcPr>
            <w:tcW w:type="dxa" w:w="1700"/>
            <w:tcMar>
              <w:top w:type="dxa" w:w="60"/>
              <w:left w:type="dxa" w:w="100"/>
              <w:bottom w:type="dxa" w:w="60"/>
              <w:right w:type="dxa" w:w="100"/>
            </w:tcMar>
          </w:tcPr>
          <w:p>
            <w:r>
              <w:rPr>
                <w:b w:val="false"/>
                <w:bCs w:val="false"/>
                <w:sz w:val="18"/>
                <w:szCs w:val="18"/>
              </w:rPr>
              <w:t xml:space="preserve">NFR-MNT-03</w:t>
            </w:r>
          </w:p>
        </w:tc>
        <w:tc>
          <w:tcPr>
            <w:tcW w:type="dxa" w:w="7900"/>
            <w:tcMar>
              <w:top w:type="dxa" w:w="60"/>
              <w:left w:type="dxa" w:w="100"/>
              <w:bottom w:type="dxa" w:w="60"/>
              <w:right w:type="dxa" w:w="100"/>
            </w:tcMar>
          </w:tcPr>
          <w:p>
            <w:r>
              <w:rPr>
                <w:b w:val="false"/>
                <w:bCs w:val="false"/>
                <w:sz w:val="18"/>
                <w:szCs w:val="18"/>
              </w:rPr>
              <w:t xml:space="preserve">New business rules require unit tests; new endpoints require integration/authorization tests; critical user journeys require end-to-end tests.</w:t>
            </w:r>
          </w:p>
        </w:tc>
      </w:tr>
      <w:tr>
        <w:tc>
          <w:tcPr>
            <w:tcW w:type="dxa" w:w="1700"/>
            <w:tcMar>
              <w:top w:type="dxa" w:w="60"/>
              <w:left w:type="dxa" w:w="100"/>
              <w:bottom w:type="dxa" w:w="60"/>
              <w:right w:type="dxa" w:w="100"/>
            </w:tcMar>
          </w:tcPr>
          <w:p>
            <w:r>
              <w:rPr>
                <w:b w:val="false"/>
                <w:bCs w:val="false"/>
                <w:sz w:val="18"/>
                <w:szCs w:val="18"/>
              </w:rPr>
              <w:t xml:space="preserve">NFR-MNT-04</w:t>
            </w:r>
          </w:p>
        </w:tc>
        <w:tc>
          <w:tcPr>
            <w:tcW w:type="dxa" w:w="7900"/>
            <w:tcMar>
              <w:top w:type="dxa" w:w="60"/>
              <w:left w:type="dxa" w:w="100"/>
              <w:bottom w:type="dxa" w:w="60"/>
              <w:right w:type="dxa" w:w="100"/>
            </w:tcMar>
          </w:tcPr>
          <w:p>
            <w:r>
              <w:rPr>
                <w:b w:val="false"/>
                <w:bCs w:val="false"/>
                <w:sz w:val="18"/>
                <w:szCs w:val="18"/>
              </w:rPr>
              <w:t xml:space="preserve">node_modules shall never be edited manually; dependency changes go through package.json and a lockfile-respecting install.</w:t>
            </w:r>
          </w:p>
        </w:tc>
      </w:tr>
    </w:tbl>
    <w:p>
      <w:pPr>
        <w:pStyle w:val="Heading2"/>
        <w:spacing w:after="100" w:before="220"/>
      </w:pPr>
      <w:r>
        <w:rPr>
          <w:b/>
          <w:bCs/>
          <w:color w:val="4B765F"/>
          <w:sz w:val="24"/>
          <w:szCs w:val="24"/>
        </w:rPr>
        <w:t xml:space="preserve">6.8 Deployment and Hosting (summary)</w:t>
      </w:r>
    </w:p>
    <w:p>
      <w:pPr>
        <w:spacing w:after="120"/>
      </w:pPr>
      <w:r>
        <w:rPr>
          <w:sz w:val="20"/>
          <w:szCs w:val="20"/>
        </w:rPr>
        <w:t xml:space="preserve">Full deployment requirements are specified in Section 8. In summary: the frontend shall deploy as a static build to Vercel; the backend shall deploy as a stateless Web Service to Render; MongoDB Atlas shall provide the replica-set database; all secrets shall live only in each platform's environment-variable store; both platforms shall auto-deploy from the main branch via GitHub integration, with the test suite required to pass first.</w:t>
      </w:r>
    </w:p>
    <w:p>
      <w:pPr>
        <w:pStyle w:val="Heading1"/>
        <w:spacing w:after="140" w:before="320"/>
      </w:pPr>
      <w:r>
        <w:rPr>
          <w:b/>
          <w:bCs/>
          <w:color w:val="2D684C"/>
          <w:sz w:val="30"/>
          <w:szCs w:val="30"/>
        </w:rPr>
        <w:t xml:space="preserve">7. System Architecture and Technology Stack</w:t>
      </w:r>
    </w:p>
    <w:p>
      <w:pPr>
        <w:pStyle w:val="Heading2"/>
        <w:spacing w:after="100" w:before="220"/>
      </w:pPr>
      <w:r>
        <w:rPr>
          <w:b/>
          <w:bCs/>
          <w:color w:val="4B765F"/>
          <w:sz w:val="24"/>
          <w:szCs w:val="24"/>
        </w:rPr>
        <w:t xml:space="preserve">7.1 Architecture Overview</w:t>
      </w:r>
    </w:p>
    <w:p>
      <w:pPr>
        <w:shd w:fill="F1F4F2" w:val="clear"/>
      </w:pPr>
      <w:r>
        <w:rPr>
          <w:rFonts w:ascii="Consolas" w:cs="Consolas" w:eastAsia="Consolas" w:hAnsi="Consolas"/>
          <w:sz w:val="18"/>
          <w:szCs w:val="18"/>
        </w:rPr>
        <w:t xml:space="preserve">React PWA (feature modules, server-state cache, offline queue)</w:t>
      </w:r>
    </w:p>
    <w:p>
      <w:pPr>
        <w:shd w:fill="F1F4F2" w:val="clear"/>
      </w:pPr>
      <w:r>
        <w:rPr>
          <w:rFonts w:ascii="Consolas" w:cs="Consolas" w:eastAsia="Consolas" w:hAnsi="Consolas"/>
          <w:sz w:val="18"/>
          <w:szCs w:val="18"/>
        </w:rPr>
        <w:t xml:space="preserve">  -&gt; HTTPS REST and authenticated WebSocket (Socket.IO)</w:t>
      </w:r>
    </w:p>
    <w:p>
      <w:pPr>
        <w:shd w:fill="F1F4F2" w:val="clear"/>
      </w:pPr>
      <w:r>
        <w:rPr>
          <w:rFonts w:ascii="Consolas" w:cs="Consolas" w:eastAsia="Consolas" w:hAnsi="Consolas"/>
          <w:sz w:val="18"/>
          <w:szCs w:val="18"/>
        </w:rPr>
        <w:t xml:space="preserve">  -&gt; Express routes / middleware / controllers</w:t>
      </w:r>
    </w:p>
    <w:p>
      <w:pPr>
        <w:shd w:fill="F1F4F2" w:val="clear"/>
      </w:pPr>
      <w:r>
        <w:rPr>
          <w:rFonts w:ascii="Consolas" w:cs="Consolas" w:eastAsia="Consolas" w:hAnsi="Consolas"/>
          <w:sz w:val="18"/>
          <w:szCs w:val="18"/>
        </w:rPr>
        <w:t xml:space="preserve">  -&gt; domain services and policy layer</w:t>
      </w:r>
    </w:p>
    <w:p>
      <w:pPr>
        <w:shd w:fill="F1F4F2" w:val="clear"/>
      </w:pPr>
      <w:r>
        <w:rPr>
          <w:rFonts w:ascii="Consolas" w:cs="Consolas" w:eastAsia="Consolas" w:hAnsi="Consolas"/>
          <w:sz w:val="18"/>
          <w:szCs w:val="18"/>
        </w:rPr>
        <w:t xml:space="preserve">  -&gt; repository layer + transaction / idempotency boundary</w:t>
      </w:r>
    </w:p>
    <w:p>
      <w:pPr>
        <w:shd w:fill="F1F4F2" w:val="clear"/>
      </w:pPr>
      <w:r>
        <w:rPr>
          <w:rFonts w:ascii="Consolas" w:cs="Consolas" w:eastAsia="Consolas" w:hAnsi="Consolas"/>
          <w:sz w:val="18"/>
          <w:szCs w:val="18"/>
        </w:rPr>
        <w:t xml:space="preserve">  -&gt; MongoDB Atlas replica set (primary data)</w:t>
      </w:r>
    </w:p>
    <w:p>
      <w:pPr>
        <w:shd w:fill="F1F4F2" w:val="clear"/>
      </w:pPr>
      <w:r>
        <w:rPr>
          <w:rFonts w:ascii="Consolas" w:cs="Consolas" w:eastAsia="Consolas" w:hAnsi="Consolas"/>
          <w:sz w:val="18"/>
          <w:szCs w:val="18"/>
        </w:rPr>
        <w:t xml:space="preserve">  -&gt; Redis (cache and distributed coordination)</w:t>
      </w:r>
    </w:p>
    <w:p>
      <w:pPr>
        <w:shd w:fill="F1F4F2" w:val="clear"/>
      </w:pPr>
      <w:r>
        <w:rPr>
          <w:rFonts w:ascii="Consolas" w:cs="Consolas" w:eastAsia="Consolas" w:hAnsi="Consolas"/>
          <w:sz w:val="18"/>
          <w:szCs w:val="18"/>
        </w:rPr>
        <w:t xml:space="preserve">  -&gt; email / WhatsApp adapters (SMTP, WhatsApp Cloud API)</w:t>
      </w:r>
    </w:p>
    <w:p>
      <w:pPr>
        <w:shd w:fill="F1F4F2" w:val="clear"/>
      </w:pPr>
      <w:r>
        <w:rPr>
          <w:rFonts w:ascii="Consolas" w:cs="Consolas" w:eastAsia="Consolas" w:hAnsi="Consolas"/>
          <w:sz w:val="18"/>
          <w:szCs w:val="18"/>
        </w:rPr>
        <w:t xml:space="preserve">  -&gt; object storage for backups and exports</w:t>
      </w:r>
    </w:p>
    <w:p>
      <w:pPr>
        <w:spacing w:after="60"/>
      </w:pPr>
    </w:p>
    <w:p>
      <w:pPr>
        <w:pStyle w:val="Heading2"/>
        <w:spacing w:after="100" w:before="220"/>
      </w:pPr>
      <w:r>
        <w:rPr>
          <w:b/>
          <w:bCs/>
          <w:color w:val="4B765F"/>
          <w:sz w:val="24"/>
          <w:szCs w:val="24"/>
        </w:rPr>
        <w:t xml:space="preserve">7.2 Frontend Stack</w:t>
      </w:r>
    </w:p>
    <w:p>
      <w:pPr>
        <w:pStyle w:val="ListParagraph"/>
        <w:numPr>
          <w:ilvl w:val="0"/>
          <w:numId w:val="2"/>
        </w:numPr>
        <w:spacing w:after="60"/>
      </w:pPr>
      <w:r>
        <w:rPr>
          <w:sz w:val="20"/>
          <w:szCs w:val="20"/>
        </w:rPr>
        <w:t xml:space="preserve">React 18 with Vite 5 as the build tool.</w:t>
      </w:r>
    </w:p>
    <w:p>
      <w:pPr>
        <w:pStyle w:val="ListParagraph"/>
        <w:numPr>
          <w:ilvl w:val="0"/>
          <w:numId w:val="2"/>
        </w:numPr>
        <w:spacing w:after="60"/>
      </w:pPr>
      <w:r>
        <w:rPr>
          <w:sz w:val="20"/>
          <w:szCs w:val="20"/>
        </w:rPr>
        <w:t xml:space="preserve">React Router 6 for client-side routing.</w:t>
      </w:r>
    </w:p>
    <w:p>
      <w:pPr>
        <w:pStyle w:val="ListParagraph"/>
        <w:numPr>
          <w:ilvl w:val="0"/>
          <w:numId w:val="2"/>
        </w:numPr>
        <w:spacing w:after="60"/>
      </w:pPr>
      <w:r>
        <w:rPr>
          <w:sz w:val="20"/>
          <w:szCs w:val="20"/>
        </w:rPr>
        <w:t xml:space="preserve">Redux Toolkit for global/server-state management; Axios for HTTP.</w:t>
      </w:r>
    </w:p>
    <w:p>
      <w:pPr>
        <w:pStyle w:val="ListParagraph"/>
        <w:numPr>
          <w:ilvl w:val="0"/>
          <w:numId w:val="2"/>
        </w:numPr>
        <w:spacing w:after="60"/>
      </w:pPr>
      <w:r>
        <w:rPr>
          <w:sz w:val="20"/>
          <w:szCs w:val="20"/>
        </w:rPr>
        <w:t xml:space="preserve">Socket.IO client for real-time notifications.</w:t>
      </w:r>
    </w:p>
    <w:p>
      <w:pPr>
        <w:pStyle w:val="ListParagraph"/>
        <w:numPr>
          <w:ilvl w:val="0"/>
          <w:numId w:val="2"/>
        </w:numPr>
        <w:spacing w:after="60"/>
      </w:pPr>
      <w:r>
        <w:rPr>
          <w:sz w:val="20"/>
          <w:szCs w:val="20"/>
        </w:rPr>
        <w:t xml:space="preserve">Tailwind CSS for styling; Lucide for icons.</w:t>
      </w:r>
    </w:p>
    <w:p>
      <w:pPr>
        <w:pStyle w:val="ListParagraph"/>
        <w:numPr>
          <w:ilvl w:val="0"/>
          <w:numId w:val="2"/>
        </w:numPr>
        <w:spacing w:after="60"/>
      </w:pPr>
      <w:r>
        <w:rPr>
          <w:sz w:val="20"/>
          <w:szCs w:val="20"/>
        </w:rPr>
        <w:t xml:space="preserve">i18next for English/Hindi/Gujarati localization.</w:t>
      </w:r>
    </w:p>
    <w:p>
      <w:pPr>
        <w:pStyle w:val="ListParagraph"/>
        <w:numPr>
          <w:ilvl w:val="0"/>
          <w:numId w:val="2"/>
        </w:numPr>
        <w:spacing w:after="60"/>
      </w:pPr>
      <w:r>
        <w:rPr>
          <w:sz w:val="20"/>
          <w:szCs w:val="20"/>
        </w:rPr>
        <w:t xml:space="preserve">IndexedDB-backed offline delivery queue for the offline-first route-entry flow.</w:t>
      </w:r>
    </w:p>
    <w:p>
      <w:pPr>
        <w:pStyle w:val="ListParagraph"/>
        <w:numPr>
          <w:ilvl w:val="0"/>
          <w:numId w:val="2"/>
        </w:numPr>
        <w:spacing w:after="60"/>
      </w:pPr>
      <w:r>
        <w:rPr>
          <w:sz w:val="20"/>
          <w:szCs w:val="20"/>
        </w:rPr>
        <w:t xml:space="preserve">Vitest, Testing Library, and jsdom for unit/component tests.</w:t>
      </w:r>
    </w:p>
    <w:p>
      <w:pPr>
        <w:pStyle w:val="ListParagraph"/>
        <w:numPr>
          <w:ilvl w:val="0"/>
          <w:numId w:val="2"/>
        </w:numPr>
        <w:spacing w:after="60"/>
      </w:pPr>
      <w:r>
        <w:rPr>
          <w:sz w:val="20"/>
          <w:szCs w:val="20"/>
        </w:rPr>
        <w:t xml:space="preserve">Web app manifest and service worker for installability and offline shell caching.</w:t>
      </w:r>
    </w:p>
    <w:p>
      <w:pPr>
        <w:pStyle w:val="Heading2"/>
        <w:spacing w:after="100" w:before="220"/>
      </w:pPr>
      <w:r>
        <w:rPr>
          <w:b/>
          <w:bCs/>
          <w:color w:val="4B765F"/>
          <w:sz w:val="24"/>
          <w:szCs w:val="24"/>
        </w:rPr>
        <w:t xml:space="preserve">7.3 Backend Stack</w:t>
      </w:r>
    </w:p>
    <w:p>
      <w:pPr>
        <w:pStyle w:val="ListParagraph"/>
        <w:numPr>
          <w:ilvl w:val="0"/>
          <w:numId w:val="2"/>
        </w:numPr>
        <w:spacing w:after="60"/>
      </w:pPr>
      <w:r>
        <w:rPr>
          <w:sz w:val="20"/>
          <w:szCs w:val="20"/>
        </w:rPr>
        <w:t xml:space="preserve">Node.js (LTS) with Express 4 (CommonJS).</w:t>
      </w:r>
    </w:p>
    <w:p>
      <w:pPr>
        <w:pStyle w:val="ListParagraph"/>
        <w:numPr>
          <w:ilvl w:val="0"/>
          <w:numId w:val="2"/>
        </w:numPr>
        <w:spacing w:after="60"/>
      </w:pPr>
      <w:r>
        <w:rPr>
          <w:sz w:val="20"/>
          <w:szCs w:val="20"/>
        </w:rPr>
        <w:t xml:space="preserve">Joi / Express validation middleware for request validation.</w:t>
      </w:r>
    </w:p>
    <w:p>
      <w:pPr>
        <w:pStyle w:val="ListParagraph"/>
        <w:numPr>
          <w:ilvl w:val="0"/>
          <w:numId w:val="2"/>
        </w:numPr>
        <w:spacing w:after="60"/>
      </w:pPr>
      <w:r>
        <w:rPr>
          <w:sz w:val="20"/>
          <w:szCs w:val="20"/>
        </w:rPr>
        <w:t xml:space="preserve">JWT for authentication; bcryptjs for password hashing.</w:t>
      </w:r>
    </w:p>
    <w:p>
      <w:pPr>
        <w:pStyle w:val="ListParagraph"/>
        <w:numPr>
          <w:ilvl w:val="0"/>
          <w:numId w:val="2"/>
        </w:numPr>
        <w:spacing w:after="60"/>
      </w:pPr>
      <w:r>
        <w:rPr>
          <w:sz w:val="20"/>
          <w:szCs w:val="20"/>
        </w:rPr>
        <w:t xml:space="preserve">Helmet for security headers; configured CORS; rate limiting middleware.</w:t>
      </w:r>
    </w:p>
    <w:p>
      <w:pPr>
        <w:pStyle w:val="ListParagraph"/>
        <w:numPr>
          <w:ilvl w:val="0"/>
          <w:numId w:val="2"/>
        </w:numPr>
        <w:spacing w:after="60"/>
      </w:pPr>
      <w:r>
        <w:rPr>
          <w:sz w:val="20"/>
          <w:szCs w:val="20"/>
        </w:rPr>
        <w:t xml:space="preserve">Route → controller → service → repository (Mongoose model) layering.</w:t>
      </w:r>
    </w:p>
    <w:p>
      <w:pPr>
        <w:pStyle w:val="ListParagraph"/>
        <w:numPr>
          <w:ilvl w:val="0"/>
          <w:numId w:val="2"/>
        </w:numPr>
        <w:spacing w:after="60"/>
      </w:pPr>
      <w:r>
        <w:rPr>
          <w:sz w:val="20"/>
          <w:szCs w:val="20"/>
        </w:rPr>
        <w:t xml:space="preserve">Socket.IO server for real-time notifications.</w:t>
      </w:r>
    </w:p>
    <w:p>
      <w:pPr>
        <w:pStyle w:val="ListParagraph"/>
        <w:numPr>
          <w:ilvl w:val="0"/>
          <w:numId w:val="2"/>
        </w:numPr>
        <w:spacing w:after="60"/>
      </w:pPr>
      <w:r>
        <w:rPr>
          <w:sz w:val="20"/>
          <w:szCs w:val="20"/>
        </w:rPr>
        <w:t xml:space="preserve">PDFKit and a CSV writer for report generation.</w:t>
      </w:r>
    </w:p>
    <w:p>
      <w:pPr>
        <w:pStyle w:val="ListParagraph"/>
        <w:numPr>
          <w:ilvl w:val="0"/>
          <w:numId w:val="2"/>
        </w:numPr>
        <w:spacing w:after="60"/>
      </w:pPr>
      <w:r>
        <w:rPr>
          <w:sz w:val="20"/>
          <w:szCs w:val="20"/>
        </w:rPr>
        <w:t xml:space="preserve">node-cron for scheduled jobs (billing generation, outbox retries), coordinated via Redis locks.</w:t>
      </w:r>
    </w:p>
    <w:p>
      <w:pPr>
        <w:pStyle w:val="ListParagraph"/>
        <w:numPr>
          <w:ilvl w:val="0"/>
          <w:numId w:val="2"/>
        </w:numPr>
        <w:spacing w:after="60"/>
      </w:pPr>
      <w:r>
        <w:rPr>
          <w:sz w:val="20"/>
          <w:szCs w:val="20"/>
        </w:rPr>
        <w:t xml:space="preserve">Nodemailer (SMTP) for email; WhatsApp Cloud API client for WhatsApp notifications.</w:t>
      </w:r>
    </w:p>
    <w:p>
      <w:pPr>
        <w:pStyle w:val="ListParagraph"/>
        <w:numPr>
          <w:ilvl w:val="0"/>
          <w:numId w:val="2"/>
        </w:numPr>
        <w:spacing w:after="60"/>
      </w:pPr>
      <w:r>
        <w:rPr>
          <w:sz w:val="20"/>
          <w:szCs w:val="20"/>
        </w:rPr>
        <w:t xml:space="preserve">Redis for caching, rate limiting, and distributed job locks.</w:t>
      </w:r>
    </w:p>
    <w:p>
      <w:pPr>
        <w:pStyle w:val="ListParagraph"/>
        <w:numPr>
          <w:ilvl w:val="0"/>
          <w:numId w:val="2"/>
        </w:numPr>
        <w:spacing w:after="60"/>
      </w:pPr>
      <w:r>
        <w:rPr>
          <w:sz w:val="20"/>
          <w:szCs w:val="20"/>
        </w:rPr>
        <w:t xml:space="preserve">Jest for backend unit/integration tests.</w:t>
      </w:r>
    </w:p>
    <w:p>
      <w:pPr>
        <w:pStyle w:val="Heading2"/>
        <w:spacing w:after="100" w:before="220"/>
      </w:pPr>
      <w:r>
        <w:rPr>
          <w:b/>
          <w:bCs/>
          <w:color w:val="4B765F"/>
          <w:sz w:val="24"/>
          <w:szCs w:val="24"/>
        </w:rPr>
        <w:t xml:space="preserve">7.4 Database</w:t>
      </w:r>
    </w:p>
    <w:p>
      <w:pPr>
        <w:spacing w:after="120"/>
      </w:pPr>
      <w:r>
        <w:rPr>
          <w:sz w:val="20"/>
          <w:szCs w:val="20"/>
        </w:rPr>
        <w:t xml:space="preserve">MongoDB (Atlas-hosted) is the sole database, accessed through Mongoose. It shall run as a replica set in every environment, including local development, because registration, billing, and payment flows require multi-document transactions. See Section 9 for the full data model and Section 8.3 for Atlas configuration.</w:t>
      </w:r>
    </w:p>
    <w:p>
      <w:pPr>
        <w:pStyle w:val="Heading1"/>
        <w:spacing w:after="140" w:before="320"/>
      </w:pPr>
      <w:r>
        <w:rPr>
          <w:b/>
          <w:bCs/>
          <w:color w:val="2D684C"/>
          <w:sz w:val="30"/>
          <w:szCs w:val="30"/>
        </w:rPr>
        <w:t xml:space="preserve">8. Deployment Specification (Vercel + Render + MongoDB Atlas)</w:t>
      </w:r>
    </w:p>
    <w:p>
      <w:pPr>
        <w:spacing w:after="120"/>
      </w:pPr>
      <w:r>
        <w:rPr>
          <w:sz w:val="20"/>
          <w:szCs w:val="20"/>
        </w:rPr>
        <w:t xml:space="preserve">This section is normative for taking the application from a local repository to a live, publicly reachable production deployment. It targets three managed platforms chosen for zero/low DevOps overhead: Vercel for the frontend, Render for the backend, and MongoDB Atlas for the database.</w:t>
      </w:r>
    </w:p>
    <w:p>
      <w:pPr>
        <w:pStyle w:val="Heading2"/>
        <w:spacing w:after="100" w:before="220"/>
      </w:pPr>
      <w:r>
        <w:rPr>
          <w:b/>
          <w:bCs/>
          <w:color w:val="4B765F"/>
          <w:sz w:val="24"/>
          <w:szCs w:val="24"/>
        </w:rPr>
        <w:t xml:space="preserve">8.1 Deployment Topology</w:t>
      </w:r>
    </w:p>
    <w:p>
      <w:pPr>
        <w:shd w:fill="F1F4F2" w:val="clear"/>
      </w:pPr>
      <w:r>
        <w:rPr>
          <w:rFonts w:ascii="Consolas" w:cs="Consolas" w:eastAsia="Consolas" w:hAnsi="Consolas"/>
          <w:sz w:val="18"/>
          <w:szCs w:val="18"/>
        </w:rPr>
        <w:t xml:space="preserve">Browser</w:t>
      </w:r>
    </w:p>
    <w:p>
      <w:pPr>
        <w:shd w:fill="F1F4F2" w:val="clear"/>
      </w:pPr>
      <w:r>
        <w:rPr>
          <w:rFonts w:ascii="Consolas" w:cs="Consolas" w:eastAsia="Consolas" w:hAnsi="Consolas"/>
          <w:sz w:val="18"/>
          <w:szCs w:val="18"/>
        </w:rPr>
        <w:t xml:space="preserve">  -&gt; Vercel (React/Vite static build, CDN + auto TLS)</w:t>
      </w:r>
    </w:p>
    <w:p>
      <w:pPr>
        <w:shd w:fill="F1F4F2" w:val="clear"/>
      </w:pPr>
      <w:r>
        <w:rPr>
          <w:rFonts w:ascii="Consolas" w:cs="Consolas" w:eastAsia="Consolas" w:hAnsi="Consolas"/>
          <w:sz w:val="18"/>
          <w:szCs w:val="18"/>
        </w:rPr>
        <w:t xml:space="preserve">       VITE_API_URL  -&gt; https://&lt;render-service&gt;.onrender.com/api</w:t>
      </w:r>
    </w:p>
    <w:p>
      <w:pPr>
        <w:shd w:fill="F1F4F2" w:val="clear"/>
      </w:pPr>
      <w:r>
        <w:rPr>
          <w:rFonts w:ascii="Consolas" w:cs="Consolas" w:eastAsia="Consolas" w:hAnsi="Consolas"/>
          <w:sz w:val="18"/>
          <w:szCs w:val="18"/>
        </w:rPr>
        <w:t xml:space="preserve">       VITE_WS_URL   -&gt; wss://&lt;render-service&gt;.onrender.com</w:t>
      </w:r>
    </w:p>
    <w:p>
      <w:pPr>
        <w:shd w:fill="F1F4F2" w:val="clear"/>
      </w:pPr>
      <w:r>
        <w:rPr>
          <w:rFonts w:ascii="Consolas" w:cs="Consolas" w:eastAsia="Consolas" w:hAnsi="Consolas"/>
          <w:sz w:val="18"/>
          <w:szCs w:val="18"/>
        </w:rPr>
        <w:t xml:space="preserve">  -&gt; Render (Node/Express Web Service, auto TLS)</w:t>
      </w:r>
    </w:p>
    <w:p>
      <w:pPr>
        <w:shd w:fill="F1F4F2" w:val="clear"/>
      </w:pPr>
      <w:r>
        <w:rPr>
          <w:rFonts w:ascii="Consolas" w:cs="Consolas" w:eastAsia="Consolas" w:hAnsi="Consolas"/>
          <w:sz w:val="18"/>
          <w:szCs w:val="18"/>
        </w:rPr>
        <w:t xml:space="preserve">       MONGO_URI     -&gt; MongoDB Atlas replica-set connection string</w:t>
      </w:r>
    </w:p>
    <w:p>
      <w:pPr>
        <w:shd w:fill="F1F4F2" w:val="clear"/>
      </w:pPr>
      <w:r>
        <w:rPr>
          <w:rFonts w:ascii="Consolas" w:cs="Consolas" w:eastAsia="Consolas" w:hAnsi="Consolas"/>
          <w:sz w:val="18"/>
          <w:szCs w:val="18"/>
        </w:rPr>
        <w:t xml:space="preserve">       REDIS_URL     -&gt; Render Redis or managed Redis add-on</w:t>
      </w:r>
    </w:p>
    <w:p>
      <w:pPr>
        <w:shd w:fill="F1F4F2" w:val="clear"/>
      </w:pPr>
      <w:r>
        <w:rPr>
          <w:rFonts w:ascii="Consolas" w:cs="Consolas" w:eastAsia="Consolas" w:hAnsi="Consolas"/>
          <w:sz w:val="18"/>
          <w:szCs w:val="18"/>
        </w:rPr>
        <w:t xml:space="preserve">  -&gt; MongoDB Atlas (replica set, automated backups)</w:t>
      </w:r>
    </w:p>
    <w:p>
      <w:pPr>
        <w:spacing w:after="60"/>
      </w:pPr>
    </w:p>
    <w:p>
      <w:pPr>
        <w:pStyle w:val="Heading2"/>
        <w:spacing w:after="100" w:before="220"/>
      </w:pPr>
      <w:r>
        <w:rPr>
          <w:b/>
          <w:bCs/>
          <w:color w:val="4B765F"/>
          <w:sz w:val="24"/>
          <w:szCs w:val="24"/>
        </w:rPr>
        <w:t xml:space="preserve">8.2 Frontend Deployment (Vercel)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Setting</w:t>
            </w:r>
          </w:p>
        </w:tc>
        <w:tc>
          <w:tcPr>
            <w:tcW w:type="dxa" w:w="7900"/>
            <w:shd w:fill="DCE8E1" w:val="clear"/>
            <w:tcMar>
              <w:top w:type="dxa" w:w="60"/>
              <w:left w:type="dxa" w:w="100"/>
              <w:bottom w:type="dxa" w:w="60"/>
              <w:right w:type="dxa" w:w="100"/>
            </w:tcMar>
          </w:tcPr>
          <w:p>
            <w:r>
              <w:rPr>
                <w:b/>
                <w:bCs/>
                <w:sz w:val="18"/>
                <w:szCs w:val="18"/>
              </w:rPr>
              <w:t xml:space="preserve">Value</w:t>
            </w:r>
          </w:p>
        </w:tc>
      </w:tr>
      <w:tr>
        <w:tc>
          <w:tcPr>
            <w:tcW w:type="dxa" w:w="1700"/>
            <w:tcMar>
              <w:top w:type="dxa" w:w="60"/>
              <w:left w:type="dxa" w:w="100"/>
              <w:bottom w:type="dxa" w:w="60"/>
              <w:right w:type="dxa" w:w="100"/>
            </w:tcMar>
          </w:tcPr>
          <w:p>
            <w:r>
              <w:rPr>
                <w:b w:val="false"/>
                <w:bCs w:val="false"/>
                <w:sz w:val="18"/>
                <w:szCs w:val="18"/>
              </w:rPr>
              <w:t xml:space="preserve">Framework preset</w:t>
            </w:r>
          </w:p>
        </w:tc>
        <w:tc>
          <w:tcPr>
            <w:tcW w:type="dxa" w:w="7900"/>
            <w:tcMar>
              <w:top w:type="dxa" w:w="60"/>
              <w:left w:type="dxa" w:w="100"/>
              <w:bottom w:type="dxa" w:w="60"/>
              <w:right w:type="dxa" w:w="100"/>
            </w:tcMar>
          </w:tcPr>
          <w:p>
            <w:r>
              <w:rPr>
                <w:b w:val="false"/>
                <w:bCs w:val="false"/>
                <w:sz w:val="18"/>
                <w:szCs w:val="18"/>
              </w:rPr>
              <w:t xml:space="preserve">Vite</w:t>
            </w:r>
          </w:p>
        </w:tc>
      </w:tr>
      <w:tr>
        <w:tc>
          <w:tcPr>
            <w:tcW w:type="dxa" w:w="1700"/>
            <w:tcMar>
              <w:top w:type="dxa" w:w="60"/>
              <w:left w:type="dxa" w:w="100"/>
              <w:bottom w:type="dxa" w:w="60"/>
              <w:right w:type="dxa" w:w="100"/>
            </w:tcMar>
          </w:tcPr>
          <w:p>
            <w:r>
              <w:rPr>
                <w:b w:val="false"/>
                <w:bCs w:val="false"/>
                <w:sz w:val="18"/>
                <w:szCs w:val="18"/>
              </w:rPr>
              <w:t xml:space="preserve">Root directory</w:t>
            </w:r>
          </w:p>
        </w:tc>
        <w:tc>
          <w:tcPr>
            <w:tcW w:type="dxa" w:w="7900"/>
            <w:tcMar>
              <w:top w:type="dxa" w:w="60"/>
              <w:left w:type="dxa" w:w="100"/>
              <w:bottom w:type="dxa" w:w="60"/>
              <w:right w:type="dxa" w:w="100"/>
            </w:tcMar>
          </w:tcPr>
          <w:p>
            <w:r>
              <w:rPr>
                <w:b w:val="false"/>
                <w:bCs w:val="false"/>
                <w:sz w:val="18"/>
                <w:szCs w:val="18"/>
              </w:rPr>
              <w:t xml:space="preserve">frontend/</w:t>
            </w:r>
          </w:p>
        </w:tc>
      </w:tr>
      <w:tr>
        <w:tc>
          <w:tcPr>
            <w:tcW w:type="dxa" w:w="1700"/>
            <w:tcMar>
              <w:top w:type="dxa" w:w="60"/>
              <w:left w:type="dxa" w:w="100"/>
              <w:bottom w:type="dxa" w:w="60"/>
              <w:right w:type="dxa" w:w="100"/>
            </w:tcMar>
          </w:tcPr>
          <w:p>
            <w:r>
              <w:rPr>
                <w:b w:val="false"/>
                <w:bCs w:val="false"/>
                <w:sz w:val="18"/>
                <w:szCs w:val="18"/>
              </w:rPr>
              <w:t xml:space="preserve">Build command</w:t>
            </w:r>
          </w:p>
        </w:tc>
        <w:tc>
          <w:tcPr>
            <w:tcW w:type="dxa" w:w="7900"/>
            <w:tcMar>
              <w:top w:type="dxa" w:w="60"/>
              <w:left w:type="dxa" w:w="100"/>
              <w:bottom w:type="dxa" w:w="60"/>
              <w:right w:type="dxa" w:w="100"/>
            </w:tcMar>
          </w:tcPr>
          <w:p>
            <w:r>
              <w:rPr>
                <w:b w:val="false"/>
                <w:bCs w:val="false"/>
                <w:sz w:val="18"/>
                <w:szCs w:val="18"/>
              </w:rPr>
              <w:t xml:space="preserve">npm run build</w:t>
            </w:r>
          </w:p>
        </w:tc>
      </w:tr>
      <w:tr>
        <w:tc>
          <w:tcPr>
            <w:tcW w:type="dxa" w:w="1700"/>
            <w:tcMar>
              <w:top w:type="dxa" w:w="60"/>
              <w:left w:type="dxa" w:w="100"/>
              <w:bottom w:type="dxa" w:w="60"/>
              <w:right w:type="dxa" w:w="100"/>
            </w:tcMar>
          </w:tcPr>
          <w:p>
            <w:r>
              <w:rPr>
                <w:b w:val="false"/>
                <w:bCs w:val="false"/>
                <w:sz w:val="18"/>
                <w:szCs w:val="18"/>
              </w:rPr>
              <w:t xml:space="preserve">Output directory</w:t>
            </w:r>
          </w:p>
        </w:tc>
        <w:tc>
          <w:tcPr>
            <w:tcW w:type="dxa" w:w="7900"/>
            <w:tcMar>
              <w:top w:type="dxa" w:w="60"/>
              <w:left w:type="dxa" w:w="100"/>
              <w:bottom w:type="dxa" w:w="60"/>
              <w:right w:type="dxa" w:w="100"/>
            </w:tcMar>
          </w:tcPr>
          <w:p>
            <w:r>
              <w:rPr>
                <w:b w:val="false"/>
                <w:bCs w:val="false"/>
                <w:sz w:val="18"/>
                <w:szCs w:val="18"/>
              </w:rPr>
              <w:t xml:space="preserve">dist</w:t>
            </w:r>
          </w:p>
        </w:tc>
      </w:tr>
      <w:tr>
        <w:tc>
          <w:tcPr>
            <w:tcW w:type="dxa" w:w="1700"/>
            <w:tcMar>
              <w:top w:type="dxa" w:w="60"/>
              <w:left w:type="dxa" w:w="100"/>
              <w:bottom w:type="dxa" w:w="60"/>
              <w:right w:type="dxa" w:w="100"/>
            </w:tcMar>
          </w:tcPr>
          <w:p>
            <w:r>
              <w:rPr>
                <w:b w:val="false"/>
                <w:bCs w:val="false"/>
                <w:sz w:val="18"/>
                <w:szCs w:val="18"/>
              </w:rPr>
              <w:t xml:space="preserve">Install command</w:t>
            </w:r>
          </w:p>
        </w:tc>
        <w:tc>
          <w:tcPr>
            <w:tcW w:type="dxa" w:w="7900"/>
            <w:tcMar>
              <w:top w:type="dxa" w:w="60"/>
              <w:left w:type="dxa" w:w="100"/>
              <w:bottom w:type="dxa" w:w="60"/>
              <w:right w:type="dxa" w:w="100"/>
            </w:tcMar>
          </w:tcPr>
          <w:p>
            <w:r>
              <w:rPr>
                <w:b w:val="false"/>
                <w:bCs w:val="false"/>
                <w:sz w:val="18"/>
                <w:szCs w:val="18"/>
              </w:rPr>
              <w:t xml:space="preserve">npm ci</w:t>
            </w:r>
          </w:p>
        </w:tc>
      </w:tr>
      <w:tr>
        <w:tc>
          <w:tcPr>
            <w:tcW w:type="dxa" w:w="1700"/>
            <w:tcMar>
              <w:top w:type="dxa" w:w="60"/>
              <w:left w:type="dxa" w:w="100"/>
              <w:bottom w:type="dxa" w:w="60"/>
              <w:right w:type="dxa" w:w="100"/>
            </w:tcMar>
          </w:tcPr>
          <w:p>
            <w:r>
              <w:rPr>
                <w:b w:val="false"/>
                <w:bCs w:val="false"/>
                <w:sz w:val="18"/>
                <w:szCs w:val="18"/>
              </w:rPr>
              <w:t xml:space="preserve">Node version</w:t>
            </w:r>
          </w:p>
        </w:tc>
        <w:tc>
          <w:tcPr>
            <w:tcW w:type="dxa" w:w="7900"/>
            <w:tcMar>
              <w:top w:type="dxa" w:w="60"/>
              <w:left w:type="dxa" w:w="100"/>
              <w:bottom w:type="dxa" w:w="60"/>
              <w:right w:type="dxa" w:w="100"/>
            </w:tcMar>
          </w:tcPr>
          <w:p>
            <w:r>
              <w:rPr>
                <w:b w:val="false"/>
                <w:bCs w:val="false"/>
                <w:sz w:val="18"/>
                <w:szCs w:val="18"/>
              </w:rPr>
              <w:t xml:space="preserve">Pinned via package.json “engines” field, matched in Vercel project settings</w:t>
            </w:r>
          </w:p>
        </w:tc>
      </w:tr>
    </w:tbl>
    <w:p>
      <w:pPr>
        <w:spacing w:after="60"/>
      </w:pPr>
    </w:p>
    <w:p>
      <w:pPr>
        <w:pStyle w:val="ListParagraph"/>
        <w:numPr>
          <w:ilvl w:val="0"/>
          <w:numId w:val="2"/>
        </w:numPr>
        <w:spacing w:after="60"/>
      </w:pPr>
      <w:r>
        <w:rPr>
          <w:sz w:val="20"/>
          <w:szCs w:val="20"/>
        </w:rPr>
        <w:t xml:space="preserve">NFR-DEPLOY-01: The frontend shall build as static assets with no server-side runtime dependency, deployable as a Vercel static/SPA project.</w:t>
      </w:r>
    </w:p>
    <w:p>
      <w:pPr>
        <w:pStyle w:val="ListParagraph"/>
        <w:numPr>
          <w:ilvl w:val="0"/>
          <w:numId w:val="2"/>
        </w:numPr>
        <w:spacing w:after="60"/>
      </w:pPr>
      <w:r>
        <w:rPr>
          <w:sz w:val="20"/>
          <w:szCs w:val="20"/>
        </w:rPr>
        <w:t xml:space="preserve">NFR-DEPLOY-02: Every pull request shall receive an automatic Vercel preview deployment; merges to main shall auto-deploy to production.</w:t>
      </w:r>
    </w:p>
    <w:p>
      <w:pPr>
        <w:pStyle w:val="ListParagraph"/>
        <w:numPr>
          <w:ilvl w:val="0"/>
          <w:numId w:val="2"/>
        </w:numPr>
        <w:spacing w:after="60"/>
      </w:pPr>
      <w:r>
        <w:rPr>
          <w:sz w:val="20"/>
          <w:szCs w:val="20"/>
        </w:rPr>
        <w:t xml:space="preserve">NFR-DEPLOY-03: All client-visible configuration shall use the VITE_ prefix (VITE_API_URL, VITE_WS_URL, VITE_API_TIMEOUT, optional paging values) and shall never contain secrets, since VITE_ variables are bundled into the public build.</w:t>
      </w:r>
    </w:p>
    <w:p>
      <w:pPr>
        <w:pStyle w:val="ListParagraph"/>
        <w:numPr>
          <w:ilvl w:val="0"/>
          <w:numId w:val="2"/>
        </w:numPr>
        <w:spacing w:after="60"/>
      </w:pPr>
      <w:r>
        <w:rPr>
          <w:sz w:val="20"/>
          <w:szCs w:val="20"/>
        </w:rPr>
        <w:t xml:space="preserve">NFR-DEPLOY-04: SPA client-side routing shall be configured with a catch-all rewrite to index.html so deep links and refreshes on non-root routes resolve correctly.</w:t>
      </w:r>
    </w:p>
    <w:p>
      <w:pPr>
        <w:pStyle w:val="Heading2"/>
        <w:spacing w:after="100" w:before="220"/>
      </w:pPr>
      <w:r>
        <w:rPr>
          <w:b/>
          <w:bCs/>
          <w:color w:val="4B765F"/>
          <w:sz w:val="24"/>
          <w:szCs w:val="24"/>
        </w:rPr>
        <w:t xml:space="preserve">8.3 Backend Deployment (Render)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DCE8E1" w:val="clear"/>
            <w:tcMar>
              <w:top w:type="dxa" w:w="60"/>
              <w:left w:type="dxa" w:w="100"/>
              <w:bottom w:type="dxa" w:w="60"/>
              <w:right w:type="dxa" w:w="100"/>
            </w:tcMar>
          </w:tcPr>
          <w:p>
            <w:r>
              <w:rPr>
                <w:b/>
                <w:bCs/>
                <w:sz w:val="18"/>
                <w:szCs w:val="18"/>
              </w:rPr>
              <w:t xml:space="preserve">Setting</w:t>
            </w:r>
          </w:p>
        </w:tc>
        <w:tc>
          <w:tcPr>
            <w:tcW w:type="dxa" w:w="7900"/>
            <w:shd w:fill="DCE8E1" w:val="clear"/>
            <w:tcMar>
              <w:top w:type="dxa" w:w="60"/>
              <w:left w:type="dxa" w:w="100"/>
              <w:bottom w:type="dxa" w:w="60"/>
              <w:right w:type="dxa" w:w="100"/>
            </w:tcMar>
          </w:tcPr>
          <w:p>
            <w:r>
              <w:rPr>
                <w:b/>
                <w:bCs/>
                <w:sz w:val="18"/>
                <w:szCs w:val="18"/>
              </w:rPr>
              <w:t xml:space="preserve">Value</w:t>
            </w:r>
          </w:p>
        </w:tc>
      </w:tr>
      <w:tr>
        <w:tc>
          <w:tcPr>
            <w:tcW w:type="dxa" w:w="1700"/>
            <w:tcMar>
              <w:top w:type="dxa" w:w="60"/>
              <w:left w:type="dxa" w:w="100"/>
              <w:bottom w:type="dxa" w:w="60"/>
              <w:right w:type="dxa" w:w="100"/>
            </w:tcMar>
          </w:tcPr>
          <w:p>
            <w:r>
              <w:rPr>
                <w:b w:val="false"/>
                <w:bCs w:val="false"/>
                <w:sz w:val="18"/>
                <w:szCs w:val="18"/>
              </w:rPr>
              <w:t xml:space="preserve">Service type</w:t>
            </w:r>
          </w:p>
        </w:tc>
        <w:tc>
          <w:tcPr>
            <w:tcW w:type="dxa" w:w="7900"/>
            <w:tcMar>
              <w:top w:type="dxa" w:w="60"/>
              <w:left w:type="dxa" w:w="100"/>
              <w:bottom w:type="dxa" w:w="60"/>
              <w:right w:type="dxa" w:w="100"/>
            </w:tcMar>
          </w:tcPr>
          <w:p>
            <w:r>
              <w:rPr>
                <w:b w:val="false"/>
                <w:bCs w:val="false"/>
                <w:sz w:val="18"/>
                <w:szCs w:val="18"/>
              </w:rPr>
              <w:t xml:space="preserve">Web Service</w:t>
            </w:r>
          </w:p>
        </w:tc>
      </w:tr>
      <w:tr>
        <w:tc>
          <w:tcPr>
            <w:tcW w:type="dxa" w:w="1700"/>
            <w:tcMar>
              <w:top w:type="dxa" w:w="60"/>
              <w:left w:type="dxa" w:w="100"/>
              <w:bottom w:type="dxa" w:w="60"/>
              <w:right w:type="dxa" w:w="100"/>
            </w:tcMar>
          </w:tcPr>
          <w:p>
            <w:r>
              <w:rPr>
                <w:b w:val="false"/>
                <w:bCs w:val="false"/>
                <w:sz w:val="18"/>
                <w:szCs w:val="18"/>
              </w:rPr>
              <w:t xml:space="preserve">Root directory</w:t>
            </w:r>
          </w:p>
        </w:tc>
        <w:tc>
          <w:tcPr>
            <w:tcW w:type="dxa" w:w="7900"/>
            <w:tcMar>
              <w:top w:type="dxa" w:w="60"/>
              <w:left w:type="dxa" w:w="100"/>
              <w:bottom w:type="dxa" w:w="60"/>
              <w:right w:type="dxa" w:w="100"/>
            </w:tcMar>
          </w:tcPr>
          <w:p>
            <w:r>
              <w:rPr>
                <w:b w:val="false"/>
                <w:bCs w:val="false"/>
                <w:sz w:val="18"/>
                <w:szCs w:val="18"/>
              </w:rPr>
              <w:t xml:space="preserve">backend/</w:t>
            </w:r>
          </w:p>
        </w:tc>
      </w:tr>
      <w:tr>
        <w:tc>
          <w:tcPr>
            <w:tcW w:type="dxa" w:w="1700"/>
            <w:tcMar>
              <w:top w:type="dxa" w:w="60"/>
              <w:left w:type="dxa" w:w="100"/>
              <w:bottom w:type="dxa" w:w="60"/>
              <w:right w:type="dxa" w:w="100"/>
            </w:tcMar>
          </w:tcPr>
          <w:p>
            <w:r>
              <w:rPr>
                <w:b w:val="false"/>
                <w:bCs w:val="false"/>
                <w:sz w:val="18"/>
                <w:szCs w:val="18"/>
              </w:rPr>
              <w:t xml:space="preserve">Build command</w:t>
            </w:r>
          </w:p>
        </w:tc>
        <w:tc>
          <w:tcPr>
            <w:tcW w:type="dxa" w:w="7900"/>
            <w:tcMar>
              <w:top w:type="dxa" w:w="60"/>
              <w:left w:type="dxa" w:w="100"/>
              <w:bottom w:type="dxa" w:w="60"/>
              <w:right w:type="dxa" w:w="100"/>
            </w:tcMar>
          </w:tcPr>
          <w:p>
            <w:r>
              <w:rPr>
                <w:b w:val="false"/>
                <w:bCs w:val="false"/>
                <w:sz w:val="18"/>
                <w:szCs w:val="18"/>
              </w:rPr>
              <w:t xml:space="preserve">npm ci</w:t>
            </w:r>
          </w:p>
        </w:tc>
      </w:tr>
      <w:tr>
        <w:tc>
          <w:tcPr>
            <w:tcW w:type="dxa" w:w="1700"/>
            <w:tcMar>
              <w:top w:type="dxa" w:w="60"/>
              <w:left w:type="dxa" w:w="100"/>
              <w:bottom w:type="dxa" w:w="60"/>
              <w:right w:type="dxa" w:w="100"/>
            </w:tcMar>
          </w:tcPr>
          <w:p>
            <w:r>
              <w:rPr>
                <w:b w:val="false"/>
                <w:bCs w:val="false"/>
                <w:sz w:val="18"/>
                <w:szCs w:val="18"/>
              </w:rPr>
              <w:t xml:space="preserve">Start command</w:t>
            </w:r>
          </w:p>
        </w:tc>
        <w:tc>
          <w:tcPr>
            <w:tcW w:type="dxa" w:w="7900"/>
            <w:tcMar>
              <w:top w:type="dxa" w:w="60"/>
              <w:left w:type="dxa" w:w="100"/>
              <w:bottom w:type="dxa" w:w="60"/>
              <w:right w:type="dxa" w:w="100"/>
            </w:tcMar>
          </w:tcPr>
          <w:p>
            <w:r>
              <w:rPr>
                <w:b w:val="false"/>
                <w:bCs w:val="false"/>
                <w:sz w:val="18"/>
                <w:szCs w:val="18"/>
              </w:rPr>
              <w:t xml:space="preserve">npm start (e.g., node server.js)</w:t>
            </w:r>
          </w:p>
        </w:tc>
      </w:tr>
      <w:tr>
        <w:tc>
          <w:tcPr>
            <w:tcW w:type="dxa" w:w="1700"/>
            <w:tcMar>
              <w:top w:type="dxa" w:w="60"/>
              <w:left w:type="dxa" w:w="100"/>
              <w:bottom w:type="dxa" w:w="60"/>
              <w:right w:type="dxa" w:w="100"/>
            </w:tcMar>
          </w:tcPr>
          <w:p>
            <w:r>
              <w:rPr>
                <w:b w:val="false"/>
                <w:bCs w:val="false"/>
                <w:sz w:val="18"/>
                <w:szCs w:val="18"/>
              </w:rPr>
              <w:t xml:space="preserve">Health check path</w:t>
            </w:r>
          </w:p>
        </w:tc>
        <w:tc>
          <w:tcPr>
            <w:tcW w:type="dxa" w:w="7900"/>
            <w:tcMar>
              <w:top w:type="dxa" w:w="60"/>
              <w:left w:type="dxa" w:w="100"/>
              <w:bottom w:type="dxa" w:w="60"/>
              <w:right w:type="dxa" w:w="100"/>
            </w:tcMar>
          </w:tcPr>
          <w:p>
            <w:r>
              <w:rPr>
                <w:b w:val="false"/>
                <w:bCs w:val="false"/>
                <w:sz w:val="18"/>
                <w:szCs w:val="18"/>
              </w:rPr>
              <w:t xml:space="preserve">/api/health</w:t>
            </w:r>
          </w:p>
        </w:tc>
      </w:tr>
      <w:tr>
        <w:tc>
          <w:tcPr>
            <w:tcW w:type="dxa" w:w="1700"/>
            <w:tcMar>
              <w:top w:type="dxa" w:w="60"/>
              <w:left w:type="dxa" w:w="100"/>
              <w:bottom w:type="dxa" w:w="60"/>
              <w:right w:type="dxa" w:w="100"/>
            </w:tcMar>
          </w:tcPr>
          <w:p>
            <w:r>
              <w:rPr>
                <w:b w:val="false"/>
                <w:bCs w:val="false"/>
                <w:sz w:val="18"/>
                <w:szCs w:val="18"/>
              </w:rPr>
              <w:t xml:space="preserve">Instance/plan</w:t>
            </w:r>
          </w:p>
        </w:tc>
        <w:tc>
          <w:tcPr>
            <w:tcW w:type="dxa" w:w="7900"/>
            <w:tcMar>
              <w:top w:type="dxa" w:w="60"/>
              <w:left w:type="dxa" w:w="100"/>
              <w:bottom w:type="dxa" w:w="60"/>
              <w:right w:type="dxa" w:w="100"/>
            </w:tcMar>
          </w:tcPr>
          <w:p>
            <w:r>
              <w:rPr>
                <w:b w:val="false"/>
                <w:bCs w:val="false"/>
                <w:sz w:val="18"/>
                <w:szCs w:val="18"/>
              </w:rPr>
              <w:t xml:space="preserve">Start on a plan without idle-sleep for production (see NFR-DEPLOY-10)</w:t>
            </w:r>
          </w:p>
        </w:tc>
      </w:tr>
      <w:tr>
        <w:tc>
          <w:tcPr>
            <w:tcW w:type="dxa" w:w="1700"/>
            <w:tcMar>
              <w:top w:type="dxa" w:w="60"/>
              <w:left w:type="dxa" w:w="100"/>
              <w:bottom w:type="dxa" w:w="60"/>
              <w:right w:type="dxa" w:w="100"/>
            </w:tcMar>
          </w:tcPr>
          <w:p>
            <w:r>
              <w:rPr>
                <w:b w:val="false"/>
                <w:bCs w:val="false"/>
                <w:sz w:val="18"/>
                <w:szCs w:val="18"/>
              </w:rPr>
              <w:t xml:space="preserve">Node version</w:t>
            </w:r>
          </w:p>
        </w:tc>
        <w:tc>
          <w:tcPr>
            <w:tcW w:type="dxa" w:w="7900"/>
            <w:tcMar>
              <w:top w:type="dxa" w:w="60"/>
              <w:left w:type="dxa" w:w="100"/>
              <w:bottom w:type="dxa" w:w="60"/>
              <w:right w:type="dxa" w:w="100"/>
            </w:tcMar>
          </w:tcPr>
          <w:p>
            <w:r>
              <w:rPr>
                <w:b w:val="false"/>
                <w:bCs w:val="false"/>
                <w:sz w:val="18"/>
                <w:szCs w:val="18"/>
              </w:rPr>
              <w:t xml:space="preserve">Pinned via package.json “engines” field</w:t>
            </w:r>
          </w:p>
        </w:tc>
      </w:tr>
    </w:tbl>
    <w:p>
      <w:pPr>
        <w:spacing w:after="60"/>
      </w:pPr>
    </w:p>
    <w:p>
      <w:pPr>
        <w:pStyle w:val="ListParagraph"/>
        <w:numPr>
          <w:ilvl w:val="0"/>
          <w:numId w:val="2"/>
        </w:numPr>
        <w:spacing w:after="60"/>
      </w:pPr>
      <w:r>
        <w:rPr>
          <w:sz w:val="20"/>
          <w:szCs w:val="20"/>
        </w:rPr>
        <w:t xml:space="preserve">NFR-DEPLOY-05: The backend shall be a stateless process safe to run as multiple Render instances; no request-affinity or in-memory session/job state that would break under horizontal scaling.</w:t>
      </w:r>
    </w:p>
    <w:p>
      <w:pPr>
        <w:pStyle w:val="ListParagraph"/>
        <w:numPr>
          <w:ilvl w:val="0"/>
          <w:numId w:val="2"/>
        </w:numPr>
        <w:spacing w:after="60"/>
      </w:pPr>
      <w:r>
        <w:rPr>
          <w:sz w:val="20"/>
          <w:szCs w:val="20"/>
        </w:rPr>
        <w:t xml:space="preserve">NFR-DEPLOY-06: /api/health shall report process liveness and, ideally, dependency reachability (database, Redis) so Render's health checks and zero-downtime deploys behave correctly.</w:t>
      </w:r>
    </w:p>
    <w:p>
      <w:pPr>
        <w:pStyle w:val="ListParagraph"/>
        <w:numPr>
          <w:ilvl w:val="0"/>
          <w:numId w:val="2"/>
        </w:numPr>
        <w:spacing w:after="60"/>
      </w:pPr>
      <w:r>
        <w:rPr>
          <w:sz w:val="20"/>
          <w:szCs w:val="20"/>
        </w:rPr>
        <w:t xml:space="preserve">NFR-DEPLOY-07: CORS shall allow only the exact deployed Vercel domain(s) — production domain and, if needed, preview-deployment pattern — never a wildcard origin, per NFR-SEC-01.</w:t>
      </w:r>
    </w:p>
    <w:p>
      <w:pPr>
        <w:pStyle w:val="ListParagraph"/>
        <w:numPr>
          <w:ilvl w:val="0"/>
          <w:numId w:val="2"/>
        </w:numPr>
        <w:spacing w:after="60"/>
      </w:pPr>
      <w:r>
        <w:rPr>
          <w:sz w:val="20"/>
          <w:szCs w:val="20"/>
        </w:rPr>
        <w:t xml:space="preserve">NFR-DEPLOY-08: Scheduled jobs (node-cron: billing generation, WhatsApp outbox retry) shall acquire a distributed Redis lock before running, since Render may run more than one instance.</w:t>
      </w:r>
    </w:p>
    <w:p>
      <w:pPr>
        <w:pStyle w:val="ListParagraph"/>
        <w:numPr>
          <w:ilvl w:val="0"/>
          <w:numId w:val="2"/>
        </w:numPr>
        <w:spacing w:after="60"/>
      </w:pPr>
      <w:r>
        <w:rPr>
          <w:sz w:val="20"/>
          <w:szCs w:val="20"/>
        </w:rPr>
        <w:t xml:space="preserve">NFR-DEPLOY-09: Render auto-deploy shall be connected to the main branch via GitHub; the CI test suite shall be a required, passing check before a merge that triggers deployment.</w:t>
      </w:r>
    </w:p>
    <w:p>
      <w:pPr>
        <w:pStyle w:val="ListParagraph"/>
        <w:numPr>
          <w:ilvl w:val="0"/>
          <w:numId w:val="2"/>
        </w:numPr>
        <w:spacing w:after="60"/>
      </w:pPr>
      <w:r>
        <w:rPr>
          <w:sz w:val="20"/>
          <w:szCs w:val="20"/>
        </w:rPr>
        <w:t xml:space="preserve">NFR-DEPLOY-10: If a plan with idle-sleep is used in early development, this shall be documented as a known cold-start limitation; production shall use a plan without idle-sleep, or a scheduled uptime ping, to keep p95 latency within NFR-PERF-01.</w:t>
      </w:r>
    </w:p>
    <w:p>
      <w:pPr>
        <w:pStyle w:val="Heading2"/>
        <w:spacing w:after="100" w:before="220"/>
      </w:pPr>
      <w:r>
        <w:rPr>
          <w:b/>
          <w:bCs/>
          <w:color w:val="4B765F"/>
          <w:sz w:val="24"/>
          <w:szCs w:val="24"/>
        </w:rPr>
        <w:t xml:space="preserve">8.4 Database Deployment (MongoDB Atlas)</w:t>
      </w:r>
    </w:p>
    <w:p>
      <w:pPr>
        <w:pStyle w:val="ListParagraph"/>
        <w:numPr>
          <w:ilvl w:val="0"/>
          <w:numId w:val="2"/>
        </w:numPr>
        <w:spacing w:after="60"/>
      </w:pPr>
      <w:r>
        <w:rPr>
          <w:sz w:val="20"/>
          <w:szCs w:val="20"/>
        </w:rPr>
        <w:t xml:space="preserve">NFR-DEPLOY-11: The database shall be an Atlas-managed replica set (the Atlas default topology), sized appropriately for the environment (shared tier acceptable for development/staging; dedicated tier recommended for production).</w:t>
      </w:r>
    </w:p>
    <w:p>
      <w:pPr>
        <w:pStyle w:val="ListParagraph"/>
        <w:numPr>
          <w:ilvl w:val="0"/>
          <w:numId w:val="2"/>
        </w:numPr>
        <w:spacing w:after="60"/>
      </w:pPr>
      <w:r>
        <w:rPr>
          <w:sz w:val="20"/>
          <w:szCs w:val="20"/>
        </w:rPr>
        <w:t xml:space="preserve">NFR-DEPLOY-12: Network access shall be restricted to Render's egress IPs where feasible; where Render's egress IPs are not static, access shall be restricted at the database-user and TLS level and broad IP ranges shall be treated as a documented, reviewed exception rather than a default.</w:t>
      </w:r>
    </w:p>
    <w:p>
      <w:pPr>
        <w:pStyle w:val="ListParagraph"/>
        <w:numPr>
          <w:ilvl w:val="0"/>
          <w:numId w:val="2"/>
        </w:numPr>
        <w:spacing w:after="60"/>
      </w:pPr>
      <w:r>
        <w:rPr>
          <w:sz w:val="20"/>
          <w:szCs w:val="20"/>
        </w:rPr>
        <w:t xml:space="preserve">NFR-DEPLOY-13: A dedicated, least-privilege database user shall be created for the application (readWrite on the application database only, not an Atlas admin account).</w:t>
      </w:r>
    </w:p>
    <w:p>
      <w:pPr>
        <w:pStyle w:val="ListParagraph"/>
        <w:numPr>
          <w:ilvl w:val="0"/>
          <w:numId w:val="2"/>
        </w:numPr>
        <w:spacing w:after="60"/>
      </w:pPr>
      <w:r>
        <w:rPr>
          <w:sz w:val="20"/>
          <w:szCs w:val="20"/>
        </w:rPr>
        <w:t xml:space="preserve">NFR-DEPLOY-14: Atlas Cloud Backup (automated snapshots) shall be enabled with a retention window meeting NFR-REL-02, and a restore shall be rehearsed before go-live.</w:t>
      </w:r>
    </w:p>
    <w:p>
      <w:pPr>
        <w:pStyle w:val="ListParagraph"/>
        <w:numPr>
          <w:ilvl w:val="0"/>
          <w:numId w:val="2"/>
        </w:numPr>
        <w:spacing w:after="60"/>
      </w:pPr>
      <w:r>
        <w:rPr>
          <w:sz w:val="20"/>
          <w:szCs w:val="20"/>
        </w:rPr>
        <w:t xml:space="preserve">NFR-DEPLOY-15: The connection string shall enforce TLS and shall be stored only as the MONGO_URI environment variable on Render, never committed to source control.</w:t>
      </w:r>
    </w:p>
    <w:p>
      <w:pPr>
        <w:pStyle w:val="Heading2"/>
        <w:spacing w:after="100" w:before="220"/>
      </w:pPr>
      <w:r>
        <w:rPr>
          <w:b/>
          <w:bCs/>
          <w:color w:val="4B765F"/>
          <w:sz w:val="24"/>
          <w:szCs w:val="24"/>
        </w:rPr>
        <w:t xml:space="preserve">8.5 Redis, Email, and WhatsApp</w:t>
      </w:r>
    </w:p>
    <w:p>
      <w:pPr>
        <w:pStyle w:val="ListParagraph"/>
        <w:numPr>
          <w:ilvl w:val="0"/>
          <w:numId w:val="2"/>
        </w:numPr>
        <w:spacing w:after="60"/>
      </w:pPr>
      <w:r>
        <w:rPr>
          <w:sz w:val="20"/>
          <w:szCs w:val="20"/>
        </w:rPr>
        <w:t xml:space="preserve">Redis: a managed Redis instance (Render Redis add-on or an external provider) reachable via a REDIS_URL environment variable on the backend.</w:t>
      </w:r>
    </w:p>
    <w:p>
      <w:pPr>
        <w:pStyle w:val="ListParagraph"/>
        <w:numPr>
          <w:ilvl w:val="0"/>
          <w:numId w:val="2"/>
        </w:numPr>
        <w:spacing w:after="60"/>
      </w:pPr>
      <w:r>
        <w:rPr>
          <w:sz w:val="20"/>
          <w:szCs w:val="20"/>
        </w:rPr>
        <w:t xml:space="preserve">Email: an SMTP-compatible transactional email provider (e.g., SendGrid, Postmark, Amazon SES) configured via SMTP_* environment variables.</w:t>
      </w:r>
    </w:p>
    <w:p>
      <w:pPr>
        <w:pStyle w:val="ListParagraph"/>
        <w:numPr>
          <w:ilvl w:val="0"/>
          <w:numId w:val="2"/>
        </w:numPr>
        <w:spacing w:after="60"/>
      </w:pPr>
      <w:r>
        <w:rPr>
          <w:sz w:val="20"/>
          <w:szCs w:val="20"/>
        </w:rPr>
        <w:t xml:space="preserve">WhatsApp: WhatsApp Cloud API credentials (token, phone number ID, template names) configured via WHATSAPP_* environment variables, used only by the outbox worker.</w:t>
      </w:r>
    </w:p>
    <w:p>
      <w:pPr>
        <w:pStyle w:val="Heading2"/>
        <w:spacing w:after="100" w:before="220"/>
      </w:pPr>
      <w:r>
        <w:rPr>
          <w:b/>
          <w:bCs/>
          <w:color w:val="4B765F"/>
          <w:sz w:val="24"/>
          <w:szCs w:val="24"/>
        </w:rPr>
        <w:t xml:space="preserve">8.6 Environment Variables</w:t>
      </w:r>
    </w:p>
    <w:p>
      <w:pPr>
        <w:pStyle w:val="Heading3"/>
        <w:spacing w:after="80" w:before="160"/>
      </w:pPr>
      <w:r>
        <w:rPr>
          <w:b/>
          <w:bCs/>
          <w:color w:val="4B765F"/>
          <w:sz w:val="21"/>
          <w:szCs w:val="21"/>
        </w:rPr>
        <w:t xml:space="preserve">8.6.1 Frontend (Vercel)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00"/>
      </w:tblGrid>
      <w:tr>
        <w:trPr>
          <w:tblHeader/>
        </w:trPr>
        <w:tc>
          <w:tcPr>
            <w:tcW w:type="dxa" w:w="2600"/>
            <w:shd w:fill="DCE8E1" w:val="clear"/>
            <w:tcMar>
              <w:top w:type="dxa" w:w="60"/>
              <w:left w:type="dxa" w:w="100"/>
              <w:bottom w:type="dxa" w:w="60"/>
              <w:right w:type="dxa" w:w="100"/>
            </w:tcMar>
          </w:tcPr>
          <w:p>
            <w:r>
              <w:rPr>
                <w:b/>
                <w:bCs/>
                <w:sz w:val="18"/>
                <w:szCs w:val="18"/>
              </w:rPr>
              <w:t xml:space="preserve">Variable</w:t>
            </w:r>
          </w:p>
        </w:tc>
        <w:tc>
          <w:tcPr>
            <w:tcW w:type="dxa" w:w="2200"/>
            <w:shd w:fill="DCE8E1" w:val="clear"/>
            <w:tcMar>
              <w:top w:type="dxa" w:w="60"/>
              <w:left w:type="dxa" w:w="100"/>
              <w:bottom w:type="dxa" w:w="60"/>
              <w:right w:type="dxa" w:w="100"/>
            </w:tcMar>
          </w:tcPr>
          <w:p>
            <w:r>
              <w:rPr>
                <w:b/>
                <w:bCs/>
                <w:sz w:val="18"/>
                <w:szCs w:val="18"/>
              </w:rPr>
              <w:t xml:space="preserve">Where</w:t>
            </w:r>
          </w:p>
        </w:tc>
        <w:tc>
          <w:tcPr>
            <w:tcW w:type="dxa" w:w="4800"/>
            <w:shd w:fill="DCE8E1" w:val="clear"/>
            <w:tcMar>
              <w:top w:type="dxa" w:w="60"/>
              <w:left w:type="dxa" w:w="100"/>
              <w:bottom w:type="dxa" w:w="60"/>
              <w:right w:type="dxa" w:w="100"/>
            </w:tcMar>
          </w:tcPr>
          <w:p>
            <w:r>
              <w:rPr>
                <w:b/>
                <w:bCs/>
                <w:sz w:val="18"/>
                <w:szCs w:val="18"/>
              </w:rPr>
              <w:t xml:space="preserve">Purpose</w:t>
            </w:r>
          </w:p>
        </w:tc>
      </w:tr>
      <w:tr>
        <w:tc>
          <w:tcPr>
            <w:tcW w:type="dxa" w:w="2600"/>
            <w:tcMar>
              <w:top w:type="dxa" w:w="60"/>
              <w:left w:type="dxa" w:w="100"/>
              <w:bottom w:type="dxa" w:w="60"/>
              <w:right w:type="dxa" w:w="100"/>
            </w:tcMar>
          </w:tcPr>
          <w:p>
            <w:r>
              <w:rPr>
                <w:b w:val="false"/>
                <w:bCs w:val="false"/>
                <w:sz w:val="18"/>
                <w:szCs w:val="18"/>
              </w:rPr>
              <w:t xml:space="preserve">VITE_API_URL</w:t>
            </w:r>
          </w:p>
        </w:tc>
        <w:tc>
          <w:tcPr>
            <w:tcW w:type="dxa" w:w="2200"/>
            <w:tcMar>
              <w:top w:type="dxa" w:w="60"/>
              <w:left w:type="dxa" w:w="100"/>
              <w:bottom w:type="dxa" w:w="60"/>
              <w:right w:type="dxa" w:w="100"/>
            </w:tcMar>
          </w:tcPr>
          <w:p>
            <w:r>
              <w:rPr>
                <w:b w:val="false"/>
                <w:bCs w:val="false"/>
                <w:sz w:val="18"/>
                <w:szCs w:val="18"/>
              </w:rPr>
              <w:t xml:space="preserve">Vercel</w:t>
            </w:r>
          </w:p>
        </w:tc>
        <w:tc>
          <w:tcPr>
            <w:tcW w:type="dxa" w:w="4800"/>
            <w:tcMar>
              <w:top w:type="dxa" w:w="60"/>
              <w:left w:type="dxa" w:w="100"/>
              <w:bottom w:type="dxa" w:w="60"/>
              <w:right w:type="dxa" w:w="100"/>
            </w:tcMar>
          </w:tcPr>
          <w:p>
            <w:r>
              <w:rPr>
                <w:b w:val="false"/>
                <w:bCs w:val="false"/>
                <w:sz w:val="18"/>
                <w:szCs w:val="18"/>
              </w:rPr>
              <w:t xml:space="preserve">Base URL of the deployed Render API, e.g., https://gauamrut-api.onrender.com/api</w:t>
            </w:r>
          </w:p>
        </w:tc>
      </w:tr>
      <w:tr>
        <w:tc>
          <w:tcPr>
            <w:tcW w:type="dxa" w:w="2600"/>
            <w:tcMar>
              <w:top w:type="dxa" w:w="60"/>
              <w:left w:type="dxa" w:w="100"/>
              <w:bottom w:type="dxa" w:w="60"/>
              <w:right w:type="dxa" w:w="100"/>
            </w:tcMar>
          </w:tcPr>
          <w:p>
            <w:r>
              <w:rPr>
                <w:b w:val="false"/>
                <w:bCs w:val="false"/>
                <w:sz w:val="18"/>
                <w:szCs w:val="18"/>
              </w:rPr>
              <w:t xml:space="preserve">VITE_WS_URL</w:t>
            </w:r>
          </w:p>
        </w:tc>
        <w:tc>
          <w:tcPr>
            <w:tcW w:type="dxa" w:w="2200"/>
            <w:tcMar>
              <w:top w:type="dxa" w:w="60"/>
              <w:left w:type="dxa" w:w="100"/>
              <w:bottom w:type="dxa" w:w="60"/>
              <w:right w:type="dxa" w:w="100"/>
            </w:tcMar>
          </w:tcPr>
          <w:p>
            <w:r>
              <w:rPr>
                <w:b w:val="false"/>
                <w:bCs w:val="false"/>
                <w:sz w:val="18"/>
                <w:szCs w:val="18"/>
              </w:rPr>
              <w:t xml:space="preserve">Vercel</w:t>
            </w:r>
          </w:p>
        </w:tc>
        <w:tc>
          <w:tcPr>
            <w:tcW w:type="dxa" w:w="4800"/>
            <w:tcMar>
              <w:top w:type="dxa" w:w="60"/>
              <w:left w:type="dxa" w:w="100"/>
              <w:bottom w:type="dxa" w:w="60"/>
              <w:right w:type="dxa" w:w="100"/>
            </w:tcMar>
          </w:tcPr>
          <w:p>
            <w:r>
              <w:rPr>
                <w:b w:val="false"/>
                <w:bCs w:val="false"/>
                <w:sz w:val="18"/>
                <w:szCs w:val="18"/>
              </w:rPr>
              <w:t xml:space="preserve">WebSocket base URL of the same backend, e.g., wss://gauamrut-api.onrender.com</w:t>
            </w:r>
          </w:p>
        </w:tc>
      </w:tr>
      <w:tr>
        <w:tc>
          <w:tcPr>
            <w:tcW w:type="dxa" w:w="2600"/>
            <w:tcMar>
              <w:top w:type="dxa" w:w="60"/>
              <w:left w:type="dxa" w:w="100"/>
              <w:bottom w:type="dxa" w:w="60"/>
              <w:right w:type="dxa" w:w="100"/>
            </w:tcMar>
          </w:tcPr>
          <w:p>
            <w:r>
              <w:rPr>
                <w:b w:val="false"/>
                <w:bCs w:val="false"/>
                <w:sz w:val="18"/>
                <w:szCs w:val="18"/>
              </w:rPr>
              <w:t xml:space="preserve">VITE_API_TIMEOUT</w:t>
            </w:r>
          </w:p>
        </w:tc>
        <w:tc>
          <w:tcPr>
            <w:tcW w:type="dxa" w:w="2200"/>
            <w:tcMar>
              <w:top w:type="dxa" w:w="60"/>
              <w:left w:type="dxa" w:w="100"/>
              <w:bottom w:type="dxa" w:w="60"/>
              <w:right w:type="dxa" w:w="100"/>
            </w:tcMar>
          </w:tcPr>
          <w:p>
            <w:r>
              <w:rPr>
                <w:b w:val="false"/>
                <w:bCs w:val="false"/>
                <w:sz w:val="18"/>
                <w:szCs w:val="18"/>
              </w:rPr>
              <w:t xml:space="preserve">Vercel</w:t>
            </w:r>
          </w:p>
        </w:tc>
        <w:tc>
          <w:tcPr>
            <w:tcW w:type="dxa" w:w="4800"/>
            <w:tcMar>
              <w:top w:type="dxa" w:w="60"/>
              <w:left w:type="dxa" w:w="100"/>
              <w:bottom w:type="dxa" w:w="60"/>
              <w:right w:type="dxa" w:w="100"/>
            </w:tcMar>
          </w:tcPr>
          <w:p>
            <w:r>
              <w:rPr>
                <w:b w:val="false"/>
                <w:bCs w:val="false"/>
                <w:sz w:val="18"/>
                <w:szCs w:val="18"/>
              </w:rPr>
              <w:t xml:space="preserve">Request timeout in ms for the Axios client</w:t>
            </w:r>
          </w:p>
        </w:tc>
      </w:tr>
      <w:tr>
        <w:tc>
          <w:tcPr>
            <w:tcW w:type="dxa" w:w="2600"/>
            <w:tcMar>
              <w:top w:type="dxa" w:w="60"/>
              <w:left w:type="dxa" w:w="100"/>
              <w:bottom w:type="dxa" w:w="60"/>
              <w:right w:type="dxa" w:w="100"/>
            </w:tcMar>
          </w:tcPr>
          <w:p>
            <w:r>
              <w:rPr>
                <w:b w:val="false"/>
                <w:bCs w:val="false"/>
                <w:sz w:val="18"/>
                <w:szCs w:val="18"/>
              </w:rPr>
              <w:t xml:space="preserve">VITE_DEFAULT_PAGE_SIZE</w:t>
            </w:r>
          </w:p>
        </w:tc>
        <w:tc>
          <w:tcPr>
            <w:tcW w:type="dxa" w:w="2200"/>
            <w:tcMar>
              <w:top w:type="dxa" w:w="60"/>
              <w:left w:type="dxa" w:w="100"/>
              <w:bottom w:type="dxa" w:w="60"/>
              <w:right w:type="dxa" w:w="100"/>
            </w:tcMar>
          </w:tcPr>
          <w:p>
            <w:r>
              <w:rPr>
                <w:b w:val="false"/>
                <w:bCs w:val="false"/>
                <w:sz w:val="18"/>
                <w:szCs w:val="18"/>
              </w:rPr>
              <w:t xml:space="preserve">Vercel</w:t>
            </w:r>
          </w:p>
        </w:tc>
        <w:tc>
          <w:tcPr>
            <w:tcW w:type="dxa" w:w="4800"/>
            <w:tcMar>
              <w:top w:type="dxa" w:w="60"/>
              <w:left w:type="dxa" w:w="100"/>
              <w:bottom w:type="dxa" w:w="60"/>
              <w:right w:type="dxa" w:w="100"/>
            </w:tcMar>
          </w:tcPr>
          <w:p>
            <w:r>
              <w:rPr>
                <w:b w:val="false"/>
                <w:bCs w:val="false"/>
                <w:sz w:val="18"/>
                <w:szCs w:val="18"/>
              </w:rPr>
              <w:t xml:space="preserve">Optional default pagination size for list views</w:t>
            </w:r>
          </w:p>
        </w:tc>
      </w:tr>
    </w:tbl>
    <w:p>
      <w:pPr>
        <w:spacing w:after="60"/>
      </w:pPr>
    </w:p>
    <w:p>
      <w:pPr>
        <w:pStyle w:val="Heading3"/>
        <w:spacing w:after="80" w:before="160"/>
      </w:pPr>
      <w:r>
        <w:rPr>
          <w:b/>
          <w:bCs/>
          <w:color w:val="4B765F"/>
          <w:sz w:val="21"/>
          <w:szCs w:val="21"/>
        </w:rPr>
        <w:t xml:space="preserve">8.6.2 Backend (Render)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00"/>
      </w:tblGrid>
      <w:tr>
        <w:trPr>
          <w:tblHeader/>
        </w:trPr>
        <w:tc>
          <w:tcPr>
            <w:tcW w:type="dxa" w:w="2600"/>
            <w:shd w:fill="DCE8E1" w:val="clear"/>
            <w:tcMar>
              <w:top w:type="dxa" w:w="60"/>
              <w:left w:type="dxa" w:w="100"/>
              <w:bottom w:type="dxa" w:w="60"/>
              <w:right w:type="dxa" w:w="100"/>
            </w:tcMar>
          </w:tcPr>
          <w:p>
            <w:r>
              <w:rPr>
                <w:b/>
                <w:bCs/>
                <w:sz w:val="18"/>
                <w:szCs w:val="18"/>
              </w:rPr>
              <w:t xml:space="preserve">Variable</w:t>
            </w:r>
          </w:p>
        </w:tc>
        <w:tc>
          <w:tcPr>
            <w:tcW w:type="dxa" w:w="2200"/>
            <w:shd w:fill="DCE8E1" w:val="clear"/>
            <w:tcMar>
              <w:top w:type="dxa" w:w="60"/>
              <w:left w:type="dxa" w:w="100"/>
              <w:bottom w:type="dxa" w:w="60"/>
              <w:right w:type="dxa" w:w="100"/>
            </w:tcMar>
          </w:tcPr>
          <w:p>
            <w:r>
              <w:rPr>
                <w:b/>
                <w:bCs/>
                <w:sz w:val="18"/>
                <w:szCs w:val="18"/>
              </w:rPr>
              <w:t xml:space="preserve">Where</w:t>
            </w:r>
          </w:p>
        </w:tc>
        <w:tc>
          <w:tcPr>
            <w:tcW w:type="dxa" w:w="4800"/>
            <w:shd w:fill="DCE8E1" w:val="clear"/>
            <w:tcMar>
              <w:top w:type="dxa" w:w="60"/>
              <w:left w:type="dxa" w:w="100"/>
              <w:bottom w:type="dxa" w:w="60"/>
              <w:right w:type="dxa" w:w="100"/>
            </w:tcMar>
          </w:tcPr>
          <w:p>
            <w:r>
              <w:rPr>
                <w:b/>
                <w:bCs/>
                <w:sz w:val="18"/>
                <w:szCs w:val="18"/>
              </w:rPr>
              <w:t xml:space="preserve">Purpose</w:t>
            </w:r>
          </w:p>
        </w:tc>
      </w:tr>
      <w:tr>
        <w:tc>
          <w:tcPr>
            <w:tcW w:type="dxa" w:w="2600"/>
            <w:tcMar>
              <w:top w:type="dxa" w:w="60"/>
              <w:left w:type="dxa" w:w="100"/>
              <w:bottom w:type="dxa" w:w="60"/>
              <w:right w:type="dxa" w:w="100"/>
            </w:tcMar>
          </w:tcPr>
          <w:p>
            <w:r>
              <w:rPr>
                <w:b w:val="false"/>
                <w:bCs w:val="false"/>
                <w:sz w:val="18"/>
                <w:szCs w:val="18"/>
              </w:rPr>
              <w:t xml:space="preserve">NODE_ENV</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production / staging / development</w:t>
            </w:r>
          </w:p>
        </w:tc>
      </w:tr>
      <w:tr>
        <w:tc>
          <w:tcPr>
            <w:tcW w:type="dxa" w:w="2600"/>
            <w:tcMar>
              <w:top w:type="dxa" w:w="60"/>
              <w:left w:type="dxa" w:w="100"/>
              <w:bottom w:type="dxa" w:w="60"/>
              <w:right w:type="dxa" w:w="100"/>
            </w:tcMar>
          </w:tcPr>
          <w:p>
            <w:r>
              <w:rPr>
                <w:b w:val="false"/>
                <w:bCs w:val="false"/>
                <w:sz w:val="18"/>
                <w:szCs w:val="18"/>
              </w:rPr>
              <w:t xml:space="preserve">PORT</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Provided by Render at runtime; the app must bind to it</w:t>
            </w:r>
          </w:p>
        </w:tc>
      </w:tr>
      <w:tr>
        <w:tc>
          <w:tcPr>
            <w:tcW w:type="dxa" w:w="2600"/>
            <w:tcMar>
              <w:top w:type="dxa" w:w="60"/>
              <w:left w:type="dxa" w:w="100"/>
              <w:bottom w:type="dxa" w:w="60"/>
              <w:right w:type="dxa" w:w="100"/>
            </w:tcMar>
          </w:tcPr>
          <w:p>
            <w:r>
              <w:rPr>
                <w:b w:val="false"/>
                <w:bCs w:val="false"/>
                <w:sz w:val="18"/>
                <w:szCs w:val="18"/>
              </w:rPr>
              <w:t xml:space="preserve">MONGO_URI</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MongoDB Atlas replica-set connection string (TLS enforced)</w:t>
            </w:r>
          </w:p>
        </w:tc>
      </w:tr>
      <w:tr>
        <w:tc>
          <w:tcPr>
            <w:tcW w:type="dxa" w:w="2600"/>
            <w:tcMar>
              <w:top w:type="dxa" w:w="60"/>
              <w:left w:type="dxa" w:w="100"/>
              <w:bottom w:type="dxa" w:w="60"/>
              <w:right w:type="dxa" w:w="100"/>
            </w:tcMar>
          </w:tcPr>
          <w:p>
            <w:r>
              <w:rPr>
                <w:b w:val="false"/>
                <w:bCs w:val="false"/>
                <w:sz w:val="18"/>
                <w:szCs w:val="18"/>
              </w:rPr>
              <w:t xml:space="preserve">MONGO_TEST_URI</w:t>
            </w:r>
          </w:p>
        </w:tc>
        <w:tc>
          <w:tcPr>
            <w:tcW w:type="dxa" w:w="2200"/>
            <w:tcMar>
              <w:top w:type="dxa" w:w="60"/>
              <w:left w:type="dxa" w:w="100"/>
              <w:bottom w:type="dxa" w:w="60"/>
              <w:right w:type="dxa" w:w="100"/>
            </w:tcMar>
          </w:tcPr>
          <w:p>
            <w:r>
              <w:rPr>
                <w:b w:val="false"/>
                <w:bCs w:val="false"/>
                <w:sz w:val="18"/>
                <w:szCs w:val="18"/>
              </w:rPr>
              <w:t xml:space="preserve">CI only</w:t>
            </w:r>
          </w:p>
        </w:tc>
        <w:tc>
          <w:tcPr>
            <w:tcW w:type="dxa" w:w="4800"/>
            <w:tcMar>
              <w:top w:type="dxa" w:w="60"/>
              <w:left w:type="dxa" w:w="100"/>
              <w:bottom w:type="dxa" w:w="60"/>
              <w:right w:type="dxa" w:w="100"/>
            </w:tcMar>
          </w:tcPr>
          <w:p>
            <w:r>
              <w:rPr>
                <w:b w:val="false"/>
                <w:bCs w:val="false"/>
                <w:sz w:val="18"/>
                <w:szCs w:val="18"/>
              </w:rPr>
              <w:t xml:space="preserve">Separate database/cluster used for automated tests</w:t>
            </w:r>
          </w:p>
        </w:tc>
      </w:tr>
      <w:tr>
        <w:tc>
          <w:tcPr>
            <w:tcW w:type="dxa" w:w="2600"/>
            <w:tcMar>
              <w:top w:type="dxa" w:w="60"/>
              <w:left w:type="dxa" w:w="100"/>
              <w:bottom w:type="dxa" w:w="60"/>
              <w:right w:type="dxa" w:w="100"/>
            </w:tcMar>
          </w:tcPr>
          <w:p>
            <w:r>
              <w:rPr>
                <w:b w:val="false"/>
                <w:bCs w:val="false"/>
                <w:sz w:val="18"/>
                <w:szCs w:val="18"/>
              </w:rPr>
              <w:t xml:space="preserve">JWT_SECRET</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High-entropy signing key for access tokens</w:t>
            </w:r>
          </w:p>
        </w:tc>
      </w:tr>
      <w:tr>
        <w:tc>
          <w:tcPr>
            <w:tcW w:type="dxa" w:w="2600"/>
            <w:tcMar>
              <w:top w:type="dxa" w:w="60"/>
              <w:left w:type="dxa" w:w="100"/>
              <w:bottom w:type="dxa" w:w="60"/>
              <w:right w:type="dxa" w:w="100"/>
            </w:tcMar>
          </w:tcPr>
          <w:p>
            <w:r>
              <w:rPr>
                <w:b w:val="false"/>
                <w:bCs w:val="false"/>
                <w:sz w:val="18"/>
                <w:szCs w:val="18"/>
              </w:rPr>
              <w:t xml:space="preserve">SETTINGS_ENCRYPTION_KEY</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Distinct key used to encrypt sensitive admin settings; never reused from JWT_SECRET</w:t>
            </w:r>
          </w:p>
        </w:tc>
      </w:tr>
      <w:tr>
        <w:tc>
          <w:tcPr>
            <w:tcW w:type="dxa" w:w="2600"/>
            <w:tcMar>
              <w:top w:type="dxa" w:w="60"/>
              <w:left w:type="dxa" w:w="100"/>
              <w:bottom w:type="dxa" w:w="60"/>
              <w:right w:type="dxa" w:w="100"/>
            </w:tcMar>
          </w:tcPr>
          <w:p>
            <w:r>
              <w:rPr>
                <w:b w:val="false"/>
                <w:bCs w:val="false"/>
                <w:sz w:val="18"/>
                <w:szCs w:val="18"/>
              </w:rPr>
              <w:t xml:space="preserve">ADMIN_BOOTSTRAP_TOKEN</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One-time-use token to create the first super_admin</w:t>
            </w:r>
          </w:p>
        </w:tc>
      </w:tr>
      <w:tr>
        <w:tc>
          <w:tcPr>
            <w:tcW w:type="dxa" w:w="2600"/>
            <w:tcMar>
              <w:top w:type="dxa" w:w="60"/>
              <w:left w:type="dxa" w:w="100"/>
              <w:bottom w:type="dxa" w:w="60"/>
              <w:right w:type="dxa" w:w="100"/>
            </w:tcMar>
          </w:tcPr>
          <w:p>
            <w:r>
              <w:rPr>
                <w:b w:val="false"/>
                <w:bCs w:val="false"/>
                <w:sz w:val="18"/>
                <w:szCs w:val="18"/>
              </w:rPr>
              <w:t xml:space="preserve">CORS_ORIGINS</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Comma-separated exact allowed origins (Vercel production + preview pattern)</w:t>
            </w:r>
          </w:p>
        </w:tc>
      </w:tr>
      <w:tr>
        <w:tc>
          <w:tcPr>
            <w:tcW w:type="dxa" w:w="2600"/>
            <w:tcMar>
              <w:top w:type="dxa" w:w="60"/>
              <w:left w:type="dxa" w:w="100"/>
              <w:bottom w:type="dxa" w:w="60"/>
              <w:right w:type="dxa" w:w="100"/>
            </w:tcMar>
          </w:tcPr>
          <w:p>
            <w:r>
              <w:rPr>
                <w:b w:val="false"/>
                <w:bCs w:val="false"/>
                <w:sz w:val="18"/>
                <w:szCs w:val="18"/>
              </w:rPr>
              <w:t xml:space="preserve">REDIS_URL</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Connection string for the Redis instance</w:t>
            </w:r>
          </w:p>
        </w:tc>
      </w:tr>
      <w:tr>
        <w:tc>
          <w:tcPr>
            <w:tcW w:type="dxa" w:w="2600"/>
            <w:tcMar>
              <w:top w:type="dxa" w:w="60"/>
              <w:left w:type="dxa" w:w="100"/>
              <w:bottom w:type="dxa" w:w="60"/>
              <w:right w:type="dxa" w:w="100"/>
            </w:tcMar>
          </w:tcPr>
          <w:p>
            <w:r>
              <w:rPr>
                <w:b w:val="false"/>
                <w:bCs w:val="false"/>
                <w:sz w:val="18"/>
                <w:szCs w:val="18"/>
              </w:rPr>
              <w:t xml:space="preserve">SMTP_HOST / SMTP_PORT / SMTP_USER / SMTP_PASS / SMTP_FROM</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Transactional email provider credentials</w:t>
            </w:r>
          </w:p>
        </w:tc>
      </w:tr>
      <w:tr>
        <w:tc>
          <w:tcPr>
            <w:tcW w:type="dxa" w:w="2600"/>
            <w:tcMar>
              <w:top w:type="dxa" w:w="60"/>
              <w:left w:type="dxa" w:w="100"/>
              <w:bottom w:type="dxa" w:w="60"/>
              <w:right w:type="dxa" w:w="100"/>
            </w:tcMar>
          </w:tcPr>
          <w:p>
            <w:r>
              <w:rPr>
                <w:b w:val="false"/>
                <w:bCs w:val="false"/>
                <w:sz w:val="18"/>
                <w:szCs w:val="18"/>
              </w:rPr>
              <w:t xml:space="preserve">WHATSAPP_TOKEN / WHATSAPP_PHONE_ID / WHATSAPP_TEMPLATE_*</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WhatsApp Cloud API credentials and template identifiers</w:t>
            </w:r>
          </w:p>
        </w:tc>
      </w:tr>
      <w:tr>
        <w:tc>
          <w:tcPr>
            <w:tcW w:type="dxa" w:w="2600"/>
            <w:tcMar>
              <w:top w:type="dxa" w:w="60"/>
              <w:left w:type="dxa" w:w="100"/>
              <w:bottom w:type="dxa" w:w="60"/>
              <w:right w:type="dxa" w:w="100"/>
            </w:tcMar>
          </w:tcPr>
          <w:p>
            <w:r>
              <w:rPr>
                <w:b w:val="false"/>
                <w:bCs w:val="false"/>
                <w:sz w:val="18"/>
                <w:szCs w:val="18"/>
              </w:rPr>
              <w:t xml:space="preserve">BILLING_CRON_SCHEDULE</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Cron expression for monthly bill generation</w:t>
            </w:r>
          </w:p>
        </w:tc>
      </w:tr>
      <w:tr>
        <w:tc>
          <w:tcPr>
            <w:tcW w:type="dxa" w:w="2600"/>
            <w:tcMar>
              <w:top w:type="dxa" w:w="60"/>
              <w:left w:type="dxa" w:w="100"/>
              <w:bottom w:type="dxa" w:w="60"/>
              <w:right w:type="dxa" w:w="100"/>
            </w:tcMar>
          </w:tcPr>
          <w:p>
            <w:r>
              <w:rPr>
                <w:b w:val="false"/>
                <w:bCs w:val="false"/>
                <w:sz w:val="18"/>
                <w:szCs w:val="18"/>
              </w:rPr>
              <w:t xml:space="preserve">APP_TIMEZONE</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Business timezone for service-date interpretation (default Asia/Kolkata)</w:t>
            </w:r>
          </w:p>
        </w:tc>
      </w:tr>
      <w:tr>
        <w:tc>
          <w:tcPr>
            <w:tcW w:type="dxa" w:w="2600"/>
            <w:tcMar>
              <w:top w:type="dxa" w:w="60"/>
              <w:left w:type="dxa" w:w="100"/>
              <w:bottom w:type="dxa" w:w="60"/>
              <w:right w:type="dxa" w:w="100"/>
            </w:tcMar>
          </w:tcPr>
          <w:p>
            <w:r>
              <w:rPr>
                <w:b w:val="false"/>
                <w:bCs w:val="false"/>
                <w:sz w:val="18"/>
                <w:szCs w:val="18"/>
              </w:rPr>
              <w:t xml:space="preserve">BACKUP_RETENTION_DAYS</w:t>
            </w:r>
          </w:p>
        </w:tc>
        <w:tc>
          <w:tcPr>
            <w:tcW w:type="dxa" w:w="2200"/>
            <w:tcMar>
              <w:top w:type="dxa" w:w="60"/>
              <w:left w:type="dxa" w:w="100"/>
              <w:bottom w:type="dxa" w:w="60"/>
              <w:right w:type="dxa" w:w="100"/>
            </w:tcMar>
          </w:tcPr>
          <w:p>
            <w:r>
              <w:rPr>
                <w:b w:val="false"/>
                <w:bCs w:val="false"/>
                <w:sz w:val="18"/>
                <w:szCs w:val="18"/>
              </w:rPr>
              <w:t xml:space="preserve">Render</w:t>
            </w:r>
          </w:p>
        </w:tc>
        <w:tc>
          <w:tcPr>
            <w:tcW w:type="dxa" w:w="4800"/>
            <w:tcMar>
              <w:top w:type="dxa" w:w="60"/>
              <w:left w:type="dxa" w:w="100"/>
              <w:bottom w:type="dxa" w:w="60"/>
              <w:right w:type="dxa" w:w="100"/>
            </w:tcMar>
          </w:tcPr>
          <w:p>
            <w:r>
              <w:rPr>
                <w:b w:val="false"/>
                <w:bCs w:val="false"/>
                <w:sz w:val="18"/>
                <w:szCs w:val="18"/>
              </w:rPr>
              <w:t xml:space="preserve">Retention window used by backup verification jobs/alerts</w:t>
            </w:r>
          </w:p>
        </w:tc>
      </w:tr>
    </w:tbl>
    <w:p>
      <w:pPr>
        <w:spacing w:after="60"/>
      </w:pPr>
    </w:p>
    <w:p>
      <w:pPr>
        <w:spacing w:after="120"/>
      </w:pPr>
      <w:r>
        <w:rPr>
          <w:sz w:val="20"/>
          <w:szCs w:val="20"/>
        </w:rPr>
        <w:t xml:space="preserve">Rule: secrets are set only in the Vercel and Render environment-variable dashboards (or their CLI-managed equivalents) per environment; .env files are used for local development only and are excluded from version control via .gitignore.</w:t>
      </w:r>
    </w:p>
    <w:p>
      <w:pPr>
        <w:pStyle w:val="Heading2"/>
        <w:spacing w:after="100" w:before="220"/>
      </w:pPr>
      <w:r>
        <w:rPr>
          <w:b/>
          <w:bCs/>
          <w:color w:val="4B765F"/>
          <w:sz w:val="24"/>
          <w:szCs w:val="24"/>
        </w:rPr>
        <w:t xml:space="preserve">8.7 CI/CD and Release Process</w:t>
      </w:r>
    </w:p>
    <w:p>
      <w:pPr>
        <w:pStyle w:val="ListParagraph"/>
        <w:numPr>
          <w:ilvl w:val="0"/>
          <w:numId w:val="2"/>
        </w:numPr>
        <w:spacing w:after="60"/>
      </w:pPr>
      <w:r>
        <w:rPr>
          <w:sz w:val="20"/>
          <w:szCs w:val="20"/>
        </w:rPr>
        <w:t xml:space="preserve">Source control: a single GitHub repository with frontend/ and backend/ workspaces, or two repositories, as the team prefers — either way, Vercel watches the frontend path and Render watches the backend path on the same main branch.</w:t>
      </w:r>
    </w:p>
    <w:p>
      <w:pPr>
        <w:pStyle w:val="ListParagraph"/>
        <w:numPr>
          <w:ilvl w:val="0"/>
          <w:numId w:val="2"/>
        </w:numPr>
        <w:spacing w:after="60"/>
      </w:pPr>
      <w:r>
        <w:rPr>
          <w:sz w:val="20"/>
          <w:szCs w:val="20"/>
        </w:rPr>
        <w:t xml:space="preserve">Continuous Integration: on every push/PR, run lint, unit tests, integration tests, and build for both workspaces; block merge on failure (NFR-MNT-02).</w:t>
      </w:r>
    </w:p>
    <w:p>
      <w:pPr>
        <w:pStyle w:val="ListParagraph"/>
        <w:numPr>
          <w:ilvl w:val="0"/>
          <w:numId w:val="2"/>
        </w:numPr>
        <w:spacing w:after="60"/>
      </w:pPr>
      <w:r>
        <w:rPr>
          <w:sz w:val="20"/>
          <w:szCs w:val="20"/>
        </w:rPr>
        <w:t xml:space="preserve">Continuous Deployment: merges to main trigger an automatic Vercel production deploy and an automatic Render deploy of the backend; pull requests get an isolated Vercel preview URL for manual QA.</w:t>
      </w:r>
    </w:p>
    <w:p>
      <w:pPr>
        <w:pStyle w:val="ListParagraph"/>
        <w:numPr>
          <w:ilvl w:val="0"/>
          <w:numId w:val="2"/>
        </w:numPr>
        <w:spacing w:after="60"/>
      </w:pPr>
      <w:r>
        <w:rPr>
          <w:sz w:val="20"/>
          <w:szCs w:val="20"/>
        </w:rPr>
        <w:t xml:space="preserve">Rollback: both platforms retain prior successful deployments; a rollback is a one-click redeploy of the previous build on either platform (NFR-OPS-03).</w:t>
      </w:r>
    </w:p>
    <w:p>
      <w:pPr>
        <w:pStyle w:val="ListParagraph"/>
        <w:numPr>
          <w:ilvl w:val="0"/>
          <w:numId w:val="2"/>
        </w:numPr>
        <w:spacing w:after="60"/>
      </w:pPr>
      <w:r>
        <w:rPr>
          <w:sz w:val="20"/>
          <w:szCs w:val="20"/>
        </w:rPr>
        <w:t xml:space="preserve">Custom domains: once approved, a custom domain is attached in Vercel for the frontend and, optionally, in Render for the API; both platforms provision TLS certificates automatically.</w:t>
      </w:r>
    </w:p>
    <w:p>
      <w:pPr>
        <w:pStyle w:val="Heading2"/>
        <w:spacing w:after="100" w:before="220"/>
      </w:pPr>
      <w:r>
        <w:rPr>
          <w:b/>
          <w:bCs/>
          <w:color w:val="4B765F"/>
          <w:sz w:val="24"/>
          <w:szCs w:val="24"/>
        </w:rPr>
        <w:t xml:space="preserve">8.8 Go-Live Checklist</w:t>
      </w:r>
    </w:p>
    <w:p>
      <w:pPr>
        <w:pStyle w:val="ListParagraph"/>
        <w:numPr>
          <w:ilvl w:val="0"/>
          <w:numId w:val="2"/>
        </w:numPr>
        <w:spacing w:after="60"/>
      </w:pPr>
      <w:r>
        <w:rPr>
          <w:sz w:val="20"/>
          <w:szCs w:val="20"/>
        </w:rPr>
        <w:t xml:space="preserve">MongoDB Atlas replica set provisioned, least-privilege user created, network access reviewed, backups enabled and a restore rehearsed.</w:t>
      </w:r>
    </w:p>
    <w:p>
      <w:pPr>
        <w:pStyle w:val="ListParagraph"/>
        <w:numPr>
          <w:ilvl w:val="0"/>
          <w:numId w:val="2"/>
        </w:numPr>
        <w:spacing w:after="60"/>
      </w:pPr>
      <w:r>
        <w:rPr>
          <w:sz w:val="20"/>
          <w:szCs w:val="20"/>
        </w:rPr>
        <w:t xml:space="preserve">All required backend environment variables set in Render; all required frontend environment variables set in Vercel.</w:t>
      </w:r>
    </w:p>
    <w:p>
      <w:pPr>
        <w:pStyle w:val="ListParagraph"/>
        <w:numPr>
          <w:ilvl w:val="0"/>
          <w:numId w:val="2"/>
        </w:numPr>
        <w:spacing w:after="60"/>
      </w:pPr>
      <w:r>
        <w:rPr>
          <w:sz w:val="20"/>
          <w:szCs w:val="20"/>
        </w:rPr>
        <w:t xml:space="preserve">CORS_ORIGINS on Render contains only the real Vercel production domain (and preview pattern if used).</w:t>
      </w:r>
    </w:p>
    <w:p>
      <w:pPr>
        <w:pStyle w:val="ListParagraph"/>
        <w:numPr>
          <w:ilvl w:val="0"/>
          <w:numId w:val="2"/>
        </w:numPr>
        <w:spacing w:after="60"/>
      </w:pPr>
      <w:r>
        <w:rPr>
          <w:sz w:val="20"/>
          <w:szCs w:val="20"/>
        </w:rPr>
        <w:t xml:space="preserve">/api/health returns healthy and is wired into Render's health check.</w:t>
      </w:r>
    </w:p>
    <w:p>
      <w:pPr>
        <w:pStyle w:val="ListParagraph"/>
        <w:numPr>
          <w:ilvl w:val="0"/>
          <w:numId w:val="2"/>
        </w:numPr>
        <w:spacing w:after="60"/>
      </w:pPr>
      <w:r>
        <w:rPr>
          <w:sz w:val="20"/>
          <w:szCs w:val="20"/>
        </w:rPr>
        <w:t xml:space="preserve">Scheduled jobs (billing, outbox retry) verified to run exactly once across all backend instances.</w:t>
      </w:r>
    </w:p>
    <w:p>
      <w:pPr>
        <w:pStyle w:val="ListParagraph"/>
        <w:numPr>
          <w:ilvl w:val="0"/>
          <w:numId w:val="2"/>
        </w:numPr>
        <w:spacing w:after="60"/>
      </w:pPr>
      <w:r>
        <w:rPr>
          <w:sz w:val="20"/>
          <w:szCs w:val="20"/>
        </w:rPr>
        <w:t xml:space="preserve">Tenant-isolation and idempotency negative-test suites (Section 10) pass against the deployed environment, not just locally.</w:t>
      </w:r>
    </w:p>
    <w:p>
      <w:pPr>
        <w:pStyle w:val="ListParagraph"/>
        <w:numPr>
          <w:ilvl w:val="0"/>
          <w:numId w:val="2"/>
        </w:numPr>
        <w:spacing w:after="60"/>
      </w:pPr>
      <w:r>
        <w:rPr>
          <w:sz w:val="20"/>
          <w:szCs w:val="20"/>
        </w:rPr>
        <w:t xml:space="preserve">Monitoring/alerting is receiving data from the live environment before the domain is announced to real users.</w:t>
      </w:r>
    </w:p>
    <w:p>
      <w:pPr>
        <w:pStyle w:val="Heading1"/>
        <w:spacing w:after="140" w:before="320"/>
      </w:pPr>
      <w:r>
        <w:rPr>
          <w:b/>
          <w:bCs/>
          <w:color w:val="2D684C"/>
          <w:sz w:val="30"/>
          <w:szCs w:val="30"/>
        </w:rPr>
        <w:t xml:space="preserve">9. Data Model (MongoDB Collections)</w:t>
      </w:r>
    </w:p>
    <w:p>
      <w:pPr>
        <w:spacing w:after="120"/>
      </w:pPr>
      <w:r>
        <w:rPr>
          <w:sz w:val="20"/>
          <w:szCs w:val="20"/>
        </w:rPr>
        <w:t xml:space="preserve">All collections below are validated at both the database (schema validation) and Mongoose layers. Every tenant-owned collection carries milkman_id. Money fields use integer minor units or Decimal128. Timestamps are stored in UTC.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CE8E1" w:val="clear"/>
            <w:tcMar>
              <w:top w:type="dxa" w:w="60"/>
              <w:left w:type="dxa" w:w="100"/>
              <w:bottom w:type="dxa" w:w="60"/>
              <w:right w:type="dxa" w:w="100"/>
            </w:tcMar>
          </w:tcPr>
          <w:p>
            <w:r>
              <w:rPr>
                <w:b/>
                <w:bCs/>
                <w:sz w:val="18"/>
                <w:szCs w:val="18"/>
              </w:rPr>
              <w:t xml:space="preserve">Collection</w:t>
            </w:r>
          </w:p>
        </w:tc>
        <w:tc>
          <w:tcPr>
            <w:tcW w:type="dxa" w:w="7600"/>
            <w:shd w:fill="DCE8E1" w:val="clear"/>
            <w:tcMar>
              <w:top w:type="dxa" w:w="60"/>
              <w:left w:type="dxa" w:w="100"/>
              <w:bottom w:type="dxa" w:w="60"/>
              <w:right w:type="dxa" w:w="100"/>
            </w:tcMar>
          </w:tcPr>
          <w:p>
            <w:r>
              <w:rPr>
                <w:b/>
                <w:bCs/>
                <w:sz w:val="18"/>
                <w:szCs w:val="18"/>
              </w:rPr>
              <w:t xml:space="preserve">Purpose and Key Fields</w:t>
            </w:r>
          </w:p>
        </w:tc>
      </w:tr>
      <w:tr>
        <w:tc>
          <w:tcPr>
            <w:tcW w:type="dxa" w:w="2000"/>
            <w:tcMar>
              <w:top w:type="dxa" w:w="60"/>
              <w:left w:type="dxa" w:w="100"/>
              <w:bottom w:type="dxa" w:w="60"/>
              <w:right w:type="dxa" w:w="100"/>
            </w:tcMar>
          </w:tcPr>
          <w:p>
            <w:r>
              <w:rPr>
                <w:b w:val="false"/>
                <w:bCs w:val="false"/>
                <w:sz w:val="18"/>
                <w:szCs w:val="18"/>
              </w:rPr>
              <w:t xml:space="preserve">users</w:t>
            </w:r>
          </w:p>
        </w:tc>
        <w:tc>
          <w:tcPr>
            <w:tcW w:type="dxa" w:w="7600"/>
            <w:tcMar>
              <w:top w:type="dxa" w:w="60"/>
              <w:left w:type="dxa" w:w="100"/>
              <w:bottom w:type="dxa" w:w="60"/>
              <w:right w:type="dxa" w:w="100"/>
            </w:tcMar>
          </w:tcPr>
          <w:p>
            <w:r>
              <w:rPr>
                <w:b w:val="false"/>
                <w:bCs w:val="false"/>
                <w:sz w:val="18"/>
                <w:szCs w:val="18"/>
              </w:rPr>
              <w:t xml:space="preserve">id, normalized email, password hash, role, active/admin role, verification status, timestamps.</w:t>
            </w:r>
          </w:p>
        </w:tc>
      </w:tr>
      <w:tr>
        <w:tc>
          <w:tcPr>
            <w:tcW w:type="dxa" w:w="2000"/>
            <w:tcMar>
              <w:top w:type="dxa" w:w="60"/>
              <w:left w:type="dxa" w:w="100"/>
              <w:bottom w:type="dxa" w:w="60"/>
              <w:right w:type="dxa" w:w="100"/>
            </w:tcMar>
          </w:tcPr>
          <w:p>
            <w:r>
              <w:rPr>
                <w:b w:val="false"/>
                <w:bCs w:val="false"/>
                <w:sz w:val="18"/>
                <w:szCs w:val="18"/>
              </w:rPr>
              <w:t xml:space="preserve">milkmen</w:t>
            </w:r>
          </w:p>
        </w:tc>
        <w:tc>
          <w:tcPr>
            <w:tcW w:type="dxa" w:w="7600"/>
            <w:tcMar>
              <w:top w:type="dxa" w:w="60"/>
              <w:left w:type="dxa" w:w="100"/>
              <w:bottom w:type="dxa" w:w="60"/>
              <w:right w:type="dxa" w:w="100"/>
            </w:tcMar>
          </w:tcPr>
          <w:p>
            <w:r>
              <w:rPr>
                <w:b w:val="false"/>
                <w:bCs w:val="false"/>
                <w:sz w:val="18"/>
                <w:szCs w:val="18"/>
              </w:rPr>
              <w:t xml:space="preserve">user ref, identity/contact, business name, UPI ID, unique code, verification/subscription fields.</w:t>
            </w:r>
          </w:p>
        </w:tc>
      </w:tr>
      <w:tr>
        <w:tc>
          <w:tcPr>
            <w:tcW w:type="dxa" w:w="2000"/>
            <w:tcMar>
              <w:top w:type="dxa" w:w="60"/>
              <w:left w:type="dxa" w:w="100"/>
              <w:bottom w:type="dxa" w:w="60"/>
              <w:right w:type="dxa" w:w="100"/>
            </w:tcMar>
          </w:tcPr>
          <w:p>
            <w:r>
              <w:rPr>
                <w:b w:val="false"/>
                <w:bCs w:val="false"/>
                <w:sz w:val="18"/>
                <w:szCs w:val="18"/>
              </w:rPr>
              <w:t xml:space="preserve">customers</w:t>
            </w:r>
          </w:p>
        </w:tc>
        <w:tc>
          <w:tcPr>
            <w:tcW w:type="dxa" w:w="7600"/>
            <w:tcMar>
              <w:top w:type="dxa" w:w="60"/>
              <w:left w:type="dxa" w:w="100"/>
              <w:bottom w:type="dxa" w:w="60"/>
              <w:right w:type="dxa" w:w="100"/>
            </w:tcMar>
          </w:tcPr>
          <w:p>
            <w:r>
              <w:rPr>
                <w:b w:val="false"/>
                <w:bCs w:val="false"/>
                <w:sz w:val="18"/>
                <w:szCs w:val="18"/>
              </w:rPr>
              <w:t xml:space="preserve">user ref, tenant ref, contact/address, rates, four quantity defaults, two route-order fields, language, lifecycle status.</w:t>
            </w:r>
          </w:p>
        </w:tc>
      </w:tr>
      <w:tr>
        <w:tc>
          <w:tcPr>
            <w:tcW w:type="dxa" w:w="2000"/>
            <w:tcMar>
              <w:top w:type="dxa" w:w="60"/>
              <w:left w:type="dxa" w:w="100"/>
              <w:bottom w:type="dxa" w:w="60"/>
              <w:right w:type="dxa" w:w="100"/>
            </w:tcMar>
          </w:tcPr>
          <w:p>
            <w:r>
              <w:rPr>
                <w:b w:val="false"/>
                <w:bCs w:val="false"/>
                <w:sz w:val="18"/>
                <w:szCs w:val="18"/>
              </w:rPr>
              <w:t xml:space="preserve">milk_records</w:t>
            </w:r>
          </w:p>
        </w:tc>
        <w:tc>
          <w:tcPr>
            <w:tcW w:type="dxa" w:w="7600"/>
            <w:tcMar>
              <w:top w:type="dxa" w:w="60"/>
              <w:left w:type="dxa" w:w="100"/>
              <w:bottom w:type="dxa" w:w="60"/>
              <w:right w:type="dxa" w:w="100"/>
            </w:tcMar>
          </w:tcPr>
          <w:p>
            <w:r>
              <w:rPr>
                <w:b w:val="false"/>
                <w:bCs w:val="false"/>
                <w:sz w:val="18"/>
                <w:szCs w:val="18"/>
              </w:rPr>
              <w:t xml:space="preserve">tenant/customer/date/type/shift, quantity, fat/SNF, rate and total snapshots, soft-delete flag.</w:t>
            </w:r>
          </w:p>
        </w:tc>
      </w:tr>
      <w:tr>
        <w:tc>
          <w:tcPr>
            <w:tcW w:type="dxa" w:w="2000"/>
            <w:tcMar>
              <w:top w:type="dxa" w:w="60"/>
              <w:left w:type="dxa" w:w="100"/>
              <w:bottom w:type="dxa" w:w="60"/>
              <w:right w:type="dxa" w:w="100"/>
            </w:tcMar>
          </w:tcPr>
          <w:p>
            <w:r>
              <w:rPr>
                <w:b w:val="false"/>
                <w:bCs w:val="false"/>
                <w:sz w:val="18"/>
                <w:szCs w:val="18"/>
              </w:rPr>
              <w:t xml:space="preserve">delivery_adjustments</w:t>
            </w:r>
          </w:p>
        </w:tc>
        <w:tc>
          <w:tcPr>
            <w:tcW w:type="dxa" w:w="7600"/>
            <w:tcMar>
              <w:top w:type="dxa" w:w="60"/>
              <w:left w:type="dxa" w:w="100"/>
              <w:bottom w:type="dxa" w:w="60"/>
              <w:right w:type="dxa" w:w="100"/>
            </w:tcMar>
          </w:tcPr>
          <w:p>
            <w:r>
              <w:rPr>
                <w:b w:val="false"/>
                <w:bCs w:val="false"/>
                <w:sz w:val="18"/>
                <w:szCs w:val="18"/>
              </w:rPr>
              <w:t xml:space="preserve">customer/tenant, vacation or extra type, date range, shift, quantities, note, status.</w:t>
            </w:r>
          </w:p>
        </w:tc>
      </w:tr>
      <w:tr>
        <w:tc>
          <w:tcPr>
            <w:tcW w:type="dxa" w:w="2000"/>
            <w:tcMar>
              <w:top w:type="dxa" w:w="60"/>
              <w:left w:type="dxa" w:w="100"/>
              <w:bottom w:type="dxa" w:w="60"/>
              <w:right w:type="dxa" w:w="100"/>
            </w:tcMar>
          </w:tcPr>
          <w:p>
            <w:r>
              <w:rPr>
                <w:b w:val="false"/>
                <w:bCs w:val="false"/>
                <w:sz w:val="18"/>
                <w:szCs w:val="18"/>
              </w:rPr>
              <w:t xml:space="preserve">monthly_bills</w:t>
            </w:r>
          </w:p>
        </w:tc>
        <w:tc>
          <w:tcPr>
            <w:tcW w:type="dxa" w:w="7600"/>
            <w:tcMar>
              <w:top w:type="dxa" w:w="60"/>
              <w:left w:type="dxa" w:w="100"/>
              <w:bottom w:type="dxa" w:w="60"/>
              <w:right w:type="dxa" w:w="100"/>
            </w:tcMar>
          </w:tcPr>
          <w:p>
            <w:r>
              <w:rPr>
                <w:b w:val="false"/>
                <w:bCs w:val="false"/>
                <w:sz w:val="18"/>
                <w:szCs w:val="18"/>
              </w:rPr>
              <w:t xml:space="preserve">tenant/customer/month, opening balance, milk charge, paid amount, closing balance, generation time.</w:t>
            </w:r>
          </w:p>
        </w:tc>
      </w:tr>
      <w:tr>
        <w:tc>
          <w:tcPr>
            <w:tcW w:type="dxa" w:w="2000"/>
            <w:tcMar>
              <w:top w:type="dxa" w:w="60"/>
              <w:left w:type="dxa" w:w="100"/>
              <w:bottom w:type="dxa" w:w="60"/>
              <w:right w:type="dxa" w:w="100"/>
            </w:tcMar>
          </w:tcPr>
          <w:p>
            <w:r>
              <w:rPr>
                <w:b w:val="false"/>
                <w:bCs w:val="false"/>
                <w:sz w:val="18"/>
                <w:szCs w:val="18"/>
              </w:rPr>
              <w:t xml:space="preserve">payments</w:t>
            </w:r>
          </w:p>
        </w:tc>
        <w:tc>
          <w:tcPr>
            <w:tcW w:type="dxa" w:w="7600"/>
            <w:tcMar>
              <w:top w:type="dxa" w:w="60"/>
              <w:left w:type="dxa" w:w="100"/>
              <w:bottom w:type="dxa" w:w="60"/>
              <w:right w:type="dxa" w:w="100"/>
            </w:tcMar>
          </w:tcPr>
          <w:p>
            <w:r>
              <w:rPr>
                <w:b w:val="false"/>
                <w:bCs w:val="false"/>
                <w:sz w:val="18"/>
                <w:szCs w:val="18"/>
              </w:rPr>
              <w:t xml:space="preserve">tenant/customer/month, totals, status/method/source, reference/receipt, date, soft-delete flag.</w:t>
            </w:r>
          </w:p>
        </w:tc>
      </w:tr>
      <w:tr>
        <w:tc>
          <w:tcPr>
            <w:tcW w:type="dxa" w:w="2000"/>
            <w:tcMar>
              <w:top w:type="dxa" w:w="60"/>
              <w:left w:type="dxa" w:w="100"/>
              <w:bottom w:type="dxa" w:w="60"/>
              <w:right w:type="dxa" w:w="100"/>
            </w:tcMar>
          </w:tcPr>
          <w:p>
            <w:r>
              <w:rPr>
                <w:b w:val="false"/>
                <w:bCs w:val="false"/>
                <w:sz w:val="18"/>
                <w:szCs w:val="18"/>
              </w:rPr>
              <w:t xml:space="preserve">payment_requests</w:t>
            </w:r>
          </w:p>
        </w:tc>
        <w:tc>
          <w:tcPr>
            <w:tcW w:type="dxa" w:w="7600"/>
            <w:tcMar>
              <w:top w:type="dxa" w:w="60"/>
              <w:left w:type="dxa" w:w="100"/>
              <w:bottom w:type="dxa" w:w="60"/>
              <w:right w:type="dxa" w:w="100"/>
            </w:tcMar>
          </w:tcPr>
          <w:p>
            <w:r>
              <w:rPr>
                <w:b w:val="false"/>
                <w:bCs w:val="false"/>
                <w:sz w:val="18"/>
                <w:szCs w:val="18"/>
              </w:rPr>
              <w:t xml:space="preserve">customer/tenant, amount/source/reference, status, risk signals, notes, reviewer.</w:t>
            </w:r>
          </w:p>
        </w:tc>
      </w:tr>
      <w:tr>
        <w:tc>
          <w:tcPr>
            <w:tcW w:type="dxa" w:w="2000"/>
            <w:tcMar>
              <w:top w:type="dxa" w:w="60"/>
              <w:left w:type="dxa" w:w="100"/>
              <w:bottom w:type="dxa" w:w="60"/>
              <w:right w:type="dxa" w:w="100"/>
            </w:tcMar>
          </w:tcPr>
          <w:p>
            <w:r>
              <w:rPr>
                <w:b w:val="false"/>
                <w:bCs w:val="false"/>
                <w:sz w:val="18"/>
                <w:szCs w:val="18"/>
              </w:rPr>
              <w:t xml:space="preserve">products</w:t>
            </w:r>
          </w:p>
        </w:tc>
        <w:tc>
          <w:tcPr>
            <w:tcW w:type="dxa" w:w="7600"/>
            <w:tcMar>
              <w:top w:type="dxa" w:w="60"/>
              <w:left w:type="dxa" w:w="100"/>
              <w:bottom w:type="dxa" w:w="60"/>
              <w:right w:type="dxa" w:w="100"/>
            </w:tcMar>
          </w:tcPr>
          <w:p>
            <w:r>
              <w:rPr>
                <w:b w:val="false"/>
                <w:bCs w:val="false"/>
                <w:sz w:val="18"/>
                <w:szCs w:val="18"/>
              </w:rPr>
              <w:t xml:space="preserve">tenant ref, name/type/price/unit/description/availability.</w:t>
            </w:r>
          </w:p>
        </w:tc>
      </w:tr>
      <w:tr>
        <w:tc>
          <w:tcPr>
            <w:tcW w:type="dxa" w:w="2000"/>
            <w:tcMar>
              <w:top w:type="dxa" w:w="60"/>
              <w:left w:type="dxa" w:w="100"/>
              <w:bottom w:type="dxa" w:w="60"/>
              <w:right w:type="dxa" w:w="100"/>
            </w:tcMar>
          </w:tcPr>
          <w:p>
            <w:r>
              <w:rPr>
                <w:b w:val="false"/>
                <w:bCs w:val="false"/>
                <w:sz w:val="18"/>
                <w:szCs w:val="18"/>
              </w:rPr>
              <w:t xml:space="preserve">product_orders</w:t>
            </w:r>
          </w:p>
        </w:tc>
        <w:tc>
          <w:tcPr>
            <w:tcW w:type="dxa" w:w="7600"/>
            <w:tcMar>
              <w:top w:type="dxa" w:w="60"/>
              <w:left w:type="dxa" w:w="100"/>
              <w:bottom w:type="dxa" w:w="60"/>
              <w:right w:type="dxa" w:w="100"/>
            </w:tcMar>
          </w:tcPr>
          <w:p>
            <w:r>
              <w:rPr>
                <w:b w:val="false"/>
                <w:bCs w:val="false"/>
                <w:sz w:val="18"/>
                <w:szCs w:val="18"/>
              </w:rPr>
              <w:t xml:space="preserve">customer/product refs, quantity and price snapshots, delivery data, status.</w:t>
            </w:r>
          </w:p>
        </w:tc>
      </w:tr>
      <w:tr>
        <w:tc>
          <w:tcPr>
            <w:tcW w:type="dxa" w:w="2000"/>
            <w:tcMar>
              <w:top w:type="dxa" w:w="60"/>
              <w:left w:type="dxa" w:w="100"/>
              <w:bottom w:type="dxa" w:w="60"/>
              <w:right w:type="dxa" w:w="100"/>
            </w:tcMar>
          </w:tcPr>
          <w:p>
            <w:r>
              <w:rPr>
                <w:b w:val="false"/>
                <w:bCs w:val="false"/>
                <w:sz w:val="18"/>
                <w:szCs w:val="18"/>
              </w:rPr>
              <w:t xml:space="preserve">disputes</w:t>
            </w:r>
          </w:p>
        </w:tc>
        <w:tc>
          <w:tcPr>
            <w:tcW w:type="dxa" w:w="7600"/>
            <w:tcMar>
              <w:top w:type="dxa" w:w="60"/>
              <w:left w:type="dxa" w:w="100"/>
              <w:bottom w:type="dxa" w:w="60"/>
              <w:right w:type="dxa" w:w="100"/>
            </w:tcMar>
          </w:tcPr>
          <w:p>
            <w:r>
              <w:rPr>
                <w:b w:val="false"/>
                <w:bCs w:val="false"/>
                <w:sz w:val="18"/>
                <w:szCs w:val="18"/>
              </w:rPr>
              <w:t xml:space="preserve">customer/tenant/delivery refs, type/status/description/resolution/priority/assignment.</w:t>
            </w:r>
          </w:p>
        </w:tc>
      </w:tr>
      <w:tr>
        <w:tc>
          <w:tcPr>
            <w:tcW w:type="dxa" w:w="2000"/>
            <w:tcMar>
              <w:top w:type="dxa" w:w="60"/>
              <w:left w:type="dxa" w:w="100"/>
              <w:bottom w:type="dxa" w:w="60"/>
              <w:right w:type="dxa" w:w="100"/>
            </w:tcMar>
          </w:tcPr>
          <w:p>
            <w:r>
              <w:rPr>
                <w:b w:val="false"/>
                <w:bCs w:val="false"/>
                <w:sz w:val="18"/>
                <w:szCs w:val="18"/>
              </w:rPr>
              <w:t xml:space="preserve">notifications</w:t>
            </w:r>
          </w:p>
        </w:tc>
        <w:tc>
          <w:tcPr>
            <w:tcW w:type="dxa" w:w="7600"/>
            <w:tcMar>
              <w:top w:type="dxa" w:w="60"/>
              <w:left w:type="dxa" w:w="100"/>
              <w:bottom w:type="dxa" w:w="60"/>
              <w:right w:type="dxa" w:w="100"/>
            </w:tcMar>
          </w:tcPr>
          <w:p>
            <w:r>
              <w:rPr>
                <w:b w:val="false"/>
                <w:bCs w:val="false"/>
                <w:sz w:val="18"/>
                <w:szCs w:val="18"/>
              </w:rPr>
              <w:t xml:space="preserve">recipient/role, type/title/message, read flag, related-entity reference.</w:t>
            </w:r>
          </w:p>
        </w:tc>
      </w:tr>
      <w:tr>
        <w:tc>
          <w:tcPr>
            <w:tcW w:type="dxa" w:w="2000"/>
            <w:tcMar>
              <w:top w:type="dxa" w:w="60"/>
              <w:left w:type="dxa" w:w="100"/>
              <w:bottom w:type="dxa" w:w="60"/>
              <w:right w:type="dxa" w:w="100"/>
            </w:tcMar>
          </w:tcPr>
          <w:p>
            <w:r>
              <w:rPr>
                <w:b w:val="false"/>
                <w:bCs w:val="false"/>
                <w:sz w:val="18"/>
                <w:szCs w:val="18"/>
              </w:rPr>
              <w:t xml:space="preserve">registration_otps</w:t>
            </w:r>
          </w:p>
        </w:tc>
        <w:tc>
          <w:tcPr>
            <w:tcW w:type="dxa" w:w="7600"/>
            <w:tcMar>
              <w:top w:type="dxa" w:w="60"/>
              <w:left w:type="dxa" w:w="100"/>
              <w:bottom w:type="dxa" w:w="60"/>
              <w:right w:type="dxa" w:w="100"/>
            </w:tcMar>
          </w:tcPr>
          <w:p>
            <w:r>
              <w:rPr>
                <w:b w:val="false"/>
                <w:bCs w:val="false"/>
                <w:sz w:val="18"/>
                <w:szCs w:val="18"/>
              </w:rPr>
              <w:t xml:space="preserve">contact, OTP hash, requirement, attempt count, expiry/consumption.</w:t>
            </w:r>
          </w:p>
        </w:tc>
      </w:tr>
      <w:tr>
        <w:tc>
          <w:tcPr>
            <w:tcW w:type="dxa" w:w="2000"/>
            <w:tcMar>
              <w:top w:type="dxa" w:w="60"/>
              <w:left w:type="dxa" w:w="100"/>
              <w:bottom w:type="dxa" w:w="60"/>
              <w:right w:type="dxa" w:w="100"/>
            </w:tcMar>
          </w:tcPr>
          <w:p>
            <w:r>
              <w:rPr>
                <w:b w:val="false"/>
                <w:bCs w:val="false"/>
                <w:sz w:val="18"/>
                <w:szCs w:val="18"/>
              </w:rPr>
              <w:t xml:space="preserve">idempotency_keys</w:t>
            </w:r>
          </w:p>
        </w:tc>
        <w:tc>
          <w:tcPr>
            <w:tcW w:type="dxa" w:w="7600"/>
            <w:tcMar>
              <w:top w:type="dxa" w:w="60"/>
              <w:left w:type="dxa" w:w="100"/>
              <w:bottom w:type="dxa" w:w="60"/>
              <w:right w:type="dxa" w:w="100"/>
            </w:tcMar>
          </w:tcPr>
          <w:p>
            <w:r>
              <w:rPr>
                <w:b w:val="false"/>
                <w:bCs w:val="false"/>
                <w:sz w:val="18"/>
                <w:szCs w:val="18"/>
              </w:rPr>
              <w:t xml:space="preserve">owner scope, key, request hash, status, cached response, expiry (TTL).</w:t>
            </w:r>
          </w:p>
        </w:tc>
      </w:tr>
      <w:tr>
        <w:tc>
          <w:tcPr>
            <w:tcW w:type="dxa" w:w="2000"/>
            <w:tcMar>
              <w:top w:type="dxa" w:w="60"/>
              <w:left w:type="dxa" w:w="100"/>
              <w:bottom w:type="dxa" w:w="60"/>
              <w:right w:type="dxa" w:w="100"/>
            </w:tcMar>
          </w:tcPr>
          <w:p>
            <w:r>
              <w:rPr>
                <w:b w:val="false"/>
                <w:bCs w:val="false"/>
                <w:sz w:val="18"/>
                <w:szCs w:val="18"/>
              </w:rPr>
              <w:t xml:space="preserve">whatsapp_outbox</w:t>
            </w:r>
          </w:p>
        </w:tc>
        <w:tc>
          <w:tcPr>
            <w:tcW w:type="dxa" w:w="7600"/>
            <w:tcMar>
              <w:top w:type="dxa" w:w="60"/>
              <w:left w:type="dxa" w:w="100"/>
              <w:bottom w:type="dxa" w:w="60"/>
              <w:right w:type="dxa" w:w="100"/>
            </w:tcMar>
          </w:tcPr>
          <w:p>
            <w:r>
              <w:rPr>
                <w:b w:val="false"/>
                <w:bCs w:val="false"/>
                <w:sz w:val="18"/>
                <w:szCs w:val="18"/>
              </w:rPr>
              <w:t xml:space="preserve">unique event id, destination/template/parameters, retry count/status/error.</w:t>
            </w:r>
          </w:p>
        </w:tc>
      </w:tr>
      <w:tr>
        <w:tc>
          <w:tcPr>
            <w:tcW w:type="dxa" w:w="2000"/>
            <w:tcMar>
              <w:top w:type="dxa" w:w="60"/>
              <w:left w:type="dxa" w:w="100"/>
              <w:bottom w:type="dxa" w:w="60"/>
              <w:right w:type="dxa" w:w="100"/>
            </w:tcMar>
          </w:tcPr>
          <w:p>
            <w:r>
              <w:rPr>
                <w:b w:val="false"/>
                <w:bCs w:val="false"/>
                <w:sz w:val="18"/>
                <w:szCs w:val="18"/>
              </w:rPr>
              <w:t xml:space="preserve">admin_settings</w:t>
            </w:r>
          </w:p>
        </w:tc>
        <w:tc>
          <w:tcPr>
            <w:tcW w:type="dxa" w:w="7600"/>
            <w:tcMar>
              <w:top w:type="dxa" w:w="60"/>
              <w:left w:type="dxa" w:w="100"/>
              <w:bottom w:type="dxa" w:w="60"/>
              <w:right w:type="dxa" w:w="100"/>
            </w:tcMar>
          </w:tcPr>
          <w:p>
            <w:r>
              <w:rPr>
                <w:b w:val="false"/>
                <w:bCs w:val="false"/>
                <w:sz w:val="18"/>
                <w:szCs w:val="18"/>
              </w:rPr>
              <w:t xml:space="preserve">section, public/encrypted settings payload, version, timestamps.</w:t>
            </w:r>
          </w:p>
        </w:tc>
      </w:tr>
      <w:tr>
        <w:tc>
          <w:tcPr>
            <w:tcW w:type="dxa" w:w="2000"/>
            <w:tcMar>
              <w:top w:type="dxa" w:w="60"/>
              <w:left w:type="dxa" w:w="100"/>
              <w:bottom w:type="dxa" w:w="60"/>
              <w:right w:type="dxa" w:w="100"/>
            </w:tcMar>
          </w:tcPr>
          <w:p>
            <w:r>
              <w:rPr>
                <w:b w:val="false"/>
                <w:bCs w:val="false"/>
                <w:sz w:val="18"/>
                <w:szCs w:val="18"/>
              </w:rPr>
              <w:t xml:space="preserve">activity_logs</w:t>
            </w:r>
          </w:p>
        </w:tc>
        <w:tc>
          <w:tcPr>
            <w:tcW w:type="dxa" w:w="7600"/>
            <w:tcMar>
              <w:top w:type="dxa" w:w="60"/>
              <w:left w:type="dxa" w:w="100"/>
              <w:bottom w:type="dxa" w:w="60"/>
              <w:right w:type="dxa" w:w="100"/>
            </w:tcMar>
          </w:tcPr>
          <w:p>
            <w:r>
              <w:rPr>
                <w:b w:val="false"/>
                <w:bCs w:val="false"/>
                <w:sz w:val="18"/>
                <w:szCs w:val="18"/>
              </w:rPr>
              <w:t xml:space="preserve">actor/action/target/tenant, change diff, reason, request context, time (append-only).</w:t>
            </w:r>
          </w:p>
        </w:tc>
      </w:tr>
    </w:tbl>
    <w:p>
      <w:pPr>
        <w:spacing w:after="60"/>
      </w:pPr>
    </w:p>
    <w:p>
      <w:pPr>
        <w:pStyle w:val="Heading2"/>
        <w:spacing w:after="100" w:before="220"/>
      </w:pPr>
      <w:r>
        <w:rPr>
          <w:b/>
          <w:bCs/>
          <w:color w:val="4B765F"/>
          <w:sz w:val="24"/>
          <w:szCs w:val="24"/>
        </w:rPr>
        <w:t xml:space="preserve">9.1 Required Indexes</w:t>
      </w:r>
    </w:p>
    <w:p>
      <w:pPr>
        <w:pStyle w:val="ListParagraph"/>
        <w:numPr>
          <w:ilvl w:val="0"/>
          <w:numId w:val="2"/>
        </w:numPr>
        <w:spacing w:after="60"/>
      </w:pPr>
      <w:r>
        <w:rPr>
          <w:sz w:val="20"/>
          <w:szCs w:val="20"/>
        </w:rPr>
        <w:t xml:space="preserve">Unique index on users.email (normalized).</w:t>
      </w:r>
    </w:p>
    <w:p>
      <w:pPr>
        <w:pStyle w:val="ListParagraph"/>
        <w:numPr>
          <w:ilvl w:val="0"/>
          <w:numId w:val="2"/>
        </w:numPr>
        <w:spacing w:after="60"/>
      </w:pPr>
      <w:r>
        <w:rPr>
          <w:sz w:val="20"/>
          <w:szCs w:val="20"/>
        </w:rPr>
        <w:t xml:space="preserve">Unique index on each profile collection's user reference (milkmen, customers).</w:t>
      </w:r>
    </w:p>
    <w:p>
      <w:pPr>
        <w:pStyle w:val="ListParagraph"/>
        <w:numPr>
          <w:ilvl w:val="0"/>
          <w:numId w:val="2"/>
        </w:numPr>
        <w:spacing w:after="60"/>
      </w:pPr>
      <w:r>
        <w:rPr>
          <w:sz w:val="20"/>
          <w:szCs w:val="20"/>
        </w:rPr>
        <w:t xml:space="preserve">Unique index on milkmen.code.</w:t>
      </w:r>
    </w:p>
    <w:p>
      <w:pPr>
        <w:pStyle w:val="ListParagraph"/>
        <w:numPr>
          <w:ilvl w:val="0"/>
          <w:numId w:val="2"/>
        </w:numPr>
        <w:spacing w:after="60"/>
      </w:pPr>
      <w:r>
        <w:rPr>
          <w:sz w:val="20"/>
          <w:szCs w:val="20"/>
        </w:rPr>
        <w:t xml:space="preserve">Unique compound index on milk_records for (milkman_id, customer_id, date, shift, type) — the “logical delivery” guard.</w:t>
      </w:r>
    </w:p>
    <w:p>
      <w:pPr>
        <w:pStyle w:val="ListParagraph"/>
        <w:numPr>
          <w:ilvl w:val="0"/>
          <w:numId w:val="2"/>
        </w:numPr>
        <w:spacing w:after="60"/>
      </w:pPr>
      <w:r>
        <w:rPr>
          <w:sz w:val="20"/>
          <w:szCs w:val="20"/>
        </w:rPr>
        <w:t xml:space="preserve">Unique compound index on monthly_bills for (milkman_id, customer_id, month).</w:t>
      </w:r>
    </w:p>
    <w:p>
      <w:pPr>
        <w:pStyle w:val="ListParagraph"/>
        <w:numPr>
          <w:ilvl w:val="0"/>
          <w:numId w:val="2"/>
        </w:numPr>
        <w:spacing w:after="60"/>
      </w:pPr>
      <w:r>
        <w:rPr>
          <w:sz w:val="20"/>
          <w:szCs w:val="20"/>
        </w:rPr>
        <w:t xml:space="preserve">Unique compound index on idempotency_keys for (owner_scope, key).</w:t>
      </w:r>
    </w:p>
    <w:p>
      <w:pPr>
        <w:pStyle w:val="ListParagraph"/>
        <w:numPr>
          <w:ilvl w:val="0"/>
          <w:numId w:val="2"/>
        </w:numPr>
        <w:spacing w:after="60"/>
      </w:pPr>
      <w:r>
        <w:rPr>
          <w:sz w:val="20"/>
          <w:szCs w:val="20"/>
        </w:rPr>
        <w:t xml:space="preserve">Unique index on payments.receipt and on provider reference fields where present.</w:t>
      </w:r>
    </w:p>
    <w:p>
      <w:pPr>
        <w:pStyle w:val="ListParagraph"/>
        <w:numPr>
          <w:ilvl w:val="0"/>
          <w:numId w:val="2"/>
        </w:numPr>
        <w:spacing w:after="60"/>
      </w:pPr>
      <w:r>
        <w:rPr>
          <w:sz w:val="20"/>
          <w:szCs w:val="20"/>
        </w:rPr>
        <w:t xml:space="preserve">Unique index on whatsapp_outbox.event.</w:t>
      </w:r>
    </w:p>
    <w:p>
      <w:pPr>
        <w:pStyle w:val="ListParagraph"/>
        <w:numPr>
          <w:ilvl w:val="0"/>
          <w:numId w:val="2"/>
        </w:numPr>
        <w:spacing w:after="60"/>
      </w:pPr>
      <w:r>
        <w:rPr>
          <w:sz w:val="20"/>
          <w:szCs w:val="20"/>
        </w:rPr>
        <w:t xml:space="preserve">Unique index on admin_settings.section.</w:t>
      </w:r>
    </w:p>
    <w:p>
      <w:pPr>
        <w:pStyle w:val="ListParagraph"/>
        <w:numPr>
          <w:ilvl w:val="0"/>
          <w:numId w:val="2"/>
        </w:numPr>
        <w:spacing w:after="60"/>
      </w:pPr>
      <w:r>
        <w:rPr>
          <w:sz w:val="20"/>
          <w:szCs w:val="20"/>
        </w:rPr>
        <w:t xml:space="preserve">Compound indexes on (milkman_id, status/date) access paths across tenant-scoped collections, and on customer history lookups.</w:t>
      </w:r>
    </w:p>
    <w:p>
      <w:pPr>
        <w:pStyle w:val="ListParagraph"/>
        <w:numPr>
          <w:ilvl w:val="0"/>
          <w:numId w:val="2"/>
        </w:numPr>
        <w:spacing w:after="60"/>
      </w:pPr>
      <w:r>
        <w:rPr>
          <w:sz w:val="20"/>
          <w:szCs w:val="20"/>
        </w:rPr>
        <w:t xml:space="preserve">TTL indexes on registration_otps.expiry and idempotency_keys.expiry.</w:t>
      </w:r>
    </w:p>
    <w:p>
      <w:pPr>
        <w:pStyle w:val="ListParagraph"/>
        <w:numPr>
          <w:ilvl w:val="0"/>
          <w:numId w:val="2"/>
        </w:numPr>
        <w:spacing w:after="60"/>
      </w:pPr>
      <w:r>
        <w:rPr>
          <w:sz w:val="20"/>
          <w:szCs w:val="20"/>
        </w:rPr>
        <w:t xml:space="preserve">No collection shall embed unbounded arrays of historical records; histories are referenced, not embedded.</w:t>
      </w:r>
    </w:p>
    <w:p>
      <w:pPr>
        <w:pStyle w:val="Heading1"/>
        <w:spacing w:after="140" w:before="320"/>
      </w:pPr>
      <w:r>
        <w:rPr>
          <w:b/>
          <w:bCs/>
          <w:color w:val="2D684C"/>
          <w:sz w:val="30"/>
          <w:szCs w:val="30"/>
        </w:rPr>
        <w:t xml:space="preserve">10. Testing Requirements and Definition of Done</w:t>
      </w:r>
    </w:p>
    <w:p>
      <w:pPr>
        <w:pStyle w:val="Heading2"/>
        <w:spacing w:after="100" w:before="220"/>
      </w:pPr>
      <w:r>
        <w:rPr>
          <w:b/>
          <w:bCs/>
          <w:color w:val="4B765F"/>
          <w:sz w:val="24"/>
          <w:szCs w:val="24"/>
        </w:rPr>
        <w:t xml:space="preserve">10.1 Test Layers</w:t>
      </w:r>
    </w:p>
    <w:p>
      <w:pPr>
        <w:pStyle w:val="ListParagraph"/>
        <w:numPr>
          <w:ilvl w:val="0"/>
          <w:numId w:val="2"/>
        </w:numPr>
        <w:spacing w:after="60"/>
      </w:pPr>
      <w:r>
        <w:rPr>
          <w:sz w:val="20"/>
          <w:szCs w:val="20"/>
        </w:rPr>
        <w:t xml:space="preserve">Unit tests: calculations, validators, state machines, permission checks.</w:t>
      </w:r>
    </w:p>
    <w:p>
      <w:pPr>
        <w:pStyle w:val="ListParagraph"/>
        <w:numPr>
          <w:ilvl w:val="0"/>
          <w:numId w:val="2"/>
        </w:numPr>
        <w:spacing w:after="60"/>
      </w:pPr>
      <w:r>
        <w:rPr>
          <w:sz w:val="20"/>
          <w:szCs w:val="20"/>
        </w:rPr>
        <w:t xml:space="preserve">Repository tests: index enforcement, transactions, uniqueness constraints, aggregation correctness.</w:t>
      </w:r>
    </w:p>
    <w:p>
      <w:pPr>
        <w:pStyle w:val="ListParagraph"/>
        <w:numPr>
          <w:ilvl w:val="0"/>
          <w:numId w:val="2"/>
        </w:numPr>
        <w:spacing w:after="60"/>
      </w:pPr>
      <w:r>
        <w:rPr>
          <w:sz w:val="20"/>
          <w:szCs w:val="20"/>
        </w:rPr>
        <w:t xml:space="preserve">API tests: authentication, tenancy isolation, idempotency, concurrency.</w:t>
      </w:r>
    </w:p>
    <w:p>
      <w:pPr>
        <w:pStyle w:val="ListParagraph"/>
        <w:numPr>
          <w:ilvl w:val="0"/>
          <w:numId w:val="2"/>
        </w:numPr>
        <w:spacing w:after="60"/>
      </w:pPr>
      <w:r>
        <w:rPr>
          <w:sz w:val="20"/>
          <w:szCs w:val="20"/>
        </w:rPr>
        <w:t xml:space="preserve">Frontend component tests: accessible, localized components.</w:t>
      </w:r>
    </w:p>
    <w:p>
      <w:pPr>
        <w:pStyle w:val="ListParagraph"/>
        <w:numPr>
          <w:ilvl w:val="0"/>
          <w:numId w:val="2"/>
        </w:numPr>
        <w:spacing w:after="60"/>
      </w:pPr>
      <w:r>
        <w:rPr>
          <w:sz w:val="20"/>
          <w:szCs w:val="20"/>
        </w:rPr>
        <w:t xml:space="preserve">End-to-end tests: onboarding, route entry (online and offline), adjustments, billing/payment, product orders, disputes, admin flows.</w:t>
      </w:r>
    </w:p>
    <w:p>
      <w:pPr>
        <w:pStyle w:val="ListParagraph"/>
        <w:numPr>
          <w:ilvl w:val="0"/>
          <w:numId w:val="2"/>
        </w:numPr>
        <w:spacing w:after="60"/>
      </w:pPr>
      <w:r>
        <w:rPr>
          <w:sz w:val="20"/>
          <w:szCs w:val="20"/>
        </w:rPr>
        <w:t xml:space="preserve">Operational tests: load testing, dependency-outage handling, backup/restore, graceful shutdown, deployment rollback.</w:t>
      </w:r>
    </w:p>
    <w:p>
      <w:pPr>
        <w:pStyle w:val="Heading2"/>
        <w:spacing w:after="100" w:before="220"/>
      </w:pPr>
      <w:r>
        <w:rPr>
          <w:b/>
          <w:bCs/>
          <w:color w:val="4B765F"/>
          <w:sz w:val="24"/>
          <w:szCs w:val="24"/>
        </w:rPr>
        <w:t xml:space="preserve">10.2 Mandatory Negative Test Cases</w:t>
      </w:r>
    </w:p>
    <w:p>
      <w:pPr>
        <w:pStyle w:val="ListParagraph"/>
        <w:numPr>
          <w:ilvl w:val="0"/>
          <w:numId w:val="2"/>
        </w:numPr>
        <w:spacing w:after="60"/>
      </w:pPr>
      <w:r>
        <w:rPr>
          <w:sz w:val="20"/>
          <w:szCs w:val="20"/>
        </w:rPr>
        <w:t xml:space="preserve">Milkman A requests milkman B's resources, across every resource family.</w:t>
      </w:r>
    </w:p>
    <w:p>
      <w:pPr>
        <w:pStyle w:val="ListParagraph"/>
        <w:numPr>
          <w:ilvl w:val="0"/>
          <w:numId w:val="2"/>
        </w:numPr>
        <w:spacing w:after="60"/>
      </w:pPr>
      <w:r>
        <w:rPr>
          <w:sz w:val="20"/>
          <w:szCs w:val="20"/>
        </w:rPr>
        <w:t xml:space="preserve">Customer A requests customer B's resources.</w:t>
      </w:r>
    </w:p>
    <w:p>
      <w:pPr>
        <w:pStyle w:val="ListParagraph"/>
        <w:numPr>
          <w:ilvl w:val="0"/>
          <w:numId w:val="2"/>
        </w:numPr>
        <w:spacing w:after="60"/>
      </w:pPr>
      <w:r>
        <w:rPr>
          <w:sz w:val="20"/>
          <w:szCs w:val="20"/>
        </w:rPr>
        <w:t xml:space="preserve">An admin without the required permission attempts a permissioned action.</w:t>
      </w:r>
    </w:p>
    <w:p>
      <w:pPr>
        <w:pStyle w:val="ListParagraph"/>
        <w:numPr>
          <w:ilvl w:val="0"/>
          <w:numId w:val="2"/>
        </w:numPr>
        <w:spacing w:after="60"/>
      </w:pPr>
      <w:r>
        <w:rPr>
          <w:sz w:val="20"/>
          <w:szCs w:val="20"/>
        </w:rPr>
        <w:t xml:space="preserve">A disabled/deactivated user attempts to reuse a previously issued token.</w:t>
      </w:r>
    </w:p>
    <w:p>
      <w:pPr>
        <w:pStyle w:val="ListParagraph"/>
        <w:numPr>
          <w:ilvl w:val="0"/>
          <w:numId w:val="2"/>
        </w:numPr>
        <w:spacing w:after="60"/>
      </w:pPr>
      <w:r>
        <w:rPr>
          <w:sz w:val="20"/>
          <w:szCs w:val="20"/>
        </w:rPr>
        <w:t xml:space="preserve">A request payload attempts to inject MongoDB query operators.</w:t>
      </w:r>
    </w:p>
    <w:p>
      <w:pPr>
        <w:pStyle w:val="ListParagraph"/>
        <w:numPr>
          <w:ilvl w:val="0"/>
          <w:numId w:val="2"/>
        </w:numPr>
        <w:spacing w:after="60"/>
      </w:pPr>
      <w:r>
        <w:rPr>
          <w:sz w:val="20"/>
          <w:szCs w:val="20"/>
        </w:rPr>
        <w:t xml:space="preserve">The same idempotency key is submitted twice with different request content.</w:t>
      </w:r>
    </w:p>
    <w:p>
      <w:pPr>
        <w:pStyle w:val="ListParagraph"/>
        <w:numPr>
          <w:ilvl w:val="0"/>
          <w:numId w:val="2"/>
        </w:numPr>
        <w:spacing w:after="60"/>
      </w:pPr>
      <w:r>
        <w:rPr>
          <w:sz w:val="20"/>
          <w:szCs w:val="20"/>
        </w:rPr>
        <w:t xml:space="preserve">Concurrent duplicate payment or delivery submissions.</w:t>
      </w:r>
    </w:p>
    <w:p>
      <w:pPr>
        <w:pStyle w:val="ListParagraph"/>
        <w:numPr>
          <w:ilvl w:val="0"/>
          <w:numId w:val="2"/>
        </w:numPr>
        <w:spacing w:after="60"/>
      </w:pPr>
      <w:r>
        <w:rPr>
          <w:sz w:val="20"/>
          <w:szCs w:val="20"/>
        </w:rPr>
        <w:t xml:space="preserve">A malicious CSV export payload attempting formula injection.</w:t>
      </w:r>
    </w:p>
    <w:p>
      <w:pPr>
        <w:pStyle w:val="Heading2"/>
        <w:spacing w:after="100" w:before="220"/>
      </w:pPr>
      <w:r>
        <w:rPr>
          <w:b/>
          <w:bCs/>
          <w:color w:val="4B765F"/>
          <w:sz w:val="24"/>
          <w:szCs w:val="24"/>
        </w:rPr>
        <w:t xml:space="preserve">10.3 Definition of Done</w:t>
      </w:r>
    </w:p>
    <w:p>
      <w:pPr>
        <w:spacing w:after="120"/>
      </w:pPr>
      <w:r>
        <w:rPr>
          <w:sz w:val="20"/>
          <w:szCs w:val="20"/>
        </w:rPr>
        <w:t xml:space="preserve">A feature is done only when: behavior and acceptance criteria are agreed; API and data compatibility are documented; tenancy and permission checks are explicit and tested; responsive and accessible states are complete; tests are proportional to risk (per Section 10.1); safe telemetry exists (no PII leakage); rollback is possible; CI is green; security findings are triaged; and this SRS is updated to reflect the shipped behavior.</w:t>
      </w:r>
    </w:p>
    <w:p>
      <w:pPr>
        <w:pStyle w:val="Heading1"/>
        <w:spacing w:after="140" w:before="320"/>
      </w:pPr>
      <w:r>
        <w:rPr>
          <w:b/>
          <w:bCs/>
          <w:color w:val="2D684C"/>
          <w:sz w:val="30"/>
          <w:szCs w:val="30"/>
        </w:rPr>
        <w:t xml:space="preserve">11. Decisions Requiring Product Owner Approval</w:t>
      </w:r>
    </w:p>
    <w:p>
      <w:pPr>
        <w:spacing w:after="120"/>
      </w:pPr>
      <w:r>
        <w:rPr>
          <w:sz w:val="20"/>
          <w:szCs w:val="20"/>
        </w:rPr>
        <w:t xml:space="preserve">Until decided, the team shall preserve compatibility and avoid irreversible assumptions in these areas:</w:t>
      </w:r>
    </w:p>
    <w:p>
      <w:pPr>
        <w:pStyle w:val="ListParagraph"/>
        <w:numPr>
          <w:ilvl w:val="0"/>
          <w:numId w:val="2"/>
        </w:numPr>
        <w:spacing w:after="60"/>
      </w:pPr>
      <w:r>
        <w:rPr>
          <w:sz w:val="20"/>
          <w:szCs w:val="20"/>
        </w:rPr>
        <w:t xml:space="preserve">Final user-facing term: “milkman” or “dairy vendor/partner”?</w:t>
      </w:r>
    </w:p>
    <w:p>
      <w:pPr>
        <w:pStyle w:val="ListParagraph"/>
        <w:numPr>
          <w:ilvl w:val="0"/>
          <w:numId w:val="2"/>
        </w:numPr>
        <w:spacing w:after="60"/>
      </w:pPr>
      <w:r>
        <w:rPr>
          <w:sz w:val="20"/>
          <w:szCs w:val="20"/>
        </w:rPr>
        <w:t xml:space="preserve">Is a milkman's business name globally unique, or display-only?</w:t>
      </w:r>
    </w:p>
    <w:p>
      <w:pPr>
        <w:pStyle w:val="ListParagraph"/>
        <w:numPr>
          <w:ilvl w:val="0"/>
          <w:numId w:val="2"/>
        </w:numPr>
        <w:spacing w:after="60"/>
      </w:pPr>
      <w:r>
        <w:rPr>
          <w:sz w:val="20"/>
          <w:szCs w:val="20"/>
        </w:rPr>
        <w:t xml:space="preserve">Can a customer switch milkmen, or use multiple milkmen, while retaining history?</w:t>
      </w:r>
    </w:p>
    <w:p>
      <w:pPr>
        <w:pStyle w:val="ListParagraph"/>
        <w:numPr>
          <w:ilvl w:val="0"/>
          <w:numId w:val="2"/>
        </w:numPr>
        <w:spacing w:after="60"/>
      </w:pPr>
      <w:r>
        <w:rPr>
          <w:sz w:val="20"/>
          <w:szCs w:val="20"/>
        </w:rPr>
        <w:t xml:space="preserve">PII and financial data retention/deletion rules?</w:t>
      </w:r>
    </w:p>
    <w:p>
      <w:pPr>
        <w:pStyle w:val="ListParagraph"/>
        <w:numPr>
          <w:ilvl w:val="0"/>
          <w:numId w:val="2"/>
        </w:numPr>
        <w:spacing w:after="60"/>
      </w:pPr>
      <w:r>
        <w:rPr>
          <w:sz w:val="20"/>
          <w:szCs w:val="20"/>
        </w:rPr>
        <w:t xml:space="preserve">Treatment of overpayment, credit, refund, and reversed payments?</w:t>
      </w:r>
    </w:p>
    <w:p>
      <w:pPr>
        <w:pStyle w:val="ListParagraph"/>
        <w:numPr>
          <w:ilvl w:val="0"/>
          <w:numId w:val="2"/>
        </w:numPr>
        <w:spacing w:after="60"/>
      </w:pPr>
      <w:r>
        <w:rPr>
          <w:sz w:val="20"/>
          <w:szCs w:val="20"/>
        </w:rPr>
        <w:t xml:space="preserve">Currency, GST/tax invoicing, merchant of record, and payment provider selection?</w:t>
      </w:r>
    </w:p>
    <w:p>
      <w:pPr>
        <w:pStyle w:val="ListParagraph"/>
        <w:numPr>
          <w:ilvl w:val="0"/>
          <w:numId w:val="2"/>
        </w:numPr>
        <w:spacing w:after="60"/>
      </w:pPr>
      <w:r>
        <w:rPr>
          <w:sz w:val="20"/>
          <w:szCs w:val="20"/>
        </w:rPr>
        <w:t xml:space="preserve">Adjustment cutoff time, overlap handling, and approval rules?</w:t>
      </w:r>
    </w:p>
    <w:p>
      <w:pPr>
        <w:pStyle w:val="ListParagraph"/>
        <w:numPr>
          <w:ilvl w:val="0"/>
          <w:numId w:val="2"/>
        </w:numPr>
        <w:spacing w:after="60"/>
      </w:pPr>
      <w:r>
        <w:rPr>
          <w:sz w:val="20"/>
          <w:szCs w:val="20"/>
        </w:rPr>
        <w:t xml:space="preserve">Dispute SLA, escalation policy, and attachment support?</w:t>
      </w:r>
    </w:p>
    <w:p>
      <w:pPr>
        <w:pStyle w:val="ListParagraph"/>
        <w:numPr>
          <w:ilvl w:val="0"/>
          <w:numId w:val="2"/>
        </w:numPr>
        <w:spacing w:after="60"/>
      </w:pPr>
      <w:r>
        <w:rPr>
          <w:sz w:val="20"/>
          <w:szCs w:val="20"/>
        </w:rPr>
        <w:t xml:space="preserve">Subscription plans, entitlements, grace periods, and pricing?</w:t>
      </w:r>
    </w:p>
    <w:p>
      <w:pPr>
        <w:pStyle w:val="ListParagraph"/>
        <w:numPr>
          <w:ilvl w:val="0"/>
          <w:numId w:val="2"/>
        </w:numPr>
        <w:spacing w:after="60"/>
      </w:pPr>
      <w:r>
        <w:rPr>
          <w:sz w:val="20"/>
          <w:szCs w:val="20"/>
        </w:rPr>
        <w:t xml:space="preserve">Permanent numeric IDs vs. opaque/versioned IDs in the public API?</w:t>
      </w:r>
    </w:p>
    <w:p>
      <w:pPr>
        <w:pStyle w:val="ListParagraph"/>
        <w:numPr>
          <w:ilvl w:val="0"/>
          <w:numId w:val="2"/>
        </w:numPr>
        <w:spacing w:after="60"/>
      </w:pPr>
      <w:r>
        <w:rPr>
          <w:sz w:val="20"/>
          <w:szCs w:val="20"/>
        </w:rPr>
        <w:t xml:space="preserve">Approved scale, uptime target, RPO/RTO, and data residency requirements?</w:t>
      </w:r>
    </w:p>
    <w:p>
      <w:pPr>
        <w:pStyle w:val="Heading1"/>
        <w:spacing w:after="140" w:before="320"/>
      </w:pPr>
      <w:r>
        <w:rPr>
          <w:b/>
          <w:bCs/>
          <w:color w:val="2D684C"/>
          <w:sz w:val="30"/>
          <w:szCs w:val="30"/>
        </w:rPr>
        <w:t xml:space="preserve">12. Appendix</w:t>
      </w:r>
    </w:p>
    <w:p>
      <w:pPr>
        <w:pStyle w:val="Heading2"/>
        <w:spacing w:after="100" w:before="220"/>
      </w:pPr>
      <w:r>
        <w:rPr>
          <w:b/>
          <w:bCs/>
          <w:color w:val="4B765F"/>
          <w:sz w:val="24"/>
          <w:szCs w:val="24"/>
        </w:rPr>
        <w:t xml:space="preserve">12.1 Suggested KPIs</w:t>
      </w:r>
    </w:p>
    <w:p>
      <w:pPr>
        <w:pStyle w:val="ListParagraph"/>
        <w:numPr>
          <w:ilvl w:val="0"/>
          <w:numId w:val="2"/>
        </w:numPr>
        <w:spacing w:after="60"/>
      </w:pPr>
      <w:r>
        <w:rPr>
          <w:sz w:val="20"/>
          <w:szCs w:val="20"/>
        </w:rPr>
        <w:t xml:space="preserve">≥ 98% of deliveries entered same-day.</w:t>
      </w:r>
    </w:p>
    <w:p>
      <w:pPr>
        <w:pStyle w:val="ListParagraph"/>
        <w:numPr>
          <w:ilvl w:val="0"/>
          <w:numId w:val="2"/>
        </w:numPr>
        <w:spacing w:after="60"/>
      </w:pPr>
      <w:r>
        <w:rPr>
          <w:sz w:val="20"/>
          <w:szCs w:val="20"/>
        </w:rPr>
        <w:t xml:space="preserve">Median delivery entry time ≤ 10 seconds per customer.</w:t>
      </w:r>
    </w:p>
    <w:p>
      <w:pPr>
        <w:pStyle w:val="ListParagraph"/>
        <w:numPr>
          <w:ilvl w:val="0"/>
          <w:numId w:val="2"/>
        </w:numPr>
        <w:spacing w:after="60"/>
      </w:pPr>
      <w:r>
        <w:rPr>
          <w:sz w:val="20"/>
          <w:szCs w:val="20"/>
        </w:rPr>
        <w:t xml:space="preserve">Zero duplicate ledger writes.</w:t>
      </w:r>
    </w:p>
    <w:p>
      <w:pPr>
        <w:pStyle w:val="ListParagraph"/>
        <w:numPr>
          <w:ilvl w:val="0"/>
          <w:numId w:val="2"/>
        </w:numPr>
        <w:spacing w:after="60"/>
      </w:pPr>
      <w:r>
        <w:rPr>
          <w:sz w:val="20"/>
          <w:szCs w:val="20"/>
        </w:rPr>
        <w:t xml:space="preserve">≥ 99% of bills issued without correction.</w:t>
      </w:r>
    </w:p>
    <w:p>
      <w:pPr>
        <w:pStyle w:val="ListParagraph"/>
        <w:numPr>
          <w:ilvl w:val="0"/>
          <w:numId w:val="2"/>
        </w:numPr>
        <w:spacing w:after="60"/>
      </w:pPr>
      <w:r>
        <w:rPr>
          <w:sz w:val="20"/>
          <w:szCs w:val="20"/>
        </w:rPr>
        <w:t xml:space="preserve">≥ 99.5% payment-to-bill reconciliation rate.</w:t>
      </w:r>
    </w:p>
    <w:p>
      <w:pPr>
        <w:pStyle w:val="ListParagraph"/>
        <w:numPr>
          <w:ilvl w:val="0"/>
          <w:numId w:val="2"/>
        </w:numPr>
        <w:spacing w:after="60"/>
      </w:pPr>
      <w:r>
        <w:rPr>
          <w:sz w:val="20"/>
          <w:szCs w:val="20"/>
        </w:rPr>
        <w:t xml:space="preserve">Zero cross-tenant data-exposure incidents.</w:t>
      </w:r>
    </w:p>
    <w:p>
      <w:pPr>
        <w:pStyle w:val="ListParagraph"/>
        <w:numPr>
          <w:ilvl w:val="0"/>
          <w:numId w:val="2"/>
        </w:numPr>
        <w:spacing w:after="60"/>
      </w:pPr>
      <w:r>
        <w:rPr>
          <w:sz w:val="20"/>
          <w:szCs w:val="20"/>
        </w:rPr>
        <w:t xml:space="preserve">≥ 99.9% availability once the platform is mature.</w:t>
      </w:r>
    </w:p>
    <w:p>
      <w:pPr>
        <w:pStyle w:val="Heading2"/>
        <w:spacing w:after="100" w:before="220"/>
      </w:pPr>
      <w:r>
        <w:rPr>
          <w:b/>
          <w:bCs/>
          <w:color w:val="4B765F"/>
          <w:sz w:val="24"/>
          <w:szCs w:val="24"/>
        </w:rPr>
        <w:t xml:space="preserve">12.2 Business Invariants (Cross-Cutting)</w:t>
      </w:r>
    </w:p>
    <w:p>
      <w:pPr>
        <w:pStyle w:val="ListParagraph"/>
        <w:numPr>
          <w:ilvl w:val="0"/>
          <w:numId w:val="2"/>
        </w:numPr>
        <w:spacing w:after="60"/>
      </w:pPr>
      <w:r>
        <w:rPr>
          <w:sz w:val="20"/>
          <w:szCs w:val="20"/>
        </w:rPr>
        <w:t xml:space="preserve">A customer belongs to exactly one milkman; every tenant-owned entity carries milkman_id.</w:t>
      </w:r>
    </w:p>
    <w:p>
      <w:pPr>
        <w:pStyle w:val="ListParagraph"/>
        <w:numPr>
          <w:ilvl w:val="0"/>
          <w:numId w:val="2"/>
        </w:numPr>
        <w:spacing w:after="60"/>
      </w:pPr>
      <w:r>
        <w:rPr>
          <w:sz w:val="20"/>
          <w:szCs w:val="20"/>
        </w:rPr>
        <w:t xml:space="preserve">Client-supplied tenant IDs are untrusted; the backend always derives/verifies tenant context server-side.</w:t>
      </w:r>
    </w:p>
    <w:p>
      <w:pPr>
        <w:pStyle w:val="ListParagraph"/>
        <w:numPr>
          <w:ilvl w:val="0"/>
          <w:numId w:val="2"/>
        </w:numPr>
        <w:spacing w:after="60"/>
      </w:pPr>
      <w:r>
        <w:rPr>
          <w:sz w:val="20"/>
          <w:szCs w:val="20"/>
        </w:rPr>
        <w:t xml:space="preserve">Rates and prices snapshot into deliveries/orders at the time of the transaction; later rate edits never rewrite historical records.</w:t>
      </w:r>
    </w:p>
    <w:p>
      <w:pPr>
        <w:pStyle w:val="ListParagraph"/>
        <w:numPr>
          <w:ilvl w:val="0"/>
          <w:numId w:val="2"/>
        </w:numPr>
        <w:spacing w:after="60"/>
      </w:pPr>
      <w:r>
        <w:rPr>
          <w:sz w:val="20"/>
          <w:szCs w:val="20"/>
        </w:rPr>
        <w:t xml:space="preserve">Money is represented in integer minor units or Decimal128, never native floating point, for any accounting value.</w:t>
      </w:r>
    </w:p>
    <w:p>
      <w:pPr>
        <w:pStyle w:val="ListParagraph"/>
        <w:numPr>
          <w:ilvl w:val="0"/>
          <w:numId w:val="2"/>
        </w:numPr>
        <w:spacing w:after="60"/>
      </w:pPr>
      <w:r>
        <w:rPr>
          <w:sz w:val="20"/>
          <w:szCs w:val="20"/>
        </w:rPr>
        <w:t xml:space="preserve">Instants are stored in UTC; service dates are interpreted in the configured timezone (Asia/Kolkata default).</w:t>
      </w:r>
    </w:p>
    <w:p>
      <w:pPr>
        <w:pStyle w:val="ListParagraph"/>
        <w:numPr>
          <w:ilvl w:val="0"/>
          <w:numId w:val="2"/>
        </w:numPr>
        <w:spacing w:after="60"/>
      </w:pPr>
      <w:r>
        <w:rPr>
          <w:sz w:val="20"/>
          <w:szCs w:val="20"/>
        </w:rPr>
        <w:t xml:space="preserve">Logical delivery, customer/month bill, scoped idempotency key, receipt, and provider event are each unique.</w:t>
      </w:r>
    </w:p>
    <w:p>
      <w:pPr>
        <w:pStyle w:val="ListParagraph"/>
        <w:numPr>
          <w:ilvl w:val="0"/>
          <w:numId w:val="2"/>
        </w:numPr>
        <w:spacing w:after="60"/>
      </w:pPr>
      <w:r>
        <w:rPr>
          <w:sz w:val="20"/>
          <w:szCs w:val="20"/>
        </w:rPr>
        <w:t xml:space="preserve">Soft-deleted ledger entries are excluded from totals but retained for history.</w:t>
      </w:r>
    </w:p>
    <w:p>
      <w:pPr>
        <w:pStyle w:val="ListParagraph"/>
        <w:numPr>
          <w:ilvl w:val="0"/>
          <w:numId w:val="2"/>
        </w:numPr>
        <w:spacing w:after="60"/>
      </w:pPr>
      <w:r>
        <w:rPr>
          <w:sz w:val="20"/>
          <w:szCs w:val="20"/>
        </w:rPr>
        <w:t xml:space="preserve">State changes validate both the current state and the requested target state.</w:t>
      </w:r>
    </w:p>
    <w:p>
      <w:pPr>
        <w:pStyle w:val="ListParagraph"/>
        <w:numPr>
          <w:ilvl w:val="0"/>
          <w:numId w:val="2"/>
        </w:numPr>
        <w:spacing w:after="60"/>
      </w:pPr>
      <w:r>
        <w:rPr>
          <w:sz w:val="20"/>
          <w:szCs w:val="20"/>
        </w:rPr>
        <w:t xml:space="preserve">Notifications are secondary; the committed ledger is always authoritative.</w:t>
      </w:r>
    </w:p>
    <w:p>
      <w:pPr>
        <w:pStyle w:val="ListParagraph"/>
        <w:numPr>
          <w:ilvl w:val="0"/>
          <w:numId w:val="2"/>
        </w:numPr>
        <w:spacing w:after="60"/>
      </w:pPr>
      <w:r>
        <w:rPr>
          <w:sz w:val="20"/>
          <w:szCs w:val="20"/>
        </w:rPr>
        <w:t xml:space="preserve">Audit history is append-only for ordinary users.</w:t>
      </w:r>
    </w:p>
    <w:p>
      <w:pPr>
        <w:pStyle w:val="Heading2"/>
        <w:spacing w:after="100" w:before="220"/>
      </w:pPr>
      <w:r>
        <w:rPr>
          <w:b/>
          <w:bCs/>
          <w:color w:val="4B765F"/>
          <w:sz w:val="24"/>
          <w:szCs w:val="24"/>
        </w:rPr>
        <w:t xml:space="preserve">12.3 Final Acceptance Statement</w:t>
      </w:r>
    </w:p>
    <w:p>
      <w:pPr>
        <w:spacing w:after="120"/>
      </w:pPr>
      <w:r>
        <w:rPr>
          <w:sz w:val="20"/>
          <w:szCs w:val="20"/>
        </w:rPr>
        <w:t xml:space="preserve">GauAmrut is production-ready when: a milkman can onboard, connect and manage customers, complete daily routes online or with safe offline recovery, generate explainable bills, reconcile payments exactly once, manage products/orders/disputes, and export trustworthy reports; a customer can independently understand and act on their own records; and an administrator can operate the platform through least-privilege, audited controls — all of this running live on Vercel + Render + MongoDB Atlas, tenant-secure, mobile-accessible, localized, observable, backed up, recoverable, and correct under retries and concurrency.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GauAmrut Software Requirements Specification</dc:title>
  <dc:creator>GauAmrut Product Team</dc:creator>
  <cp:lastModifiedBy>Un-named</cp:lastModifiedBy>
  <cp:revision>1</cp:revision>
  <dcterms:created xsi:type="dcterms:W3CDTF">2026-09-09T20:15:29.300Z</dcterms:created>
  <dcterms:modified xsi:type="dcterms:W3CDTF">2026-09-09T20:15:29.301Z</dcterms:modified>
</cp:coreProperties>
</file>

<file path=docProps/custom.xml><?xml version="1.0" encoding="utf-8"?>
<Properties xmlns="http://schemas.openxmlformats.org/officeDocument/2006/custom-properties" xmlns:vt="http://schemas.openxmlformats.org/officeDocument/2006/docPropsVTypes"/>
</file>