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qy70a994pca" w:id="0"/>
      <w:bookmarkEnd w:id="0"/>
      <w:r w:rsidDel="00000000" w:rsidR="00000000" w:rsidRPr="00000000">
        <w:rPr>
          <w:rtl w:val="0"/>
        </w:rPr>
        <w:t xml:space="preserve">LAB SCRATCH NOTES (Disposable - Never Auto-Loaded by Copilot)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zryca35365n" w:id="1"/>
      <w:bookmarkEnd w:id="1"/>
      <w:r w:rsidDel="00000000" w:rsidR="00000000" w:rsidRPr="00000000">
        <w:rPr>
          <w:rtl w:val="0"/>
        </w:rPr>
        <w:t xml:space="preserve">This file is exploratory dumping ground only. Nothing here is authoritative.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Tried hot-patching ECS task definitions directly via CLI vs redeploying via CDK. Hot-patch worked but drifted from IaC state - rejected as an approach.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Compared EC2 + Docker Compose vs ECS Fargate for the reporting service. EC2 route was abandoned, too much undifferentiated heavy lifting.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Poked at Secrets Manager rotation lambda, several failed IAM policy attempts before finding the right resource-based policy scope.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Tried Application Load Balancer with path-based routing vs host-based routing for the multi-service setup, lots of trial and error on listener rules.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(... 45+ more entries like this accumulate here over the Lab stage ...)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