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60" w:line="240"/>
        <w:ind w:right="0" w:left="0" w:firstLine="0"/>
        <w:jc w:val="left"/>
        <w:rPr>
          <w:rFonts w:ascii="Calibri" w:hAnsi="Calibri" w:cs="Calibri" w:eastAsia="Calibri"/>
          <w:color w:val="262626"/>
          <w:spacing w:val="0"/>
          <w:position w:val="0"/>
          <w:sz w:val="22"/>
          <w:shd w:fill="auto" w:val="clear"/>
        </w:rPr>
      </w:pPr>
      <w:r>
        <w:rPr>
          <w:rFonts w:ascii="Calibri" w:hAnsi="Calibri" w:cs="Calibri" w:eastAsia="Calibri"/>
          <w:b/>
          <w:color w:val="2E5395"/>
          <w:spacing w:val="20"/>
          <w:position w:val="0"/>
          <w:sz w:val="20"/>
          <w:shd w:fill="auto" w:val="clear"/>
        </w:rPr>
        <w:t xml:space="preserve">CONCEPT GUIDE</w:t>
      </w:r>
    </w:p>
    <w:p>
      <w:pPr>
        <w:spacing w:before="0" w:after="120" w:line="240"/>
        <w:ind w:right="0" w:left="0" w:firstLine="0"/>
        <w:jc w:val="left"/>
        <w:rPr>
          <w:rFonts w:ascii="Calibri" w:hAnsi="Calibri" w:cs="Calibri" w:eastAsia="Calibri"/>
          <w:color w:val="262626"/>
          <w:spacing w:val="0"/>
          <w:position w:val="0"/>
          <w:sz w:val="22"/>
          <w:shd w:fill="auto" w:val="clear"/>
        </w:rPr>
      </w:pPr>
      <w:r>
        <w:rPr>
          <w:rFonts w:ascii="Calibri" w:hAnsi="Calibri" w:cs="Calibri" w:eastAsia="Calibri"/>
          <w:b/>
          <w:color w:val="1F3864"/>
          <w:spacing w:val="0"/>
          <w:position w:val="0"/>
          <w:sz w:val="44"/>
          <w:shd w:fill="auto" w:val="clear"/>
        </w:rPr>
        <w:t xml:space="preserve">Understanding Health Information Exchange (HIE)</w:t>
      </w:r>
    </w:p>
    <w:p>
      <w:pPr>
        <w:spacing w:before="0" w:after="300" w:line="240"/>
        <w:ind w:right="0" w:left="0" w:firstLine="0"/>
        <w:jc w:val="left"/>
        <w:rPr>
          <w:rFonts w:ascii="Calibri" w:hAnsi="Calibri" w:cs="Calibri" w:eastAsia="Calibri"/>
          <w:color w:val="262626"/>
          <w:spacing w:val="0"/>
          <w:position w:val="0"/>
          <w:sz w:val="22"/>
          <w:shd w:fill="auto" w:val="clear"/>
        </w:rPr>
      </w:pPr>
      <w:r>
        <w:rPr>
          <w:rFonts w:ascii="Calibri" w:hAnsi="Calibri" w:cs="Calibri" w:eastAsia="Calibri"/>
          <w:i/>
          <w:color w:val="595959"/>
          <w:spacing w:val="0"/>
          <w:position w:val="0"/>
          <w:sz w:val="24"/>
          <w:shd w:fill="auto" w:val="clear"/>
        </w:rPr>
        <w:t xml:space="preserve">What HIE is, why it matters, and the three ways patient data is exchanged</w:t>
      </w:r>
    </w:p>
    <w:p>
      <w:pPr>
        <w:spacing w:before="280" w:after="140" w:line="240"/>
        <w:ind w:right="0" w:left="0" w:firstLine="0"/>
        <w:jc w:val="left"/>
        <w:rPr>
          <w:rFonts w:ascii="Calibri" w:hAnsi="Calibri" w:cs="Calibri" w:eastAsia="Calibri"/>
          <w:b/>
          <w:color w:val="1F3864"/>
          <w:spacing w:val="0"/>
          <w:position w:val="0"/>
          <w:sz w:val="26"/>
          <w:shd w:fill="auto" w:val="clear"/>
        </w:rPr>
      </w:pPr>
      <w:r>
        <w:rPr>
          <w:rFonts w:ascii="Calibri" w:hAnsi="Calibri" w:cs="Calibri" w:eastAsia="Calibri"/>
          <w:b/>
          <w:color w:val="1F3864"/>
          <w:spacing w:val="0"/>
          <w:position w:val="0"/>
          <w:sz w:val="26"/>
          <w:shd w:fill="auto" w:val="clear"/>
        </w:rPr>
        <w:t xml:space="preserve">Overview</w:t>
      </w:r>
    </w:p>
    <w:p>
      <w:pPr>
        <w:spacing w:before="0" w:after="160" w:line="276"/>
        <w:ind w:right="0" w:left="0" w:firstLine="0"/>
        <w:jc w:val="left"/>
        <w:rPr>
          <w:rFonts w:ascii="Calibri" w:hAnsi="Calibri" w:cs="Calibri" w:eastAsia="Calibri"/>
          <w:color w:val="262626"/>
          <w:spacing w:val="0"/>
          <w:position w:val="0"/>
          <w:sz w:val="22"/>
          <w:shd w:fill="auto" w:val="clear"/>
        </w:rPr>
      </w:pPr>
      <w:r>
        <w:rPr>
          <w:rFonts w:ascii="Calibri" w:hAnsi="Calibri" w:cs="Calibri" w:eastAsia="Calibri"/>
          <w:color w:val="262626"/>
          <w:spacing w:val="0"/>
          <w:position w:val="0"/>
          <w:sz w:val="22"/>
          <w:shd w:fill="auto" w:val="clear"/>
        </w:rPr>
        <w:t xml:space="preserve">Health information exchange (HIE) is the secure, electronic sharing of patient health information among healthcare professionals, organizations, and, increasingly, patients themselves. HIE replaces the older model of paper records stored at individual medical offices, which made it difficult for providers to access a patient's full health history.</w:t>
      </w:r>
    </w:p>
    <w:p>
      <w:pPr>
        <w:spacing w:before="0" w:after="160" w:line="276"/>
        <w:ind w:right="0" w:left="0" w:firstLine="0"/>
        <w:jc w:val="left"/>
        <w:rPr>
          <w:rFonts w:ascii="Calibri" w:hAnsi="Calibri" w:cs="Calibri" w:eastAsia="Calibri"/>
          <w:color w:val="262626"/>
          <w:spacing w:val="0"/>
          <w:position w:val="0"/>
          <w:sz w:val="22"/>
          <w:shd w:fill="auto" w:val="clear"/>
        </w:rPr>
      </w:pPr>
      <w:r>
        <w:rPr>
          <w:rFonts w:ascii="Calibri" w:hAnsi="Calibri" w:cs="Calibri" w:eastAsia="Calibri"/>
          <w:color w:val="262626"/>
          <w:spacing w:val="0"/>
          <w:position w:val="0"/>
          <w:sz w:val="22"/>
          <w:shd w:fill="auto" w:val="clear"/>
        </w:rPr>
        <w:t xml:space="preserve">Because patient health information is confidential, every HIE transaction must follow your organization's privacy and security policies, including HIPAA requirements.</w:t>
      </w:r>
    </w:p>
    <w:p>
      <w:pPr>
        <w:spacing w:before="220" w:after="100" w:line="240"/>
        <w:ind w:right="0" w:left="0" w:firstLine="0"/>
        <w:jc w:val="left"/>
        <w:rPr>
          <w:rFonts w:ascii="Calibri" w:hAnsi="Calibri" w:cs="Calibri" w:eastAsia="Calibri"/>
          <w:b/>
          <w:color w:val="1F3864"/>
          <w:spacing w:val="0"/>
          <w:position w:val="0"/>
          <w:sz w:val="23"/>
          <w:shd w:fill="auto" w:val="clear"/>
        </w:rPr>
      </w:pPr>
      <w:r>
        <w:rPr>
          <w:rFonts w:ascii="Calibri" w:hAnsi="Calibri" w:cs="Calibri" w:eastAsia="Calibri"/>
          <w:b/>
          <w:color w:val="1F3864"/>
          <w:spacing w:val="0"/>
          <w:position w:val="0"/>
          <w:sz w:val="23"/>
          <w:shd w:fill="auto" w:val="clear"/>
        </w:rPr>
        <w:t xml:space="preserve">Why HIE matters</w:t>
      </w:r>
    </w:p>
    <w:p>
      <w:pPr>
        <w:spacing w:before="0" w:after="160" w:line="276"/>
        <w:ind w:right="0" w:left="0" w:firstLine="0"/>
        <w:jc w:val="left"/>
        <w:rPr>
          <w:rFonts w:ascii="Calibri" w:hAnsi="Calibri" w:cs="Calibri" w:eastAsia="Calibri"/>
          <w:color w:val="262626"/>
          <w:spacing w:val="0"/>
          <w:position w:val="0"/>
          <w:sz w:val="22"/>
          <w:shd w:fill="auto" w:val="clear"/>
        </w:rPr>
      </w:pPr>
      <w:r>
        <w:rPr>
          <w:rFonts w:ascii="Calibri" w:hAnsi="Calibri" w:cs="Calibri" w:eastAsia="Calibri"/>
          <w:color w:val="262626"/>
          <w:spacing w:val="0"/>
          <w:position w:val="0"/>
          <w:sz w:val="22"/>
          <w:shd w:fill="auto" w:val="clear"/>
        </w:rPr>
        <w:t xml:space="preserve">Giving providers fast, reliable access to patient data improves care in several ways:</w:t>
      </w:r>
    </w:p>
    <w:p>
      <w:pPr>
        <w:numPr>
          <w:ilvl w:val="0"/>
          <w:numId w:val="8"/>
        </w:numPr>
        <w:spacing w:before="0" w:after="80" w:line="276"/>
        <w:ind w:right="0" w:left="540" w:hanging="270"/>
        <w:jc w:val="left"/>
        <w:rPr>
          <w:rFonts w:ascii="Calibri" w:hAnsi="Calibri" w:cs="Calibri" w:eastAsia="Calibri"/>
          <w:color w:val="262626"/>
          <w:spacing w:val="0"/>
          <w:position w:val="0"/>
          <w:sz w:val="22"/>
          <w:shd w:fill="auto" w:val="clear"/>
        </w:rPr>
      </w:pPr>
      <w:r>
        <w:rPr>
          <w:rFonts w:ascii="Calibri" w:hAnsi="Calibri" w:cs="Calibri" w:eastAsia="Calibri"/>
          <w:color w:val="262626"/>
          <w:spacing w:val="0"/>
          <w:position w:val="0"/>
          <w:sz w:val="22"/>
          <w:shd w:fill="auto" w:val="clear"/>
        </w:rPr>
        <w:t xml:space="preserve">Reduces hospital readmissions.</w:t>
      </w:r>
    </w:p>
    <w:p>
      <w:pPr>
        <w:numPr>
          <w:ilvl w:val="0"/>
          <w:numId w:val="8"/>
        </w:numPr>
        <w:spacing w:before="0" w:after="80" w:line="276"/>
        <w:ind w:right="0" w:left="540" w:hanging="270"/>
        <w:jc w:val="left"/>
        <w:rPr>
          <w:rFonts w:ascii="Calibri" w:hAnsi="Calibri" w:cs="Calibri" w:eastAsia="Calibri"/>
          <w:color w:val="262626"/>
          <w:spacing w:val="0"/>
          <w:position w:val="0"/>
          <w:sz w:val="22"/>
          <w:shd w:fill="auto" w:val="clear"/>
        </w:rPr>
      </w:pPr>
      <w:r>
        <w:rPr>
          <w:rFonts w:ascii="Calibri" w:hAnsi="Calibri" w:cs="Calibri" w:eastAsia="Calibri"/>
          <w:color w:val="262626"/>
          <w:spacing w:val="0"/>
          <w:position w:val="0"/>
          <w:sz w:val="22"/>
          <w:shd w:fill="auto" w:val="clear"/>
        </w:rPr>
        <w:t xml:space="preserve">Helps prevent medication errors.</w:t>
      </w:r>
    </w:p>
    <w:p>
      <w:pPr>
        <w:numPr>
          <w:ilvl w:val="0"/>
          <w:numId w:val="8"/>
        </w:numPr>
        <w:spacing w:before="0" w:after="80" w:line="276"/>
        <w:ind w:right="0" w:left="540" w:hanging="270"/>
        <w:jc w:val="left"/>
        <w:rPr>
          <w:rFonts w:ascii="Calibri" w:hAnsi="Calibri" w:cs="Calibri" w:eastAsia="Calibri"/>
          <w:color w:val="262626"/>
          <w:spacing w:val="0"/>
          <w:position w:val="0"/>
          <w:sz w:val="22"/>
          <w:shd w:fill="auto" w:val="clear"/>
        </w:rPr>
      </w:pPr>
      <w:r>
        <w:rPr>
          <w:rFonts w:ascii="Calibri" w:hAnsi="Calibri" w:cs="Calibri" w:eastAsia="Calibri"/>
          <w:color w:val="262626"/>
          <w:spacing w:val="0"/>
          <w:position w:val="0"/>
          <w:sz w:val="22"/>
          <w:shd w:fill="auto" w:val="clear"/>
        </w:rPr>
        <w:t xml:space="preserve">Improves the speed and accuracy of diagnosis and treatment.</w:t>
      </w:r>
    </w:p>
    <w:p>
      <w:pPr>
        <w:numPr>
          <w:ilvl w:val="0"/>
          <w:numId w:val="8"/>
        </w:numPr>
        <w:spacing w:before="0" w:after="80" w:line="276"/>
        <w:ind w:right="0" w:left="540" w:hanging="270"/>
        <w:jc w:val="left"/>
        <w:rPr>
          <w:rFonts w:ascii="Calibri" w:hAnsi="Calibri" w:cs="Calibri" w:eastAsia="Calibri"/>
          <w:color w:val="262626"/>
          <w:spacing w:val="0"/>
          <w:position w:val="0"/>
          <w:sz w:val="22"/>
          <w:shd w:fill="auto" w:val="clear"/>
        </w:rPr>
      </w:pPr>
      <w:r>
        <w:rPr>
          <w:rFonts w:ascii="Calibri" w:hAnsi="Calibri" w:cs="Calibri" w:eastAsia="Calibri"/>
          <w:color w:val="262626"/>
          <w:spacing w:val="0"/>
          <w:position w:val="0"/>
          <w:sz w:val="22"/>
          <w:shd w:fill="auto" w:val="clear"/>
        </w:rPr>
        <w:t xml:space="preserve">Reduces duplicate testing.</w:t>
      </w:r>
    </w:p>
    <w:p>
      <w:pPr>
        <w:spacing w:before="0" w:after="80" w:line="240"/>
        <w:ind w:right="0" w:left="0" w:firstLine="0"/>
        <w:jc w:val="left"/>
        <w:rPr>
          <w:rFonts w:ascii="Calibri" w:hAnsi="Calibri" w:cs="Calibri" w:eastAsia="Calibri"/>
          <w:color w:val="262626"/>
          <w:spacing w:val="0"/>
          <w:position w:val="0"/>
          <w:sz w:val="22"/>
          <w:shd w:fill="auto" w:val="clear"/>
        </w:rPr>
      </w:pPr>
    </w:p>
    <w:tbl>
      <w:tblPr/>
      <w:tblGrid>
        <w:gridCol w:w="9360"/>
      </w:tblGrid>
      <w:tr>
        <w:trPr>
          <w:trHeight w:val="1" w:hRule="atLeast"/>
          <w:jc w:val="left"/>
        </w:trPr>
        <w:tc>
          <w:tcPr>
            <w:tcW w:w="9360" w:type="dxa"/>
            <w:tcBorders>
              <w:top w:val="single" w:color="2e5395" w:sz="4"/>
              <w:left w:val="single" w:color="2e5395" w:sz="12"/>
              <w:bottom w:val="single" w:color="2e5395" w:sz="4"/>
              <w:right w:val="single" w:color="2e5395" w:sz="4"/>
            </w:tcBorders>
            <w:shd w:color="000000" w:fill="eaf0f8" w:val="clear"/>
            <w:tcMar>
              <w:left w:w="180" w:type="dxa"/>
              <w:right w:w="180"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b/>
                <w:color w:val="2E5395"/>
                <w:spacing w:val="0"/>
                <w:position w:val="0"/>
                <w:sz w:val="22"/>
                <w:shd w:fill="auto" w:val="clear"/>
              </w:rPr>
              <w:t xml:space="preserve">Note: </w:t>
            </w:r>
            <w:r>
              <w:rPr>
                <w:rFonts w:ascii="Calibri" w:hAnsi="Calibri" w:cs="Calibri" w:eastAsia="Calibri"/>
                <w:color w:val="262626"/>
                <w:spacing w:val="0"/>
                <w:position w:val="0"/>
                <w:sz w:val="22"/>
                <w:shd w:fill="auto" w:val="clear"/>
              </w:rPr>
              <w:t xml:space="preserve">This guide assumes a working knowledge of basic healthcare IT terms. It's intended for new staff, students, or stakeholders who need a clear introduction to HIE before working with platforms that support it, such as Greenway Health.</w:t>
            </w:r>
          </w:p>
        </w:tc>
      </w:tr>
    </w:tbl>
    <w:p>
      <w:pPr>
        <w:spacing w:before="360" w:after="200" w:line="240"/>
        <w:ind w:right="0" w:left="0" w:firstLine="0"/>
        <w:jc w:val="left"/>
        <w:rPr>
          <w:rFonts w:ascii="Calibri" w:hAnsi="Calibri" w:cs="Calibri" w:eastAsia="Calibri"/>
          <w:b/>
          <w:color w:val="2E5395"/>
          <w:spacing w:val="0"/>
          <w:position w:val="0"/>
          <w:sz w:val="32"/>
          <w:shd w:fill="auto" w:val="clear"/>
        </w:rPr>
      </w:pPr>
      <w:r>
        <w:rPr>
          <w:rFonts w:ascii="Calibri" w:hAnsi="Calibri" w:cs="Calibri" w:eastAsia="Calibri"/>
          <w:b/>
          <w:color w:val="2E5395"/>
          <w:spacing w:val="0"/>
          <w:position w:val="0"/>
          <w:sz w:val="32"/>
          <w:shd w:fill="auto" w:val="clear"/>
        </w:rPr>
        <w:t xml:space="preserve">The three types of HIE</w:t>
      </w:r>
    </w:p>
    <w:p>
      <w:pPr>
        <w:spacing w:before="0" w:after="160" w:line="276"/>
        <w:ind w:right="0" w:left="0" w:firstLine="0"/>
        <w:jc w:val="left"/>
        <w:rPr>
          <w:rFonts w:ascii="Calibri" w:hAnsi="Calibri" w:cs="Calibri" w:eastAsia="Calibri"/>
          <w:color w:val="262626"/>
          <w:spacing w:val="0"/>
          <w:position w:val="0"/>
          <w:sz w:val="22"/>
          <w:shd w:fill="auto" w:val="clear"/>
        </w:rPr>
      </w:pPr>
      <w:r>
        <w:rPr>
          <w:rFonts w:ascii="Calibri" w:hAnsi="Calibri" w:cs="Calibri" w:eastAsia="Calibri"/>
          <w:color w:val="262626"/>
          <w:spacing w:val="0"/>
          <w:position w:val="0"/>
          <w:sz w:val="22"/>
          <w:shd w:fill="auto" w:val="clear"/>
        </w:rPr>
        <w:t xml:space="preserve">HIE happens in three ways, depending on who needs the data and how urgently they need it.</w:t>
      </w:r>
    </w:p>
    <w:p>
      <w:pPr>
        <w:spacing w:before="0" w:after="80" w:line="240"/>
        <w:ind w:right="0" w:left="0" w:firstLine="0"/>
        <w:jc w:val="left"/>
        <w:rPr>
          <w:rFonts w:ascii="Calibri" w:hAnsi="Calibri" w:cs="Calibri" w:eastAsia="Calibri"/>
          <w:color w:val="262626"/>
          <w:spacing w:val="0"/>
          <w:position w:val="0"/>
          <w:sz w:val="22"/>
          <w:shd w:fill="auto" w:val="clear"/>
        </w:rPr>
      </w:pPr>
    </w:p>
    <w:tbl>
      <w:tblPr/>
      <w:tblGrid>
        <w:gridCol w:w="2200"/>
        <w:gridCol w:w="3700"/>
        <w:gridCol w:w="3460"/>
      </w:tblGrid>
      <w:tr>
        <w:trPr>
          <w:trHeight w:val="1" w:hRule="atLeast"/>
          <w:jc w:val="left"/>
        </w:trPr>
        <w:tc>
          <w:tcPr>
            <w:tcW w:w="2200" w:type="dxa"/>
            <w:tcBorders>
              <w:top w:val="single" w:color="d9d9d9" w:sz="2"/>
              <w:left w:val="single" w:color="d9d9d9" w:sz="2"/>
              <w:bottom w:val="single" w:color="d9d9d9" w:sz="2"/>
              <w:right w:val="single" w:color="d9d9d9" w:sz="2"/>
            </w:tcBorders>
            <w:shd w:color="000000" w:fill="1f3864" w:val="clear"/>
            <w:tcMar>
              <w:left w:w="140" w:type="dxa"/>
              <w:right w:w="14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Exchange type</w:t>
            </w:r>
          </w:p>
        </w:tc>
        <w:tc>
          <w:tcPr>
            <w:tcW w:w="3700" w:type="dxa"/>
            <w:tcBorders>
              <w:top w:val="single" w:color="d9d9d9" w:sz="2"/>
              <w:left w:val="single" w:color="d9d9d9" w:sz="2"/>
              <w:bottom w:val="single" w:color="d9d9d9" w:sz="2"/>
              <w:right w:val="single" w:color="d9d9d9" w:sz="2"/>
            </w:tcBorders>
            <w:shd w:color="000000" w:fill="1f3864" w:val="clear"/>
            <w:tcMar>
              <w:left w:w="140" w:type="dxa"/>
              <w:right w:w="14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How it works</w:t>
            </w:r>
          </w:p>
        </w:tc>
        <w:tc>
          <w:tcPr>
            <w:tcW w:w="3460" w:type="dxa"/>
            <w:tcBorders>
              <w:top w:val="single" w:color="d9d9d9" w:sz="2"/>
              <w:left w:val="single" w:color="d9d9d9" w:sz="2"/>
              <w:bottom w:val="single" w:color="d9d9d9" w:sz="2"/>
              <w:right w:val="single" w:color="d9d9d9" w:sz="2"/>
            </w:tcBorders>
            <w:shd w:color="000000" w:fill="1f3864" w:val="clear"/>
            <w:tcMar>
              <w:left w:w="140" w:type="dxa"/>
              <w:right w:w="14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Typical scenario</w:t>
            </w:r>
          </w:p>
        </w:tc>
      </w:tr>
      <w:tr>
        <w:trPr>
          <w:trHeight w:val="1" w:hRule="atLeast"/>
          <w:jc w:val="left"/>
        </w:trPr>
        <w:tc>
          <w:tcPr>
            <w:tcW w:w="2200" w:type="dxa"/>
            <w:tcBorders>
              <w:top w:val="single" w:color="d9d9d9" w:sz="2"/>
              <w:left w:val="single" w:color="d9d9d9" w:sz="2"/>
              <w:bottom w:val="single" w:color="d9d9d9" w:sz="2"/>
              <w:right w:val="single" w:color="d9d9d9" w:sz="2"/>
            </w:tcBorders>
            <w:shd w:color="000000" w:fill="f4f7fb" w:val="clear"/>
            <w:tcMar>
              <w:left w:w="140" w:type="dxa"/>
              <w:right w:w="14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62626"/>
                <w:spacing w:val="0"/>
                <w:position w:val="0"/>
                <w:sz w:val="20"/>
                <w:shd w:fill="auto" w:val="clear"/>
              </w:rPr>
              <w:t xml:space="preserve">Directed exchange</w:t>
            </w:r>
          </w:p>
        </w:tc>
        <w:tc>
          <w:tcPr>
            <w:tcW w:w="3700" w:type="dxa"/>
            <w:tcBorders>
              <w:top w:val="single" w:color="d9d9d9" w:sz="2"/>
              <w:left w:val="single" w:color="d9d9d9" w:sz="2"/>
              <w:bottom w:val="single" w:color="d9d9d9" w:sz="2"/>
              <w:right w:val="single" w:color="d9d9d9" w:sz="2"/>
            </w:tcBorders>
            <w:shd w:color="000000" w:fill="f4f7fb" w:val="clear"/>
            <w:tcMar>
              <w:left w:w="140" w:type="dxa"/>
              <w:right w:w="14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62626"/>
                <w:spacing w:val="0"/>
                <w:position w:val="0"/>
                <w:sz w:val="20"/>
                <w:shd w:fill="auto" w:val="clear"/>
              </w:rPr>
              <w:t xml:space="preserve">Sends patient information securely from one known, trusted provider to another </w:t>
            </w:r>
            <w:r>
              <w:rPr>
                <w:rFonts w:ascii="Calibri" w:hAnsi="Calibri" w:cs="Calibri" w:eastAsia="Calibri"/>
                <w:color w:val="262626"/>
                <w:spacing w:val="0"/>
                <w:position w:val="0"/>
                <w:sz w:val="20"/>
                <w:shd w:fill="auto" w:val="clear"/>
              </w:rPr>
              <w:t xml:space="preserve">—</w:t>
            </w:r>
            <w:r>
              <w:rPr>
                <w:rFonts w:ascii="Calibri" w:hAnsi="Calibri" w:cs="Calibri" w:eastAsia="Calibri"/>
                <w:color w:val="262626"/>
                <w:spacing w:val="0"/>
                <w:position w:val="0"/>
                <w:sz w:val="20"/>
                <w:shd w:fill="auto" w:val="clear"/>
              </w:rPr>
              <w:t xml:space="preserve"> similar to a secure email.</w:t>
            </w:r>
          </w:p>
        </w:tc>
        <w:tc>
          <w:tcPr>
            <w:tcW w:w="3460" w:type="dxa"/>
            <w:tcBorders>
              <w:top w:val="single" w:color="d9d9d9" w:sz="2"/>
              <w:left w:val="single" w:color="d9d9d9" w:sz="2"/>
              <w:bottom w:val="single" w:color="d9d9d9" w:sz="2"/>
              <w:right w:val="single" w:color="d9d9d9" w:sz="2"/>
            </w:tcBorders>
            <w:shd w:color="000000" w:fill="f4f7fb" w:val="clear"/>
            <w:tcMar>
              <w:left w:w="140" w:type="dxa"/>
              <w:right w:w="14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62626"/>
                <w:spacing w:val="0"/>
                <w:position w:val="0"/>
                <w:sz w:val="20"/>
                <w:shd w:fill="auto" w:val="clear"/>
              </w:rPr>
              <w:t xml:space="preserve">Sending lab results, referrals, or discharge summaries to a specialist.</w:t>
            </w:r>
          </w:p>
        </w:tc>
      </w:tr>
      <w:tr>
        <w:trPr>
          <w:trHeight w:val="1" w:hRule="atLeast"/>
          <w:jc w:val="left"/>
        </w:trPr>
        <w:tc>
          <w:tcPr>
            <w:tcW w:w="2200" w:type="dxa"/>
            <w:tcBorders>
              <w:top w:val="single" w:color="d9d9d9" w:sz="2"/>
              <w:left w:val="single" w:color="d9d9d9" w:sz="2"/>
              <w:bottom w:val="single" w:color="d9d9d9" w:sz="2"/>
              <w:right w:val="single" w:color="d9d9d9" w:sz="2"/>
            </w:tcBorders>
            <w:shd w:color="000000" w:fill="ffffff" w:val="clear"/>
            <w:tcMar>
              <w:left w:w="140" w:type="dxa"/>
              <w:right w:w="14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62626"/>
                <w:spacing w:val="0"/>
                <w:position w:val="0"/>
                <w:sz w:val="20"/>
                <w:shd w:fill="auto" w:val="clear"/>
              </w:rPr>
              <w:t xml:space="preserve">Query-based exchange</w:t>
            </w:r>
          </w:p>
        </w:tc>
        <w:tc>
          <w:tcPr>
            <w:tcW w:w="3700" w:type="dxa"/>
            <w:tcBorders>
              <w:top w:val="single" w:color="d9d9d9" w:sz="2"/>
              <w:left w:val="single" w:color="d9d9d9" w:sz="2"/>
              <w:bottom w:val="single" w:color="d9d9d9" w:sz="2"/>
              <w:right w:val="single" w:color="d9d9d9" w:sz="2"/>
            </w:tcBorders>
            <w:shd w:color="000000" w:fill="ffffff" w:val="clear"/>
            <w:tcMar>
              <w:left w:w="140" w:type="dxa"/>
              <w:right w:w="14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62626"/>
                <w:spacing w:val="0"/>
                <w:position w:val="0"/>
                <w:sz w:val="20"/>
                <w:shd w:fill="auto" w:val="clear"/>
              </w:rPr>
              <w:t xml:space="preserve">Lets a provider search for and retrieve a patient's available clinical records on demand.</w:t>
            </w:r>
          </w:p>
        </w:tc>
        <w:tc>
          <w:tcPr>
            <w:tcW w:w="3460" w:type="dxa"/>
            <w:tcBorders>
              <w:top w:val="single" w:color="d9d9d9" w:sz="2"/>
              <w:left w:val="single" w:color="d9d9d9" w:sz="2"/>
              <w:bottom w:val="single" w:color="d9d9d9" w:sz="2"/>
              <w:right w:val="single" w:color="d9d9d9" w:sz="2"/>
            </w:tcBorders>
            <w:shd w:color="000000" w:fill="ffffff" w:val="clear"/>
            <w:tcMar>
              <w:left w:w="140" w:type="dxa"/>
              <w:right w:w="14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62626"/>
                <w:spacing w:val="0"/>
                <w:position w:val="0"/>
                <w:sz w:val="20"/>
                <w:shd w:fill="auto" w:val="clear"/>
              </w:rPr>
              <w:t xml:space="preserve">An emergency room physician retrieving a patient's history during an unplanned visit.</w:t>
            </w:r>
          </w:p>
        </w:tc>
      </w:tr>
      <w:tr>
        <w:trPr>
          <w:trHeight w:val="1" w:hRule="atLeast"/>
          <w:jc w:val="left"/>
        </w:trPr>
        <w:tc>
          <w:tcPr>
            <w:tcW w:w="2200" w:type="dxa"/>
            <w:tcBorders>
              <w:top w:val="single" w:color="d9d9d9" w:sz="2"/>
              <w:left w:val="single" w:color="d9d9d9" w:sz="2"/>
              <w:bottom w:val="single" w:color="d9d9d9" w:sz="2"/>
              <w:right w:val="single" w:color="d9d9d9" w:sz="2"/>
            </w:tcBorders>
            <w:shd w:color="000000" w:fill="f4f7fb" w:val="clear"/>
            <w:tcMar>
              <w:left w:w="140" w:type="dxa"/>
              <w:right w:w="14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62626"/>
                <w:spacing w:val="0"/>
                <w:position w:val="0"/>
                <w:sz w:val="20"/>
                <w:shd w:fill="auto" w:val="clear"/>
              </w:rPr>
              <w:t xml:space="preserve">Consumer-mediated exchange</w:t>
            </w:r>
          </w:p>
        </w:tc>
        <w:tc>
          <w:tcPr>
            <w:tcW w:w="3700" w:type="dxa"/>
            <w:tcBorders>
              <w:top w:val="single" w:color="d9d9d9" w:sz="2"/>
              <w:left w:val="single" w:color="d9d9d9" w:sz="2"/>
              <w:bottom w:val="single" w:color="d9d9d9" w:sz="2"/>
              <w:right w:val="single" w:color="d9d9d9" w:sz="2"/>
            </w:tcBorders>
            <w:shd w:color="000000" w:fill="f4f7fb" w:val="clear"/>
            <w:tcMar>
              <w:left w:w="140" w:type="dxa"/>
              <w:right w:w="14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62626"/>
                <w:spacing w:val="0"/>
                <w:position w:val="0"/>
                <w:sz w:val="20"/>
                <w:shd w:fill="auto" w:val="clear"/>
              </w:rPr>
              <w:t xml:space="preserve">Gives patients direct access to and control over their own health information.</w:t>
            </w:r>
          </w:p>
        </w:tc>
        <w:tc>
          <w:tcPr>
            <w:tcW w:w="3460" w:type="dxa"/>
            <w:tcBorders>
              <w:top w:val="single" w:color="d9d9d9" w:sz="2"/>
              <w:left w:val="single" w:color="d9d9d9" w:sz="2"/>
              <w:bottom w:val="single" w:color="d9d9d9" w:sz="2"/>
              <w:right w:val="single" w:color="d9d9d9" w:sz="2"/>
            </w:tcBorders>
            <w:shd w:color="000000" w:fill="f4f7fb" w:val="clear"/>
            <w:tcMar>
              <w:left w:w="140" w:type="dxa"/>
              <w:right w:w="14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62626"/>
                <w:spacing w:val="0"/>
                <w:position w:val="0"/>
                <w:sz w:val="20"/>
                <w:shd w:fill="auto" w:val="clear"/>
              </w:rPr>
              <w:t xml:space="preserve">A patient reviewing their records online, similar to checking a bank account.</w:t>
            </w:r>
          </w:p>
        </w:tc>
      </w:tr>
    </w:tbl>
    <w:p>
      <w:pPr>
        <w:spacing w:before="0" w:after="260" w:line="240"/>
        <w:ind w:right="0" w:left="0" w:firstLine="0"/>
        <w:jc w:val="left"/>
        <w:rPr>
          <w:rFonts w:ascii="Calibri" w:hAnsi="Calibri" w:cs="Calibri" w:eastAsia="Calibri"/>
          <w:color w:val="262626"/>
          <w:spacing w:val="0"/>
          <w:position w:val="0"/>
          <w:sz w:val="22"/>
          <w:shd w:fill="auto" w:val="clear"/>
        </w:rPr>
      </w:pPr>
    </w:p>
    <w:p>
      <w:pPr>
        <w:spacing w:before="280" w:after="140" w:line="240"/>
        <w:ind w:right="0" w:left="0" w:firstLine="0"/>
        <w:jc w:val="left"/>
        <w:rPr>
          <w:rFonts w:ascii="Calibri" w:hAnsi="Calibri" w:cs="Calibri" w:eastAsia="Calibri"/>
          <w:b/>
          <w:color w:val="1F3864"/>
          <w:spacing w:val="0"/>
          <w:position w:val="0"/>
          <w:sz w:val="26"/>
          <w:shd w:fill="auto" w:val="clear"/>
        </w:rPr>
      </w:pPr>
      <w:r>
        <w:rPr>
          <w:rFonts w:ascii="Calibri" w:hAnsi="Calibri" w:cs="Calibri" w:eastAsia="Calibri"/>
          <w:b/>
          <w:color w:val="1F3864"/>
          <w:spacing w:val="0"/>
          <w:position w:val="0"/>
          <w:sz w:val="26"/>
          <w:shd w:fill="auto" w:val="clear"/>
        </w:rPr>
        <w:t xml:space="preserve">Directed exchange</w:t>
      </w:r>
    </w:p>
    <w:p>
      <w:pPr>
        <w:spacing w:before="0" w:after="160" w:line="276"/>
        <w:ind w:right="0" w:left="0" w:firstLine="0"/>
        <w:jc w:val="left"/>
        <w:rPr>
          <w:rFonts w:ascii="Calibri" w:hAnsi="Calibri" w:cs="Calibri" w:eastAsia="Calibri"/>
          <w:color w:val="262626"/>
          <w:spacing w:val="0"/>
          <w:position w:val="0"/>
          <w:sz w:val="22"/>
          <w:shd w:fill="auto" w:val="clear"/>
        </w:rPr>
      </w:pPr>
      <w:r>
        <w:rPr>
          <w:rFonts w:ascii="Calibri" w:hAnsi="Calibri" w:cs="Calibri" w:eastAsia="Calibri"/>
          <w:color w:val="262626"/>
          <w:spacing w:val="0"/>
          <w:position w:val="0"/>
          <w:sz w:val="22"/>
          <w:shd w:fill="auto" w:val="clear"/>
        </w:rPr>
        <w:t xml:space="preserve">Directed exchange lets a provider send patient information directly to another provider they already know and trust </w:t>
      </w:r>
      <w:r>
        <w:rPr>
          <w:rFonts w:ascii="Calibri" w:hAnsi="Calibri" w:cs="Calibri" w:eastAsia="Calibri"/>
          <w:color w:val="262626"/>
          <w:spacing w:val="0"/>
          <w:position w:val="0"/>
          <w:sz w:val="22"/>
          <w:shd w:fill="auto" w:val="clear"/>
        </w:rPr>
        <w:t xml:space="preserve">—</w:t>
      </w:r>
      <w:r>
        <w:rPr>
          <w:rFonts w:ascii="Calibri" w:hAnsi="Calibri" w:cs="Calibri" w:eastAsia="Calibri"/>
          <w:color w:val="262626"/>
          <w:spacing w:val="0"/>
          <w:position w:val="0"/>
          <w:sz w:val="22"/>
          <w:shd w:fill="auto" w:val="clear"/>
        </w:rPr>
        <w:t xml:space="preserve"> for example, lab orders and results, referrals, or discharge summaries. The data travels over an encrypted, secure connection, similar to sending a secure email. Because the sender and recipient have an established relationship, directed exchange supports coordinated, ongoing care.</w:t>
      </w:r>
    </w:p>
    <w:p>
      <w:pPr>
        <w:spacing w:before="0" w:after="160" w:line="276"/>
        <w:ind w:right="0" w:left="0" w:firstLine="0"/>
        <w:jc w:val="left"/>
        <w:rPr>
          <w:rFonts w:ascii="Calibri" w:hAnsi="Calibri" w:cs="Calibri" w:eastAsia="Calibri"/>
          <w:color w:val="262626"/>
          <w:spacing w:val="0"/>
          <w:position w:val="0"/>
          <w:sz w:val="22"/>
          <w:shd w:fill="auto" w:val="clear"/>
        </w:rPr>
      </w:pPr>
      <w:r>
        <w:rPr>
          <w:rFonts w:ascii="Calibri" w:hAnsi="Calibri" w:cs="Calibri" w:eastAsia="Calibri"/>
          <w:b/>
          <w:color w:val="262626"/>
          <w:spacing w:val="0"/>
          <w:position w:val="0"/>
          <w:sz w:val="22"/>
          <w:shd w:fill="auto" w:val="clear"/>
        </w:rPr>
        <w:t xml:space="preserve">Example: </w:t>
      </w:r>
      <w:r>
        <w:rPr>
          <w:rFonts w:ascii="Calibri" w:hAnsi="Calibri" w:cs="Calibri" w:eastAsia="Calibri"/>
          <w:color w:val="262626"/>
          <w:spacing w:val="0"/>
          <w:position w:val="0"/>
          <w:sz w:val="22"/>
          <w:shd w:fill="auto" w:val="clear"/>
        </w:rPr>
        <w:t xml:space="preserve">A clinic sends quality-measure reports to the Centers for Medicare &amp; Medicaid Services (CMS), or sends vaccination records to a public health agency.</w:t>
      </w:r>
    </w:p>
    <w:p>
      <w:pPr>
        <w:spacing w:before="280" w:after="140" w:line="240"/>
        <w:ind w:right="0" w:left="0" w:firstLine="0"/>
        <w:jc w:val="left"/>
        <w:rPr>
          <w:rFonts w:ascii="Calibri" w:hAnsi="Calibri" w:cs="Calibri" w:eastAsia="Calibri"/>
          <w:b/>
          <w:color w:val="1F3864"/>
          <w:spacing w:val="0"/>
          <w:position w:val="0"/>
          <w:sz w:val="26"/>
          <w:shd w:fill="auto" w:val="clear"/>
        </w:rPr>
      </w:pPr>
      <w:r>
        <w:rPr>
          <w:rFonts w:ascii="Calibri" w:hAnsi="Calibri" w:cs="Calibri" w:eastAsia="Calibri"/>
          <w:b/>
          <w:color w:val="1F3864"/>
          <w:spacing w:val="0"/>
          <w:position w:val="0"/>
          <w:sz w:val="26"/>
          <w:shd w:fill="auto" w:val="clear"/>
        </w:rPr>
        <w:t xml:space="preserve">Query-based exchange</w:t>
      </w:r>
    </w:p>
    <w:p>
      <w:pPr>
        <w:spacing w:before="0" w:after="160" w:line="276"/>
        <w:ind w:right="0" w:left="0" w:firstLine="0"/>
        <w:jc w:val="left"/>
        <w:rPr>
          <w:rFonts w:ascii="Calibri" w:hAnsi="Calibri" w:cs="Calibri" w:eastAsia="Calibri"/>
          <w:color w:val="262626"/>
          <w:spacing w:val="0"/>
          <w:position w:val="0"/>
          <w:sz w:val="22"/>
          <w:shd w:fill="auto" w:val="clear"/>
        </w:rPr>
      </w:pPr>
      <w:r>
        <w:rPr>
          <w:rFonts w:ascii="Calibri" w:hAnsi="Calibri" w:cs="Calibri" w:eastAsia="Calibri"/>
          <w:color w:val="262626"/>
          <w:spacing w:val="0"/>
          <w:position w:val="0"/>
          <w:sz w:val="22"/>
          <w:shd w:fill="auto" w:val="clear"/>
        </w:rPr>
        <w:t xml:space="preserve">Query-based exchange lets a provider search for and retrieve a patient's available clinical records when care is unplanned or urgent. This is the model most often used in emergency or first-encounter situations, where the treating provider doesn't yet have the patient's history on file.</w:t>
      </w:r>
    </w:p>
    <w:p>
      <w:pPr>
        <w:spacing w:before="0" w:after="160" w:line="276"/>
        <w:ind w:right="0" w:left="0" w:firstLine="0"/>
        <w:jc w:val="left"/>
        <w:rPr>
          <w:rFonts w:ascii="Calibri" w:hAnsi="Calibri" w:cs="Calibri" w:eastAsia="Calibri"/>
          <w:color w:val="262626"/>
          <w:spacing w:val="0"/>
          <w:position w:val="0"/>
          <w:sz w:val="22"/>
          <w:shd w:fill="auto" w:val="clear"/>
        </w:rPr>
      </w:pPr>
      <w:r>
        <w:rPr>
          <w:rFonts w:ascii="Calibri" w:hAnsi="Calibri" w:cs="Calibri" w:eastAsia="Calibri"/>
          <w:b/>
          <w:color w:val="262626"/>
          <w:spacing w:val="0"/>
          <w:position w:val="0"/>
          <w:sz w:val="22"/>
          <w:shd w:fill="auto" w:val="clear"/>
        </w:rPr>
        <w:t xml:space="preserve">Example: </w:t>
      </w:r>
      <w:r>
        <w:rPr>
          <w:rFonts w:ascii="Calibri" w:hAnsi="Calibri" w:cs="Calibri" w:eastAsia="Calibri"/>
          <w:color w:val="262626"/>
          <w:spacing w:val="0"/>
          <w:position w:val="0"/>
          <w:sz w:val="22"/>
          <w:shd w:fill="auto" w:val="clear"/>
        </w:rPr>
        <w:t xml:space="preserve">A physician treating a prenatal patient in the emergency department uses query-based exchange to retrieve her pregnancy care record, supporting better-informed decisions for both patient and unborn child.</w:t>
      </w:r>
    </w:p>
    <w:p>
      <w:pPr>
        <w:spacing w:before="280" w:after="140" w:line="240"/>
        <w:ind w:right="0" w:left="0" w:firstLine="0"/>
        <w:jc w:val="left"/>
        <w:rPr>
          <w:rFonts w:ascii="Calibri" w:hAnsi="Calibri" w:cs="Calibri" w:eastAsia="Calibri"/>
          <w:b/>
          <w:color w:val="1F3864"/>
          <w:spacing w:val="0"/>
          <w:position w:val="0"/>
          <w:sz w:val="26"/>
          <w:shd w:fill="auto" w:val="clear"/>
        </w:rPr>
      </w:pPr>
      <w:r>
        <w:rPr>
          <w:rFonts w:ascii="Calibri" w:hAnsi="Calibri" w:cs="Calibri" w:eastAsia="Calibri"/>
          <w:b/>
          <w:color w:val="1F3864"/>
          <w:spacing w:val="0"/>
          <w:position w:val="0"/>
          <w:sz w:val="26"/>
          <w:shd w:fill="auto" w:val="clear"/>
        </w:rPr>
        <w:t xml:space="preserve">Consumer-mediated exchange</w:t>
      </w:r>
    </w:p>
    <w:p>
      <w:pPr>
        <w:spacing w:before="0" w:after="160" w:line="276"/>
        <w:ind w:right="0" w:left="0" w:firstLine="0"/>
        <w:jc w:val="left"/>
        <w:rPr>
          <w:rFonts w:ascii="Calibri" w:hAnsi="Calibri" w:cs="Calibri" w:eastAsia="Calibri"/>
          <w:color w:val="262626"/>
          <w:spacing w:val="0"/>
          <w:position w:val="0"/>
          <w:sz w:val="22"/>
          <w:shd w:fill="auto" w:val="clear"/>
        </w:rPr>
      </w:pPr>
      <w:r>
        <w:rPr>
          <w:rFonts w:ascii="Calibri" w:hAnsi="Calibri" w:cs="Calibri" w:eastAsia="Calibri"/>
          <w:color w:val="262626"/>
          <w:spacing w:val="0"/>
          <w:position w:val="0"/>
          <w:sz w:val="22"/>
          <w:shd w:fill="auto" w:val="clear"/>
        </w:rPr>
        <w:t xml:space="preserve">Consumer-mediated exchange gives patients direct access to their own health information and control over how it's shared among their providers. It works much like online banking: patients can review their records and manage their care from anywhere.</w:t>
      </w:r>
    </w:p>
    <w:p>
      <w:pPr>
        <w:spacing w:before="0" w:after="160" w:line="276"/>
        <w:ind w:right="0" w:left="0" w:firstLine="0"/>
        <w:jc w:val="left"/>
        <w:rPr>
          <w:rFonts w:ascii="Calibri" w:hAnsi="Calibri" w:cs="Calibri" w:eastAsia="Calibri"/>
          <w:color w:val="262626"/>
          <w:spacing w:val="0"/>
          <w:position w:val="0"/>
          <w:sz w:val="22"/>
          <w:shd w:fill="auto" w:val="clear"/>
        </w:rPr>
      </w:pPr>
      <w:r>
        <w:rPr>
          <w:rFonts w:ascii="Calibri" w:hAnsi="Calibri" w:cs="Calibri" w:eastAsia="Calibri"/>
          <w:b/>
          <w:color w:val="262626"/>
          <w:spacing w:val="0"/>
          <w:position w:val="0"/>
          <w:sz w:val="22"/>
          <w:shd w:fill="auto" w:val="clear"/>
        </w:rPr>
        <w:t xml:space="preserve">Example: </w:t>
      </w:r>
      <w:r>
        <w:rPr>
          <w:rFonts w:ascii="Calibri" w:hAnsi="Calibri" w:cs="Calibri" w:eastAsia="Calibri"/>
          <w:color w:val="262626"/>
          <w:spacing w:val="0"/>
          <w:position w:val="0"/>
          <w:sz w:val="22"/>
          <w:shd w:fill="auto" w:val="clear"/>
        </w:rPr>
        <w:t xml:space="preserve">A patient managing a chronic condition logs in to a patient portal to review recent lab results and share them with a new specialist.</w:t>
      </w:r>
    </w:p>
    <w:p>
      <w:pPr>
        <w:spacing w:before="360" w:after="200" w:line="240"/>
        <w:ind w:right="0" w:left="0" w:firstLine="0"/>
        <w:jc w:val="left"/>
        <w:rPr>
          <w:rFonts w:ascii="Calibri" w:hAnsi="Calibri" w:cs="Calibri" w:eastAsia="Calibri"/>
          <w:b/>
          <w:color w:val="2E5395"/>
          <w:spacing w:val="0"/>
          <w:position w:val="0"/>
          <w:sz w:val="32"/>
          <w:shd w:fill="auto" w:val="clear"/>
        </w:rPr>
      </w:pPr>
      <w:r>
        <w:rPr>
          <w:rFonts w:ascii="Calibri" w:hAnsi="Calibri" w:cs="Calibri" w:eastAsia="Calibri"/>
          <w:b/>
          <w:color w:val="2E5395"/>
          <w:spacing w:val="0"/>
          <w:position w:val="0"/>
          <w:sz w:val="32"/>
          <w:shd w:fill="auto" w:val="clear"/>
        </w:rPr>
        <w:t xml:space="preserve">Summary</w:t>
      </w:r>
    </w:p>
    <w:p>
      <w:pPr>
        <w:spacing w:before="0" w:after="160" w:line="276"/>
        <w:ind w:right="0" w:left="0" w:firstLine="0"/>
        <w:jc w:val="left"/>
        <w:rPr>
          <w:rFonts w:ascii="Calibri" w:hAnsi="Calibri" w:cs="Calibri" w:eastAsia="Calibri"/>
          <w:color w:val="262626"/>
          <w:spacing w:val="0"/>
          <w:position w:val="0"/>
          <w:sz w:val="22"/>
          <w:shd w:fill="auto" w:val="clear"/>
        </w:rPr>
      </w:pPr>
      <w:r>
        <w:rPr>
          <w:rFonts w:ascii="Calibri" w:hAnsi="Calibri" w:cs="Calibri" w:eastAsia="Calibri"/>
          <w:color w:val="262626"/>
          <w:spacing w:val="0"/>
          <w:position w:val="0"/>
          <w:sz w:val="22"/>
          <w:shd w:fill="auto" w:val="clear"/>
        </w:rPr>
        <w:t xml:space="preserve">HIE moves patient information from paper-based, siloed records to secure digital exchange among providers and patients. Each of the three exchange types serves a different need: directed exchange for trusted provider-to-provider sharing, query-based exchange for unplanned or urgent care, and consumer-mediated exchange for patient-controlled access. Together, they support faster, safer, and more coordinated care while keeping patient data secure.</w:t>
      </w:r>
    </w:p>
    <w:p>
      <w:pPr>
        <w:spacing w:before="0" w:after="160" w:line="240"/>
        <w:ind w:right="0" w:left="0" w:firstLine="0"/>
        <w:jc w:val="left"/>
        <w:rPr>
          <w:rFonts w:ascii="Calibri" w:hAnsi="Calibri" w:cs="Calibri" w:eastAsia="Calibri"/>
          <w:color w:val="262626"/>
          <w:spacing w:val="0"/>
          <w:position w:val="0"/>
          <w:sz w:val="22"/>
          <w:shd w:fill="auto" w:val="clear"/>
        </w:rPr>
      </w:pPr>
    </w:p>
    <w:p>
      <w:pPr>
        <w:spacing w:before="0" w:after="16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