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AC"/>
          <w:sz w:val="36"/>
          <w:szCs w:val="36"/>
        </w:rPr>
        <w:t xml:space="preserve">Good Morning → Groq AI → Sheet + Gmail + WhatsApp</w:t>
      </w:r>
    </w:p>
    <w:p>
      <w:pPr>
        <w:spacing w:after="200"/>
      </w:pPr>
      <w:r>
        <w:rPr>
          <w:color w:val="555555"/>
          <w:sz w:val="21"/>
          <w:szCs w:val="21"/>
        </w:rPr>
        <w:t xml:space="preserve">Version 6: One AI-written story, sent to THREE places at once, using Groq instead of ChatGPT</w:t>
      </w:r>
    </w:p>
    <w:p>
      <w:pPr>
        <w:pBdr>
          <w:bottom w:val="single" w:color="CCCCCC" w:sz="6"/>
        </w:pBdr>
        <w:spacing w:after="110"/>
      </w:pPr>
    </w:p>
    <w:p>
      <w:pPr>
        <w:pStyle w:val="Heading1"/>
        <w:spacing w:after="80" w:before="180"/>
      </w:pPr>
      <w:r>
        <w:t xml:space="preserve">1. What Changed</w:t>
      </w:r>
    </w:p>
    <w:p>
      <w:pPr>
        <w:spacing w:after="70"/>
      </w:pPr>
      <w:r>
        <w:rPr>
          <w:sz w:val="19"/>
          <w:szCs w:val="19"/>
        </w:rPr>
        <w:t xml:space="preserve">Two big changes from the last version: (1) the AI engine is now Groq instead of OpenAI/ChatGPT, and (2) instead of going to just one destination, the AI's story now fans out to THREE nodes at the same time — Google Sheets, Gmail, and Twilio (WhatsApp). All three receive the exact same AI-written 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2E5AAC" w:val="clear"/>
            <w:tcMar>
              <w:top w:type="dxa" w:w="45"/>
              <w:left w:type="dxa" w:w="75"/>
              <w:bottom w:type="dxa" w:w="45"/>
              <w:right w:type="dxa" w:w="75"/>
            </w:tcMar>
          </w:tcPr>
          <w:p>
            <w:r>
              <w:rPr>
                <w:b/>
                <w:bCs/>
                <w:color w:val="FFFFFF"/>
                <w:sz w:val="17"/>
                <w:szCs w:val="17"/>
              </w:rPr>
              <w:t xml:space="preserve">Node</w:t>
            </w:r>
          </w:p>
        </w:tc>
        <w:tc>
          <w:tcPr>
            <w:tcW w:type="dxa" w:w="3600"/>
            <w:shd w:fill="2E5AAC" w:val="clear"/>
            <w:tcMar>
              <w:top w:type="dxa" w:w="45"/>
              <w:left w:type="dxa" w:w="75"/>
              <w:bottom w:type="dxa" w:w="45"/>
              <w:right w:type="dxa" w:w="75"/>
            </w:tcMar>
          </w:tcPr>
          <w:p>
            <w:r>
              <w:rPr>
                <w:b/>
                <w:bCs/>
                <w:color w:val="FFFFFF"/>
                <w:sz w:val="17"/>
                <w:szCs w:val="17"/>
              </w:rPr>
              <w:t xml:space="preserve">Job</w:t>
            </w:r>
          </w:p>
        </w:tc>
        <w:tc>
          <w:tcPr>
            <w:tcW w:type="dxa" w:w="3400"/>
            <w:shd w:fill="2E5AAC" w:val="clear"/>
            <w:tcMar>
              <w:top w:type="dxa" w:w="45"/>
              <w:left w:type="dxa" w:w="75"/>
              <w:bottom w:type="dxa" w:w="45"/>
              <w:right w:type="dxa" w:w="75"/>
            </w:tcMar>
          </w:tcPr>
          <w:p>
            <w:r>
              <w:rPr>
                <w:b/>
                <w:bCs/>
                <w:color w:val="FFFFFF"/>
                <w:sz w:val="17"/>
                <w:szCs w:val="17"/>
              </w:rPr>
              <w:t xml:space="preserve">Credential Needed</w:t>
            </w:r>
          </w:p>
        </w:tc>
      </w:tr>
      <w:tr>
        <w:tc>
          <w:tcPr>
            <w:tcW w:type="dxa" w:w="2000"/>
            <w:tcMar>
              <w:top w:type="dxa" w:w="45"/>
              <w:left w:type="dxa" w:w="75"/>
              <w:bottom w:type="dxa" w:w="45"/>
              <w:right w:type="dxa" w:w="75"/>
            </w:tcMar>
          </w:tcPr>
          <w:p>
            <w:r>
              <w:rPr>
                <w:b w:val="false"/>
                <w:bCs w:val="false"/>
                <w:color w:val="000000"/>
                <w:sz w:val="17"/>
                <w:szCs w:val="17"/>
              </w:rPr>
              <w:t xml:space="preserve">Schedule Trigger</w:t>
            </w:r>
          </w:p>
        </w:tc>
        <w:tc>
          <w:tcPr>
            <w:tcW w:type="dxa" w:w="3600"/>
            <w:tcMar>
              <w:top w:type="dxa" w:w="45"/>
              <w:left w:type="dxa" w:w="75"/>
              <w:bottom w:type="dxa" w:w="45"/>
              <w:right w:type="dxa" w:w="75"/>
            </w:tcMar>
          </w:tcPr>
          <w:p>
            <w:r>
              <w:rPr>
                <w:b w:val="false"/>
                <w:bCs w:val="false"/>
                <w:color w:val="000000"/>
                <w:sz w:val="17"/>
                <w:szCs w:val="17"/>
              </w:rPr>
              <w:t xml:space="preserve">Wakes up daily at 7 AM.</w:t>
            </w:r>
          </w:p>
        </w:tc>
        <w:tc>
          <w:tcPr>
            <w:tcW w:type="dxa" w:w="3400"/>
            <w:tcMar>
              <w:top w:type="dxa" w:w="45"/>
              <w:left w:type="dxa" w:w="75"/>
              <w:bottom w:type="dxa" w:w="45"/>
              <w:right w:type="dxa" w:w="75"/>
            </w:tcMar>
          </w:tcPr>
          <w:p>
            <w:r>
              <w:rPr>
                <w:b w:val="false"/>
                <w:bCs w:val="false"/>
                <w:color w:val="000000"/>
                <w:sz w:val="17"/>
                <w:szCs w:val="17"/>
              </w:rPr>
              <w:t xml:space="preserve">None</w:t>
            </w:r>
          </w:p>
        </w:tc>
      </w:tr>
      <w:tr>
        <w:tc>
          <w:tcPr>
            <w:tcW w:type="dxa" w:w="2000"/>
            <w:tcMar>
              <w:top w:type="dxa" w:w="45"/>
              <w:left w:type="dxa" w:w="75"/>
              <w:bottom w:type="dxa" w:w="45"/>
              <w:right w:type="dxa" w:w="75"/>
            </w:tcMar>
          </w:tcPr>
          <w:p>
            <w:r>
              <w:rPr>
                <w:b w:val="false"/>
                <w:bCs w:val="false"/>
                <w:color w:val="000000"/>
                <w:sz w:val="17"/>
                <w:szCs w:val="17"/>
              </w:rPr>
              <w:t xml:space="preserve">Set</w:t>
            </w:r>
          </w:p>
        </w:tc>
        <w:tc>
          <w:tcPr>
            <w:tcW w:type="dxa" w:w="3600"/>
            <w:tcMar>
              <w:top w:type="dxa" w:w="45"/>
              <w:left w:type="dxa" w:w="75"/>
              <w:bottom w:type="dxa" w:w="45"/>
              <w:right w:type="dxa" w:w="75"/>
            </w:tcMar>
          </w:tcPr>
          <w:p>
            <w:r>
              <w:rPr>
                <w:b w:val="false"/>
                <w:bCs w:val="false"/>
                <w:color w:val="000000"/>
                <w:sz w:val="17"/>
                <w:szCs w:val="17"/>
              </w:rPr>
              <w:t xml:space="preserve">Creates the seed message + date/time.</w:t>
            </w:r>
          </w:p>
        </w:tc>
        <w:tc>
          <w:tcPr>
            <w:tcW w:type="dxa" w:w="3400"/>
            <w:tcMar>
              <w:top w:type="dxa" w:w="45"/>
              <w:left w:type="dxa" w:w="75"/>
              <w:bottom w:type="dxa" w:w="45"/>
              <w:right w:type="dxa" w:w="75"/>
            </w:tcMar>
          </w:tcPr>
          <w:p>
            <w:r>
              <w:rPr>
                <w:b w:val="false"/>
                <w:bCs w:val="false"/>
                <w:color w:val="000000"/>
                <w:sz w:val="17"/>
                <w:szCs w:val="17"/>
              </w:rPr>
              <w:t xml:space="preserve">None</w:t>
            </w:r>
          </w:p>
        </w:tc>
      </w:tr>
      <w:tr>
        <w:tc>
          <w:tcPr>
            <w:tcW w:type="dxa" w:w="2000"/>
            <w:tcMar>
              <w:top w:type="dxa" w:w="45"/>
              <w:left w:type="dxa" w:w="75"/>
              <w:bottom w:type="dxa" w:w="45"/>
              <w:right w:type="dxa" w:w="75"/>
            </w:tcMar>
          </w:tcPr>
          <w:p>
            <w:r>
              <w:rPr>
                <w:b w:val="false"/>
                <w:bCs w:val="false"/>
                <w:color w:val="000000"/>
                <w:sz w:val="17"/>
                <w:szCs w:val="17"/>
              </w:rPr>
              <w:t xml:space="preserve">HTTP Request (Groq)</w:t>
            </w:r>
          </w:p>
        </w:tc>
        <w:tc>
          <w:tcPr>
            <w:tcW w:type="dxa" w:w="3600"/>
            <w:tcMar>
              <w:top w:type="dxa" w:w="45"/>
              <w:left w:type="dxa" w:w="75"/>
              <w:bottom w:type="dxa" w:w="45"/>
              <w:right w:type="dxa" w:w="75"/>
            </w:tcMar>
          </w:tcPr>
          <w:p>
            <w:r>
              <w:rPr>
                <w:b w:val="false"/>
                <w:bCs w:val="false"/>
                <w:color w:val="000000"/>
                <w:sz w:val="17"/>
                <w:szCs w:val="17"/>
              </w:rPr>
              <w:t xml:space="preserve">Turns the seed message into a short motivational story using Groq's AI.</w:t>
            </w:r>
          </w:p>
        </w:tc>
        <w:tc>
          <w:tcPr>
            <w:tcW w:type="dxa" w:w="3400"/>
            <w:tcMar>
              <w:top w:type="dxa" w:w="45"/>
              <w:left w:type="dxa" w:w="75"/>
              <w:bottom w:type="dxa" w:w="45"/>
              <w:right w:type="dxa" w:w="75"/>
            </w:tcMar>
          </w:tcPr>
          <w:p>
            <w:r>
              <w:rPr>
                <w:b w:val="false"/>
                <w:bCs w:val="false"/>
                <w:color w:val="000000"/>
                <w:sz w:val="17"/>
                <w:szCs w:val="17"/>
              </w:rPr>
              <w:t xml:space="preserve">HTTP Header Auth (Groq key)</w:t>
            </w:r>
          </w:p>
        </w:tc>
      </w:tr>
      <w:tr>
        <w:tc>
          <w:tcPr>
            <w:tcW w:type="dxa" w:w="2000"/>
            <w:tcMar>
              <w:top w:type="dxa" w:w="45"/>
              <w:left w:type="dxa" w:w="75"/>
              <w:bottom w:type="dxa" w:w="45"/>
              <w:right w:type="dxa" w:w="75"/>
            </w:tcMar>
          </w:tcPr>
          <w:p>
            <w:r>
              <w:rPr>
                <w:b w:val="false"/>
                <w:bCs w:val="false"/>
                <w:color w:val="000000"/>
                <w:sz w:val="17"/>
                <w:szCs w:val="17"/>
              </w:rPr>
              <w:t xml:space="preserve">Google Sheets</w:t>
            </w:r>
          </w:p>
        </w:tc>
        <w:tc>
          <w:tcPr>
            <w:tcW w:type="dxa" w:w="3600"/>
            <w:tcMar>
              <w:top w:type="dxa" w:w="45"/>
              <w:left w:type="dxa" w:w="75"/>
              <w:bottom w:type="dxa" w:w="45"/>
              <w:right w:type="dxa" w:w="75"/>
            </w:tcMar>
          </w:tcPr>
          <w:p>
            <w:r>
              <w:rPr>
                <w:b w:val="false"/>
                <w:bCs w:val="false"/>
                <w:color w:val="000000"/>
                <w:sz w:val="17"/>
                <w:szCs w:val="17"/>
              </w:rPr>
              <w:t xml:space="preserve">Appends the AI story as a new row (Date, Time, Message).</w:t>
            </w:r>
          </w:p>
        </w:tc>
        <w:tc>
          <w:tcPr>
            <w:tcW w:type="dxa" w:w="3400"/>
            <w:tcMar>
              <w:top w:type="dxa" w:w="45"/>
              <w:left w:type="dxa" w:w="75"/>
              <w:bottom w:type="dxa" w:w="45"/>
              <w:right w:type="dxa" w:w="75"/>
            </w:tcMar>
          </w:tcPr>
          <w:p>
            <w:r>
              <w:rPr>
                <w:b w:val="false"/>
                <w:bCs w:val="false"/>
                <w:color w:val="000000"/>
                <w:sz w:val="17"/>
                <w:szCs w:val="17"/>
              </w:rPr>
              <w:t xml:space="preserve">Google Sheets OAuth2</w:t>
            </w:r>
          </w:p>
        </w:tc>
      </w:tr>
      <w:tr>
        <w:tc>
          <w:tcPr>
            <w:tcW w:type="dxa" w:w="2000"/>
            <w:tcMar>
              <w:top w:type="dxa" w:w="45"/>
              <w:left w:type="dxa" w:w="75"/>
              <w:bottom w:type="dxa" w:w="45"/>
              <w:right w:type="dxa" w:w="75"/>
            </w:tcMar>
          </w:tcPr>
          <w:p>
            <w:r>
              <w:rPr>
                <w:b w:val="false"/>
                <w:bCs w:val="false"/>
                <w:color w:val="000000"/>
                <w:sz w:val="17"/>
                <w:szCs w:val="17"/>
              </w:rPr>
              <w:t xml:space="preserve">Gmail</w:t>
            </w:r>
          </w:p>
        </w:tc>
        <w:tc>
          <w:tcPr>
            <w:tcW w:type="dxa" w:w="3600"/>
            <w:tcMar>
              <w:top w:type="dxa" w:w="45"/>
              <w:left w:type="dxa" w:w="75"/>
              <w:bottom w:type="dxa" w:w="45"/>
              <w:right w:type="dxa" w:w="75"/>
            </w:tcMar>
          </w:tcPr>
          <w:p>
            <w:r>
              <w:rPr>
                <w:b w:val="false"/>
                <w:bCs w:val="false"/>
                <w:color w:val="000000"/>
                <w:sz w:val="17"/>
                <w:szCs w:val="17"/>
              </w:rPr>
              <w:t xml:space="preserve">Emails the same AI story to your friend.</w:t>
            </w:r>
          </w:p>
        </w:tc>
        <w:tc>
          <w:tcPr>
            <w:tcW w:type="dxa" w:w="3400"/>
            <w:tcMar>
              <w:top w:type="dxa" w:w="45"/>
              <w:left w:type="dxa" w:w="75"/>
              <w:bottom w:type="dxa" w:w="45"/>
              <w:right w:type="dxa" w:w="75"/>
            </w:tcMar>
          </w:tcPr>
          <w:p>
            <w:r>
              <w:rPr>
                <w:b w:val="false"/>
                <w:bCs w:val="false"/>
                <w:color w:val="000000"/>
                <w:sz w:val="17"/>
                <w:szCs w:val="17"/>
              </w:rPr>
              <w:t xml:space="preserve">Gmail OAuth2</w:t>
            </w:r>
          </w:p>
        </w:tc>
      </w:tr>
      <w:tr>
        <w:tc>
          <w:tcPr>
            <w:tcW w:type="dxa" w:w="2000"/>
            <w:tcMar>
              <w:top w:type="dxa" w:w="45"/>
              <w:left w:type="dxa" w:w="75"/>
              <w:bottom w:type="dxa" w:w="45"/>
              <w:right w:type="dxa" w:w="75"/>
            </w:tcMar>
          </w:tcPr>
          <w:p>
            <w:r>
              <w:rPr>
                <w:b w:val="false"/>
                <w:bCs w:val="false"/>
                <w:color w:val="000000"/>
                <w:sz w:val="17"/>
                <w:szCs w:val="17"/>
              </w:rPr>
              <w:t xml:space="preserve">Twilio</w:t>
            </w:r>
          </w:p>
        </w:tc>
        <w:tc>
          <w:tcPr>
            <w:tcW w:type="dxa" w:w="3600"/>
            <w:tcMar>
              <w:top w:type="dxa" w:w="45"/>
              <w:left w:type="dxa" w:w="75"/>
              <w:bottom w:type="dxa" w:w="45"/>
              <w:right w:type="dxa" w:w="75"/>
            </w:tcMar>
          </w:tcPr>
          <w:p>
            <w:r>
              <w:rPr>
                <w:b w:val="false"/>
                <w:bCs w:val="false"/>
                <w:color w:val="000000"/>
                <w:sz w:val="17"/>
                <w:szCs w:val="17"/>
              </w:rPr>
              <w:t xml:space="preserve">Sends the same AI story on WhatsApp.</w:t>
            </w:r>
          </w:p>
        </w:tc>
        <w:tc>
          <w:tcPr>
            <w:tcW w:type="dxa" w:w="3400"/>
            <w:tcMar>
              <w:top w:type="dxa" w:w="45"/>
              <w:left w:type="dxa" w:w="75"/>
              <w:bottom w:type="dxa" w:w="45"/>
              <w:right w:type="dxa" w:w="75"/>
            </w:tcMar>
          </w:tcPr>
          <w:p>
            <w:r>
              <w:rPr>
                <w:b w:val="false"/>
                <w:bCs w:val="false"/>
                <w:color w:val="000000"/>
                <w:sz w:val="17"/>
                <w:szCs w:val="17"/>
              </w:rPr>
              <w:t xml:space="preserve">Twilio API</w:t>
            </w:r>
          </w:p>
        </w:tc>
      </w:tr>
    </w:tbl>
    <w:p>
      <w:pPr>
        <w:pBdr>
          <w:bottom w:val="single" w:color="CCCCCC" w:sz="6"/>
        </w:pBdr>
        <w:spacing w:after="110"/>
      </w:pPr>
    </w:p>
    <w:p>
      <w:pPr>
        <w:pStyle w:val="Heading1"/>
        <w:spacing w:after="80" w:before="180"/>
      </w:pPr>
      <w:r>
        <w:t xml:space="preserve">2. New Concept: One Output → Many Nodes ("Fan-Out")</w:t>
      </w:r>
    </w:p>
    <w:p>
      <w:pPr>
        <w:spacing w:after="70"/>
      </w:pPr>
      <w:r>
        <w:rPr>
          <w:sz w:val="19"/>
          <w:szCs w:val="19"/>
        </w:rPr>
        <w:t xml:space="preserve">In n8n, a single node's output can connect to more than one next node. Here, the Groq node's connection line splits into three arrows, going to Google Sheets, Gmail, and Twilio all at once — all three run in parallel using the same AI result. This is a very useful beginner concept: build the "smart" part once, then reuse its output everywhere.</w:t>
      </w:r>
    </w:p>
    <w:p>
      <w:pPr>
        <w:pBdr>
          <w:bottom w:val="single" w:color="CCCCCC" w:sz="6"/>
        </w:pBdr>
        <w:spacing w:after="110"/>
      </w:pPr>
    </w:p>
    <w:p>
      <w:pPr>
        <w:pStyle w:val="Heading1"/>
        <w:spacing w:after="80" w:before="180"/>
      </w:pPr>
      <w:r>
        <w:t xml:space="preserve">3. Why Groq Instead of ChatGPT?</w:t>
      </w:r>
    </w:p>
    <w:p>
      <w:pPr>
        <w:pStyle w:val="ListParagraph"/>
        <w:numPr>
          <w:ilvl w:val="0"/>
          <w:numId w:val="2"/>
        </w:numPr>
        <w:spacing w:after="45"/>
      </w:pPr>
      <w:r>
        <w:rPr>
          <w:sz w:val="19"/>
          <w:szCs w:val="19"/>
        </w:rPr>
        <w:t xml:space="preserve">Groq is known for very fast AI responses (often under 1 second) and currently has a generous free tier.</w:t>
      </w:r>
    </w:p>
    <w:p>
      <w:pPr>
        <w:pStyle w:val="ListParagraph"/>
        <w:numPr>
          <w:ilvl w:val="0"/>
          <w:numId w:val="2"/>
        </w:numPr>
        <w:spacing w:after="45"/>
      </w:pPr>
      <w:r>
        <w:rPr>
          <w:sz w:val="19"/>
          <w:szCs w:val="19"/>
        </w:rPr>
        <w:t xml:space="preserve">It uses the same "chat completions" style API as OpenAI, so the request format looks almost identical — just a different URL and model name.</w:t>
      </w:r>
    </w:p>
    <w:p>
      <w:pPr>
        <w:pStyle w:val="ListParagraph"/>
        <w:numPr>
          <w:ilvl w:val="0"/>
          <w:numId w:val="2"/>
        </w:numPr>
        <w:spacing w:after="45"/>
      </w:pPr>
      <w:r>
        <w:rPr>
          <w:sz w:val="19"/>
          <w:szCs w:val="19"/>
        </w:rPr>
        <w:t xml:space="preserve">Model used here: llama-3.3-70b-versatile — a strong, general-purpose free-tier model.</w:t>
      </w:r>
    </w:p>
    <w:p>
      <w:pPr>
        <w:pBdr>
          <w:bottom w:val="single" w:color="CCCCCC" w:sz="6"/>
        </w:pBdr>
        <w:spacing w:after="110"/>
      </w:pPr>
    </w:p>
    <w:p>
      <w:pPr>
        <w:pStyle w:val="Heading1"/>
        <w:spacing w:after="80" w:before="180"/>
      </w:pPr>
      <w:r>
        <w:t xml:space="preserve">4. How to Generate Your Groq API Key</w:t>
      </w:r>
    </w:p>
    <w:p>
      <w:pPr>
        <w:pStyle w:val="ListParagraph"/>
        <w:numPr>
          <w:ilvl w:val="0"/>
          <w:numId w:val="3"/>
        </w:numPr>
        <w:spacing w:after="45"/>
      </w:pPr>
      <w:r>
        <w:rPr>
          <w:sz w:val="19"/>
          <w:szCs w:val="19"/>
        </w:rPr>
        <w:t xml:space="preserve">Go to console.groq.com and sign up or log in (Google login supported).</w:t>
      </w:r>
    </w:p>
    <w:p>
      <w:pPr>
        <w:pStyle w:val="ListParagraph"/>
        <w:numPr>
          <w:ilvl w:val="0"/>
          <w:numId w:val="3"/>
        </w:numPr>
        <w:spacing w:after="45"/>
      </w:pPr>
      <w:r>
        <w:rPr>
          <w:sz w:val="19"/>
          <w:szCs w:val="19"/>
        </w:rPr>
        <w:t xml:space="preserve">In the left menu, click API Keys.</w:t>
      </w:r>
    </w:p>
    <w:p>
      <w:pPr>
        <w:pStyle w:val="ListParagraph"/>
        <w:numPr>
          <w:ilvl w:val="0"/>
          <w:numId w:val="3"/>
        </w:numPr>
        <w:spacing w:after="45"/>
      </w:pPr>
      <w:r>
        <w:rPr>
          <w:sz w:val="19"/>
          <w:szCs w:val="19"/>
        </w:rPr>
        <w:t xml:space="preserve">Click "Create API Key", give it a name like "n8n-good-morning", and click Submit.</w:t>
      </w:r>
    </w:p>
    <w:p>
      <w:pPr>
        <w:pStyle w:val="ListParagraph"/>
        <w:numPr>
          <w:ilvl w:val="0"/>
          <w:numId w:val="3"/>
        </w:numPr>
        <w:spacing w:after="45"/>
      </w:pPr>
      <w:r>
        <w:rPr>
          <w:sz w:val="19"/>
          <w:szCs w:val="19"/>
        </w:rPr>
        <w:t xml:space="preserve">Copy the key immediately (it starts with gsk_...) — Groq shows it only once.</w:t>
      </w:r>
    </w:p>
    <w:p>
      <w:pPr>
        <w:pStyle w:val="ListParagraph"/>
        <w:numPr>
          <w:ilvl w:val="0"/>
          <w:numId w:val="3"/>
        </w:numPr>
        <w:spacing w:after="45"/>
      </w:pPr>
      <w:r>
        <w:rPr>
          <w:sz w:val="19"/>
          <w:szCs w:val="19"/>
        </w:rPr>
        <w:t xml:space="preserve">In n8n: Settings → Credentials → New → HTTP Header Auth.</w:t>
      </w:r>
    </w:p>
    <w:p>
      <w:pPr>
        <w:pStyle w:val="ListParagraph"/>
        <w:numPr>
          <w:ilvl w:val="0"/>
          <w:numId w:val="3"/>
        </w:numPr>
        <w:spacing w:after="45"/>
      </w:pPr>
      <w:r>
        <w:rPr>
          <w:sz w:val="19"/>
          <w:szCs w:val="19"/>
        </w:rPr>
        <w:t xml:space="preserve">Set Name to "Authorization" and Value to: Bearer gsk-your-key-here  (the word Bearer, a space, then your key).</w:t>
      </w:r>
    </w:p>
    <w:p>
      <w:pPr>
        <w:pStyle w:val="ListParagraph"/>
        <w:numPr>
          <w:ilvl w:val="0"/>
          <w:numId w:val="3"/>
        </w:numPr>
        <w:spacing w:after="45"/>
      </w:pPr>
      <w:r>
        <w:rPr>
          <w:sz w:val="19"/>
          <w:szCs w:val="19"/>
        </w:rPr>
        <w:t xml:space="preserve">Save the credential, then attach it to the "Generate Motivational Story (Groq AI)" node.</w:t>
      </w:r>
    </w:p>
    <w:p>
      <w:pPr>
        <w:pBdr>
          <w:bottom w:val="single" w:color="CCCCCC" w:sz="6"/>
        </w:pBdr>
        <w:spacing w:after="110"/>
      </w:pPr>
    </w:p>
    <w:p>
      <w:pPr>
        <w:pStyle w:val="Heading1"/>
        <w:spacing w:after="80" w:before="180"/>
      </w:pPr>
      <w:r>
        <w:t xml:space="preserve">5. Referencing Data From an Earlier Node</w:t>
      </w:r>
    </w:p>
    <w:p>
      <w:pPr>
        <w:spacing w:after="70"/>
      </w:pPr>
      <w:r>
        <w:rPr>
          <w:sz w:val="19"/>
          <w:szCs w:val="19"/>
        </w:rPr>
        <w:t xml:space="preserve">Since the AI node's output only contains the AI's reply (not the original date/time), the Google Sheets and Gmail nodes use a special expression to reach back to the Set node directly:</w:t>
      </w:r>
    </w:p>
    <w:p>
      <w:pPr>
        <w:pStyle w:val="ListParagraph"/>
        <w:numPr>
          <w:ilvl w:val="0"/>
          <w:numId w:val="2"/>
        </w:numPr>
        <w:spacing w:after="45"/>
      </w:pPr>
      <w:r>
        <w:rPr>
          <w:sz w:val="19"/>
          <w:szCs w:val="19"/>
        </w:rPr>
        <w:t xml:space="preserve">$('Set Good Morning Message').item.json.date — gets today's date from the Set node, even though we're now several steps ahead.</w:t>
      </w:r>
    </w:p>
    <w:p>
      <w:pPr>
        <w:pStyle w:val="ListParagraph"/>
        <w:numPr>
          <w:ilvl w:val="0"/>
          <w:numId w:val="2"/>
        </w:numPr>
        <w:spacing w:after="45"/>
      </w:pPr>
      <w:r>
        <w:rPr>
          <w:sz w:val="19"/>
          <w:szCs w:val="19"/>
        </w:rPr>
        <w:t xml:space="preserve">$json.choices[0].message.content — gets the AI's story from the node right before (Groq).</w:t>
      </w:r>
    </w:p>
    <w:p>
      <w:pPr>
        <w:pStyle w:val="ListParagraph"/>
        <w:numPr>
          <w:ilvl w:val="0"/>
          <w:numId w:val="2"/>
        </w:numPr>
        <w:spacing w:after="45"/>
      </w:pPr>
      <w:r>
        <w:rPr>
          <w:sz w:val="19"/>
          <w:szCs w:val="19"/>
        </w:rPr>
        <w:t xml:space="preserve">This is a handy trick for any workflow: you're not limited to only the immediately previous node's data.</w:t>
      </w:r>
    </w:p>
    <w:p>
      <w:pPr>
        <w:pBdr>
          <w:bottom w:val="single" w:color="CCCCCC" w:sz="6"/>
        </w:pBdr>
        <w:spacing w:after="110"/>
      </w:pPr>
    </w:p>
    <w:p>
      <w:pPr>
        <w:pStyle w:val="Heading1"/>
        <w:spacing w:after="80" w:before="180"/>
      </w:pPr>
      <w:r>
        <w:t xml:space="preserve">6. Setup Checklist</w:t>
      </w:r>
    </w:p>
    <w:p>
      <w:pPr>
        <w:pStyle w:val="ListParagraph"/>
        <w:numPr>
          <w:ilvl w:val="0"/>
          <w:numId w:val="2"/>
        </w:numPr>
        <w:spacing w:after="45"/>
      </w:pPr>
      <w:r>
        <w:rPr>
          <w:sz w:val="19"/>
          <w:szCs w:val="19"/>
        </w:rPr>
        <w:t xml:space="preserve">Import Good_Morning_Groq_AI_MultiChannel_Workflow.json into n8n.</w:t>
      </w:r>
    </w:p>
    <w:p>
      <w:pPr>
        <w:pStyle w:val="ListParagraph"/>
        <w:numPr>
          <w:ilvl w:val="0"/>
          <w:numId w:val="2"/>
        </w:numPr>
        <w:spacing w:after="45"/>
      </w:pPr>
      <w:r>
        <w:rPr>
          <w:sz w:val="19"/>
          <w:szCs w:val="19"/>
        </w:rPr>
        <w:t xml:space="preserve">Create the Groq API key and HTTP Header Auth credential; attach it to the Groq node.</w:t>
      </w:r>
    </w:p>
    <w:p>
      <w:pPr>
        <w:pStyle w:val="ListParagraph"/>
        <w:numPr>
          <w:ilvl w:val="0"/>
          <w:numId w:val="2"/>
        </w:numPr>
        <w:spacing w:after="45"/>
      </w:pPr>
      <w:r>
        <w:rPr>
          <w:sz w:val="19"/>
          <w:szCs w:val="19"/>
        </w:rPr>
        <w:t xml:space="preserve">Confirm Google Sheets, Gmail, and Twilio credentials are all connected (reuse from earlier workflows if already set up).</w:t>
      </w:r>
    </w:p>
    <w:p>
      <w:pPr>
        <w:pStyle w:val="ListParagraph"/>
        <w:numPr>
          <w:ilvl w:val="0"/>
          <w:numId w:val="2"/>
        </w:numPr>
        <w:spacing w:after="45"/>
      </w:pPr>
      <w:r>
        <w:rPr>
          <w:sz w:val="19"/>
          <w:szCs w:val="19"/>
        </w:rPr>
        <w:t xml:space="preserve">Update the Sheet ID, friend's email, and friend's WhatsApp number in their respective nodes.</w:t>
      </w:r>
    </w:p>
    <w:p>
      <w:pPr>
        <w:pStyle w:val="ListParagraph"/>
        <w:numPr>
          <w:ilvl w:val="0"/>
          <w:numId w:val="2"/>
        </w:numPr>
        <w:spacing w:after="45"/>
      </w:pPr>
      <w:r>
        <w:rPr>
          <w:sz w:val="19"/>
          <w:szCs w:val="19"/>
        </w:rPr>
        <w:t xml:space="preserve">Test with "Execute Workflow" and check all three destinations receive the same AI story.</w:t>
      </w:r>
    </w:p>
    <w:p>
      <w:pPr>
        <w:pStyle w:val="ListParagraph"/>
        <w:numPr>
          <w:ilvl w:val="0"/>
          <w:numId w:val="2"/>
        </w:numPr>
        <w:spacing w:after="45"/>
      </w:pPr>
      <w:r>
        <w:rPr>
          <w:sz w:val="19"/>
          <w:szCs w:val="19"/>
        </w:rPr>
        <w:t xml:space="preserve">Toggle Activate once everything looks correct.</w:t>
      </w:r>
    </w:p>
    <w:sectPr>
      <w:pgSz w:w="12240" w:h="15840" w:orient="portrait"/>
      <w:pgMar w:top="550" w:right="650" w:bottom="5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abstractNum w:abstractNumId="3" w15:restartNumberingAfterBreak="0">
    <w:multiLevelType w:val="hybridMultilevel"/>
    <w:lvl w:ilvl="0" w15:tentative="1">
      <w:start w:val="1"/>
      <w:numFmt w:val="decimal"/>
      <w:lvlText w:val="%1."/>
      <w:lvlJc w:val="left"/>
      <w:pPr>
        <w:ind w:left="3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2026-07-24T05:08:38.588Z</dcterms:created>
  <dcterms:modified xsi:type="dcterms:W3CDTF">2026-07-24T05:08:38.610Z</dcterms:modified>
</cp:coreProperties>
</file>

<file path=docProps/custom.xml><?xml version="1.0" encoding="utf-8"?>
<Properties xmlns="http://schemas.openxmlformats.org/officeDocument/2006/custom-properties" xmlns:vt="http://schemas.openxmlformats.org/officeDocument/2006/docPropsVTypes"/>
</file>