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f49f082bf9ae959b07cb028975b119e66e01d8"/>
    <w:p>
      <w:pPr>
        <w:pStyle w:val="Heading1"/>
      </w:pPr>
      <w:r>
        <w:t xml:space="preserve">BharatTrip Refund Escalations: Business Case &amp; Solution Proposal</w:t>
      </w:r>
    </w:p>
    <w:p>
      <w:pPr>
        <w:pStyle w:val="BlockText"/>
      </w:pPr>
      <w:r>
        <w:rPr>
          <w:b/>
          <w:bCs/>
        </w:rPr>
        <w:t xml:space="preserve">Executive Summary (TL;DR)</w:t>
      </w:r>
      <w:r>
        <w:t xml:space="preserve"> </w:t>
      </w:r>
      <w:r>
        <w:t xml:space="preserve">BharatTrip is experiencing a spike in customer/agent refund escalations despite stable refund volumes. Our analysis identified a severe operational disconnect between Support and Finance, leading to</w:t>
      </w:r>
      <w:r>
        <w:t xml:space="preserve"> </w:t>
      </w:r>
      <w:r>
        <w:rPr>
          <w:b/>
          <w:bCs/>
        </w:rPr>
        <w:t xml:space="preserve">100 dropped tickets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149 short payments</w:t>
      </w:r>
      <w:r>
        <w:t xml:space="preserve">. By implementing a</w:t>
      </w:r>
      <w:r>
        <w:t xml:space="preserve"> </w:t>
      </w:r>
      <w:r>
        <w:rPr>
          <w:b/>
          <w:bCs/>
        </w:rPr>
        <w:t xml:space="preserve">Single Source of Truth (SSOT)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AI-Driven Data Reconciliation Workflow</w:t>
      </w:r>
      <w:r>
        <w:t xml:space="preserve">, we can eliminate manual data leakage, automate agent communications, and project an 80% drop in escalations over the next quarter without adding headcount.</w:t>
      </w:r>
    </w:p>
    <w:p>
      <w:r>
        <w:pict>
          <v:rect style="width:0;height:1.5pt" o:hralign="center" o:hrstd="t" o:hr="t"/>
        </w:pict>
      </w:r>
    </w:p>
    <w:bookmarkStart w:id="10" w:name="defining-the-problem"/>
    <w:p>
      <w:pPr>
        <w:pStyle w:val="Heading2"/>
      </w:pPr>
      <w:r>
        <w:t xml:space="preserve">1. Defining the Problem</w:t>
      </w:r>
    </w:p>
    <w:p>
      <w:pPr>
        <w:pStyle w:val="FirstParagraph"/>
      </w:pPr>
      <w:r>
        <w:t xml:space="preserve">Customer and agent escalations regarding refunds are rising. The core underlying problem is a</w:t>
      </w:r>
      <w:r>
        <w:t xml:space="preserve"> </w:t>
      </w:r>
      <w:r>
        <w:rPr>
          <w:b/>
          <w:bCs/>
        </w:rPr>
        <w:t xml:space="preserve">severe operational disconnect between the Support and Finance teams</w:t>
      </w:r>
      <w:r>
        <w:t xml:space="preserve">, characterized by siloed tracking systems and inconsistent definitions of refund statuses.</w:t>
      </w:r>
    </w:p>
    <w:bookmarkStart w:id="9" w:name="key-communication-failures"/>
    <w:p>
      <w:pPr>
        <w:pStyle w:val="Heading3"/>
      </w:pPr>
      <w:r>
        <w:t xml:space="preserve">Key Communication Failures: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Leakage</w:t>
      </w:r>
      <w:r>
        <w:t xml:space="preserve">: Informal requests via WhatsApp and Email bypass the tracker altogether, meaning they are never reviewed or processed.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“Closed”</w:t>
      </w:r>
      <w:r>
        <w:rPr>
          <w:b/>
          <w:bCs/>
        </w:rPr>
        <w:t xml:space="preserve"> </w:t>
      </w:r>
      <w:r>
        <w:rPr>
          <w:b/>
          <w:bCs/>
        </w:rPr>
        <w:t xml:space="preserve">Status Ambiguity</w:t>
      </w:r>
      <w:r>
        <w:t xml:space="preserve">: The Support team marks tickets as</w:t>
      </w:r>
      <w:r>
        <w:t xml:space="preserve"> </w:t>
      </w:r>
      <w:r>
        <w:t xml:space="preserve">“Closed”</w:t>
      </w:r>
      <w:r>
        <w:t xml:space="preserve"> </w:t>
      </w:r>
      <w:r>
        <w:t xml:space="preserve">once handed off to Finance, misleading the agent into believing the refund has been disbursed.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Hidden Policy Deductions</w:t>
      </w:r>
      <w:r>
        <w:t xml:space="preserve">: Finance applies necessary deductions (e.g., cancellation fees) and processes payouts, but this information is never relayed back to the agent by Support, causing</w:t>
      </w:r>
      <w:r>
        <w:t xml:space="preserve"> </w:t>
      </w:r>
      <w:r>
        <w:t xml:space="preserve">“short payment”</w:t>
      </w:r>
      <w:r>
        <w:t xml:space="preserve"> </w:t>
      </w:r>
      <w:r>
        <w:t xml:space="preserve">escalations.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data-analysis-insights"/>
    <w:p>
      <w:pPr>
        <w:pStyle w:val="Heading2"/>
      </w:pPr>
      <w:r>
        <w:t xml:space="preserve">2. Data Analysis &amp; Insights</w:t>
      </w:r>
    </w:p>
    <w:p>
      <w:pPr>
        <w:pStyle w:val="FirstParagraph"/>
      </w:pPr>
      <w:r>
        <w:t xml:space="preserve">By cross-referencing the</w:t>
      </w:r>
      <w:r>
        <w:t xml:space="preserve"> </w:t>
      </w:r>
      <w:r>
        <w:rPr>
          <w:rStyle w:val="VerbatimChar"/>
        </w:rPr>
        <w:t xml:space="preserve">Support_Tracker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Finance_Tracker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Escalations</w:t>
      </w:r>
      <w:r>
        <w:t xml:space="preserve"> </w:t>
      </w:r>
      <w:r>
        <w:t xml:space="preserve">logs via a deep database join, we identified the specific patterns driving the</w:t>
      </w:r>
      <w:r>
        <w:t xml:space="preserve"> </w:t>
      </w:r>
      <w:r>
        <w:rPr>
          <w:b/>
          <w:bCs/>
        </w:rPr>
        <w:t xml:space="preserve">155 total escalations</w:t>
      </w:r>
      <w:r>
        <w:t xml:space="preserve">.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Metrics Data Leakage Visualization" title="" id="12" name="Picture"/>
            <a:graphic>
              <a:graphicData uri="http://schemas.openxmlformats.org/drawingml/2006/picture">
                <pic:pic>
                  <pic:nvPicPr>
                    <pic:cNvPr descr="C:/Users/vikash/.gemini/antigravity-ide/brain/fa0b6098-9e73-4aac-becb-c291494e793b/metrics_corrected_178647067733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Metrics Data Leakage Visualization</w:t>
      </w:r>
    </w:p>
    <w:bookmarkStart w:id="14" w:name="the-discrepancy-breakdown"/>
    <w:p>
      <w:pPr>
        <w:pStyle w:val="Heading3"/>
      </w:pPr>
      <w:r>
        <w:t xml:space="preserve">The Discrepancy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Escalation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Dropped Handoffs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by Support, but entirely missing from Finance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Deduction Mismatches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promised by Support differs from amount disbursed by Finance.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Off-Tracker Leakage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Escalations with</w:t>
            </w:r>
            <w:r>
              <w:t xml:space="preserve"> </w:t>
            </w:r>
            <w:r>
              <w:t xml:space="preserve">“no ref”</w:t>
            </w:r>
            <w:r>
              <w:t xml:space="preserve"> </w:t>
            </w:r>
            <w:r>
              <w:t xml:space="preserve">originating from unlogged WhatsApp/Email.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Asynchronous 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by Finance but missing from Support.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Insight:</w:t>
      </w:r>
      <w:r>
        <w:t xml:space="preserve"> </w:t>
      </w:r>
      <w:r>
        <w:t xml:space="preserve">While a naive net volume calculation (755 Support - 689 Finance) suggests only 66 missing tickets, our deep ID-to-ID database reconciliation reveals the true scale of the failure is</w:t>
      </w:r>
      <w:r>
        <w:t xml:space="preserve"> </w:t>
      </w:r>
      <w:r>
        <w:rPr>
          <w:b/>
          <w:bCs/>
        </w:rPr>
        <w:t xml:space="preserve">100 dropped tickets</w:t>
      </w:r>
      <w:r>
        <w:t xml:space="preserve">, masked by duplicate records and asynchronous closures.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designing-a-zero-headcount-solution"/>
    <w:p>
      <w:pPr>
        <w:pStyle w:val="Heading2"/>
      </w:pPr>
      <w:r>
        <w:t xml:space="preserve">3. Designing a Zero-Headcount Solution</w:t>
      </w:r>
    </w:p>
    <w:p>
      <w:pPr>
        <w:pStyle w:val="FirstParagraph"/>
      </w:pPr>
      <w:r>
        <w:t xml:space="preserve">To permanently bring escalations down, BharatTrip must establish a unified</w:t>
      </w:r>
      <w:r>
        <w:t xml:space="preserve"> </w:t>
      </w:r>
      <w:r>
        <w:rPr>
          <w:b/>
          <w:bCs/>
        </w:rPr>
        <w:t xml:space="preserve">Single Source of Truth (SSOT)</w:t>
      </w:r>
      <w:r>
        <w:t xml:space="preserve"> </w:t>
      </w:r>
      <w:r>
        <w:t xml:space="preserve">and automate the communication loop.</w:t>
      </w:r>
    </w:p>
    <w:bookmarkStart w:id="16" w:name="the-proposed-workflow"/>
    <w:p>
      <w:pPr>
        <w:pStyle w:val="Heading3"/>
      </w:pPr>
      <w:r>
        <w:t xml:space="preserve">The Proposed Workflow: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Unified SSOT Tracking</w:t>
      </w:r>
      <w:r>
        <w:t xml:space="preserve">: Migrate both teams onto a single shared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AI-Powered Ingestion</w:t>
      </w:r>
      <w:r>
        <w:t xml:space="preserve">: Deploy an AI agent to monitor the Support Email and WhatsApp. The AI will parse unstructured messages and log them as structured tickets, eliminating</w:t>
      </w:r>
      <w:r>
        <w:t xml:space="preserve"> </w:t>
      </w:r>
      <w:r>
        <w:t xml:space="preserve">“no ref”</w:t>
      </w:r>
      <w:r>
        <w:t xml:space="preserve"> </w:t>
      </w:r>
      <w:r>
        <w:t xml:space="preserve">leakage.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Communication</w:t>
      </w:r>
      <w:r>
        <w:t xml:space="preserve">: A system trigger automatically emails the travel agent when the status changes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detailing the exact payout amount and any deductions.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Strategic Trade-offs</w:t>
      </w:r>
      <w:r>
        <w:t xml:space="preserve">: We automate data entry and outbound communication, but deliberately keep</w:t>
      </w:r>
      <w:r>
        <w:t xml:space="preserve"> </w:t>
      </w:r>
      <w:r>
        <w:rPr>
          <w:i/>
          <w:iCs/>
        </w:rPr>
        <w:t xml:space="preserve">Finance payout execution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Support’s initial vetting</w:t>
      </w:r>
      <w:r>
        <w:t xml:space="preserve"> </w:t>
      </w:r>
      <w:r>
        <w:t xml:space="preserve">manual to ensure strict financial compliance.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09edd5735e66cdad5bb3e9e5e49ab4d8164d810"/>
    <w:p>
      <w:pPr>
        <w:pStyle w:val="Heading2"/>
      </w:pPr>
      <w:r>
        <w:t xml:space="preserve">4. The AI Prototype: Advanced Multi-Agent Architecture</w:t>
      </w:r>
    </w:p>
    <w:p>
      <w:pPr>
        <w:pStyle w:val="FirstParagraph"/>
      </w:pPr>
      <w:r>
        <w:t xml:space="preserve">To deliver a production-ready solution, I have developed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a zero-friction</w:t>
      </w:r>
      <w:r>
        <w:t xml:space="preserve"> </w:t>
      </w:r>
      <w:r>
        <w:rPr>
          <w:b/>
          <w:bCs/>
        </w:rPr>
        <w:t xml:space="preserve">Streamlit Web Application</w:t>
      </w:r>
      <w:r>
        <w:t xml:space="preserve"> </w:t>
      </w:r>
      <w:r>
        <w:t xml:space="preserve">showcasing an advanced Multi-Agent architecture powered by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.</w:t>
      </w:r>
    </w:p>
    <w:p>
      <w:pPr>
        <w:pStyle w:val="CaptionedFigure"/>
      </w:pPr>
      <w:r>
        <w:drawing>
          <wp:inline>
            <wp:extent cx="5334000" cy="2906613"/>
            <wp:effectExtent b="0" l="0" r="0" t="0"/>
            <wp:docPr descr="System Architecture Flowchart" title="" id="19" name="Picture"/>
            <a:graphic>
              <a:graphicData uri="http://schemas.openxmlformats.org/drawingml/2006/picture">
                <pic:pic>
                  <pic:nvPicPr>
                    <pic:cNvPr descr="C:/Users/vikash/.gemini/antigravity-ide/brain/fa0b6098-9e73-4aac-becb-c291494e793b/architectur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Flowchart</w:t>
      </w:r>
    </w:p>
    <w:bookmarkStart w:id="21" w:name="secure-integration-mcp"/>
    <w:p>
      <w:pPr>
        <w:pStyle w:val="Heading3"/>
      </w:pPr>
      <w:r>
        <w:t xml:space="preserve">Secure Integration (MCP)</w:t>
      </w:r>
    </w:p>
    <w:p>
      <w:pPr>
        <w:pStyle w:val="FirstParagraph"/>
      </w:pPr>
      <w:r>
        <w:t xml:space="preserve">In a production environment, the LLM will bridge with the internal SSOT database via the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. This guarantees that raw database credentials are never exposed to the LLM’s context window, ensuring enterprise-grade security while allowing the AI to read/write records.</w:t>
      </w:r>
    </w:p>
    <w:bookmarkEnd w:id="21"/>
    <w:bookmarkStart w:id="22" w:name="the-prototype-features"/>
    <w:p>
      <w:pPr>
        <w:pStyle w:val="Heading3"/>
      </w:pPr>
      <w:r>
        <w:t xml:space="preserve">The Prototype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 Dashboard</w:t>
      </w:r>
      <w:r>
        <w:t xml:space="preserve">: Live KPIs tracking Escalations and Discrepancies to prove ROI.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HITL Workflow</w:t>
      </w:r>
      <w:r>
        <w:t xml:space="preserve">: A UI for support staff to review AI-generated explanatory messages before they are sent to external agents.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easuring-success"/>
    <w:p>
      <w:pPr>
        <w:pStyle w:val="Heading2"/>
      </w:pPr>
      <w:r>
        <w:t xml:space="preserve">5. Measuring Success</w:t>
      </w:r>
    </w:p>
    <w:p>
      <w:pPr>
        <w:pStyle w:val="FirstParagraph"/>
      </w:pPr>
      <w:r>
        <w:t xml:space="preserve">To ensure the solution is working, we will monitor two primary metrics over the next month: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Escalation Rate</w:t>
      </w:r>
      <w:r>
        <w:t xml:space="preserve">: The percentage of refund requests that result in a formal escalation. Target: &gt;50% drop within 30 days.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Tracker Discrepancy Count</w:t>
      </w:r>
      <w:r>
        <w:t xml:space="preserve">: The number of tickets marked</w:t>
      </w:r>
      <w:r>
        <w:t xml:space="preserve"> </w:t>
      </w:r>
      <w:r>
        <w:t xml:space="preserve">“Closed”</w:t>
      </w:r>
      <w:r>
        <w:t xml:space="preserve"> </w:t>
      </w:r>
      <w:r>
        <w:t xml:space="preserve">by Support without a matching payout record in Finance. Target: Zero.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2026-08-11T17:53:23Z</dcterms:created>
  <dcterms:modified xsi:type="dcterms:W3CDTF">2026-08-11T17:53:23Z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