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E8A50" w14:textId="573D2523" w:rsidR="00B001A8" w:rsidRPr="00B001A8" w:rsidRDefault="00B001A8" w:rsidP="00B001A8">
      <w:pPr>
        <w:pStyle w:val="isselectedend"/>
      </w:pPr>
      <w:r>
        <w:t>1)</w:t>
      </w:r>
      <w:r w:rsidRPr="00B001A8">
        <w:t xml:space="preserve">In the Nationwide Finance – Prefix Application project, I work as a Quality Engineer with specialized expertise in TOSCA-based test automation and data validation. I design and maintain model-based automated test scripts to support regression and release </w:t>
      </w:r>
      <w:r w:rsidRPr="00B001A8">
        <w:t>cycles and</w:t>
      </w:r>
      <w:r w:rsidRPr="00B001A8">
        <w:t xml:space="preserve"> integrate them into CI/CD pipelines for continuous testing.</w:t>
      </w:r>
    </w:p>
    <w:p w14:paraId="0A1CF502" w14:textId="77777777" w:rsidR="00B001A8" w:rsidRPr="00B001A8" w:rsidRDefault="00B001A8" w:rsidP="00B001A8">
      <w:pPr>
        <w:pStyle w:val="isselectedend"/>
      </w:pPr>
      <w:r w:rsidRPr="00B001A8">
        <w:t>I also perform backend validation using SQL, manage test data, and analyze logs and performance metrics to identify and resolve complex defects. My role involves close collaboration with developers and database teams to ensure system reliability, data integrity, and high-quality application delivery.</w:t>
      </w:r>
    </w:p>
    <w:p w14:paraId="18467102" w14:textId="3DCBC965" w:rsidR="00B001A8" w:rsidRDefault="00B001A8" w:rsidP="009322B1">
      <w:pPr>
        <w:pStyle w:val="isselectedend"/>
      </w:pPr>
      <w:r w:rsidRPr="00B001A8">
        <w:t>My specialized knowledge in TOSCA automation and enterprise testing is critical to maintaining efficient release processes and overall system performance.</w:t>
      </w:r>
    </w:p>
    <w:p w14:paraId="68558A1A" w14:textId="23D40812" w:rsidR="009322B1" w:rsidRDefault="009322B1" w:rsidP="009322B1">
      <w:pPr>
        <w:pStyle w:val="isselectedend"/>
      </w:pPr>
      <w:r>
        <w:t xml:space="preserve">2) The employee's knowledge is unique within TCS due to the rare combination of expertise in </w:t>
      </w:r>
      <w:proofErr w:type="spellStart"/>
      <w:r>
        <w:t>Tricentis</w:t>
      </w:r>
      <w:proofErr w:type="spellEnd"/>
      <w:r>
        <w:t xml:space="preserve"> Tosca automation, Guidewire insurance platforms, cloud technologies, DevOps tools, data validation, and legacy Mainframe systems. While these skills typically reside across multiple specialized teams, the employee possesses hands-on experience spanning all these domains.</w:t>
      </w:r>
    </w:p>
    <w:p w14:paraId="349FF5F7" w14:textId="77777777" w:rsidR="009322B1" w:rsidRDefault="009322B1" w:rsidP="009322B1">
      <w:pPr>
        <w:pStyle w:val="isselectedend"/>
      </w:pPr>
      <w:r>
        <w:t>The employee applies this specialized knowledge to design and maintain enterprise automation frameworks, integrate testing solutions with CI/CD pipelines, perform complex SQL and ETL data validation, analyze system and batch job logs, and support both cloud-based and legacy applications. In addition, the employee has developed a deep understanding of client-specific business processes, testing methodologies, and application architectures.</w:t>
      </w:r>
    </w:p>
    <w:p w14:paraId="77ABDB7F" w14:textId="77777777" w:rsidR="009322B1" w:rsidRDefault="009322B1" w:rsidP="009322B1">
      <w:pPr>
        <w:pStyle w:val="NormalWeb"/>
      </w:pPr>
      <w:r>
        <w:t>This combination of technical expertise, domain knowledge, and project-specific experience is uncommon within TCS and enables the employee to independently resolve complex issues across testing, application, database, and infrastructure layers. Acquiring and transferring this level of knowledge would require substantial training and project experience.</w:t>
      </w:r>
    </w:p>
    <w:p w14:paraId="095333B9" w14:textId="17107E04" w:rsidR="009322B1" w:rsidRDefault="009322B1" w:rsidP="009322B1">
      <w:pPr>
        <w:pStyle w:val="NormalWeb"/>
      </w:pPr>
      <w:r>
        <w:t>3) A key aspect of the employee’s specialized knowledge is the ability to support Guidewire insurance applications while integrating testing processes across modern cloud platforms and legacy Mainframe environments. The employee also analyzes application logs, batch job executions, and performance metrics to identify operational issues and ensure system reliability.</w:t>
      </w:r>
    </w:p>
    <w:p w14:paraId="57F40584" w14:textId="77777777" w:rsidR="009322B1" w:rsidRDefault="009322B1" w:rsidP="009322B1">
      <w:pPr>
        <w:pStyle w:val="NormalWeb"/>
      </w:pPr>
      <w:r>
        <w:t>This combination of Tosca automation expertise, Guidewire platform knowledge, cloud technologies, data validation capabilities, and enterprise system integration experience is uncommon and requires significant training and project-specific experience. The employee’s knowledge is critical to maintaining quality, reducing delivery risk, and supporting complex business applications within TCS client environments.</w:t>
      </w:r>
    </w:p>
    <w:p w14:paraId="275DD30D" w14:textId="77777777" w:rsidR="009322B1" w:rsidRDefault="009322B1" w:rsidP="009322B1">
      <w:pPr>
        <w:pStyle w:val="NormalWeb"/>
      </w:pPr>
      <w:r>
        <w:t xml:space="preserve">4) The employee's specialized knowledge is unique because it combines expertise across multiple enterprise platforms, automation frameworks, DevOps tools, and proprietary systems that are rarely found within a single resource. The employee has extensive experience using </w:t>
      </w:r>
      <w:proofErr w:type="spellStart"/>
      <w:r>
        <w:t>Tricentis</w:t>
      </w:r>
      <w:proofErr w:type="spellEnd"/>
      <w:r>
        <w:t xml:space="preserve"> Tosca for model-based test automation, Jenkins, Concourse, and </w:t>
      </w:r>
      <w:proofErr w:type="spellStart"/>
      <w:r>
        <w:t>Urbancode</w:t>
      </w:r>
      <w:proofErr w:type="spellEnd"/>
      <w:r>
        <w:t xml:space="preserve"> Deploy for </w:t>
      </w:r>
      <w:r>
        <w:lastRenderedPageBreak/>
        <w:t>CI/CD and release automation, Splunk for log analysis and troubleshooting, and SSMS for advanced data validation and testing activities.</w:t>
      </w:r>
    </w:p>
    <w:p w14:paraId="557670F0" w14:textId="77777777" w:rsidR="009322B1" w:rsidRDefault="009322B1" w:rsidP="009322B1">
      <w:pPr>
        <w:pStyle w:val="NormalWeb"/>
      </w:pPr>
      <w:r>
        <w:t>In addition, the employee possesses hands-on knowledge of proprietary client-specific tools such as Prefix Job Engine and Prefix Switch Board, which are critical for managing complex business workflows and job orchestration processes. This knowledge has been acquired through direct experience supporting the client's enterprise ecosystem and cannot be gained through standard industry training alone.</w:t>
      </w:r>
    </w:p>
    <w:p w14:paraId="3BD79183" w14:textId="77777777" w:rsidR="009322B1" w:rsidRDefault="009322B1" w:rsidP="009322B1">
      <w:pPr>
        <w:pStyle w:val="NormalWeb"/>
      </w:pPr>
      <w:r>
        <w:t>The value of the employee's expertise lies not in individual technologies, but in the ability to integrate testing, deployment, monitoring, data validation, and workload automation processes across interconnected systems. The combination of Tosca automation, proprietary platform knowledge, enterprise DevOps practices, and client-specific business process expertise is uncommon within TCS and not readily available in the Canadian labor market without significant training, knowledge transfer, and project experience.</w:t>
      </w:r>
    </w:p>
    <w:p w14:paraId="6DA23575" w14:textId="77777777" w:rsidR="009322B1" w:rsidRDefault="009322B1" w:rsidP="009322B1">
      <w:pPr>
        <w:pStyle w:val="NormalWeb"/>
      </w:pPr>
      <w:r>
        <w:t>5) The associate's knowledge is unique due to the uncommon combination of expertise across cloud technologies, enterprise test automation, insurance platforms, data engineering, DevOps, and legacy systems. The associate possesses hands-on experience with AWS, Kubernetes, Jenkins, Git, SQL, ETL processes, Java, Python, Ruby, Windows Server, Guidewire, and Mainframe technologies, enabling support for the complete software delivery lifecycle.</w:t>
      </w:r>
    </w:p>
    <w:p w14:paraId="02E9C212" w14:textId="77777777" w:rsidR="009322B1" w:rsidRDefault="009322B1" w:rsidP="009322B1">
      <w:pPr>
        <w:pStyle w:val="NormalWeb"/>
      </w:pPr>
      <w:r>
        <w:t>What distinguishes the associate within TCS is the ability to bridge modern cloud-native technologies with traditional enterprise platforms. The associate can design and support automated testing solutions, perform complex data validation and ETL testing, integrate applications into CI/CD pipelines, analyze system and batch job performance, and troubleshoot issues across application, database, infrastructure, and deployment layers.</w:t>
      </w:r>
    </w:p>
    <w:p w14:paraId="5CC6DA9E" w14:textId="77777777" w:rsidR="009322B1" w:rsidRDefault="009322B1" w:rsidP="009322B1">
      <w:pPr>
        <w:pStyle w:val="NormalWeb"/>
      </w:pPr>
      <w:r>
        <w:t>Additionally, the associate has developed deep knowledge of Guidewire insurance applications, enterprise business processes, and client-specific system integrations. This combination of cloud, automation, database, development, and legacy platform expertise is not commonly found within a single resource and requires substantial project experience to acquire. As a result, the associate can independently resolve complex cross-functional issues and provide critical support for enterprise transformation and quality engineering initiatives.</w:t>
      </w:r>
    </w:p>
    <w:p w14:paraId="7823D87E" w14:textId="1B97402E" w:rsidR="009322B1" w:rsidRDefault="009322B1" w:rsidP="009322B1">
      <w:pPr>
        <w:pStyle w:val="isselectedend"/>
      </w:pPr>
      <w:r>
        <w:t xml:space="preserve">6) The associate will use TCS MasterCraft Application Lifecycle Manager as a centralized platform to govern and orchestrate end-to-end application delivery, ensuring traceability across requirements, test automation, and deployment activities. </w:t>
      </w:r>
      <w:proofErr w:type="spellStart"/>
      <w:r>
        <w:t>Tricentis</w:t>
      </w:r>
      <w:proofErr w:type="spellEnd"/>
      <w:r>
        <w:t xml:space="preserve"> Tosca will be integrated with MasterCraft to manage model-based test assets, execution tracking, and continuous validation within CI/CD pipelines.</w:t>
      </w:r>
    </w:p>
    <w:p w14:paraId="12354500" w14:textId="77777777" w:rsidR="009322B1" w:rsidRDefault="009322B1" w:rsidP="009322B1">
      <w:pPr>
        <w:pStyle w:val="isselectedend"/>
      </w:pPr>
      <w:r>
        <w:t>Selenium with AI-based enhancements will be used for intelligent UI automation, including self-healing capabilities and improved object recognition to reduce script maintenance. AI-enhanced API testing will support intelligent test generation, response validation, and improved integration coverage across distributed systems.</w:t>
      </w:r>
    </w:p>
    <w:p w14:paraId="20A4C1C8" w14:textId="77777777" w:rsidR="009322B1" w:rsidRDefault="009322B1" w:rsidP="009322B1">
      <w:pPr>
        <w:pStyle w:val="isselectedend"/>
      </w:pPr>
      <w:r>
        <w:lastRenderedPageBreak/>
        <w:t xml:space="preserve">These tools will be aligned with CI/CD pipelines using Jenkins, Concourse, and </w:t>
      </w:r>
      <w:proofErr w:type="spellStart"/>
      <w:r>
        <w:t>UrbanCode</w:t>
      </w:r>
      <w:proofErr w:type="spellEnd"/>
      <w:r>
        <w:t xml:space="preserve"> Deploy to ensure seamless build, test, and release cycles. This integrated approach enables continuous quality assurance, faster defect detection, and improved release confidence.</w:t>
      </w:r>
    </w:p>
    <w:p w14:paraId="69955AA7" w14:textId="5A24B349" w:rsidR="009322B1" w:rsidRDefault="009322B1" w:rsidP="009322B1">
      <w:pPr>
        <w:pStyle w:val="NormalWeb"/>
      </w:pPr>
      <w:r>
        <w:t>The associate’s ability to combine MasterCraft governance with AI-driven automation tools ensures efficient delivery, reduced operational risk, and strong end-to-end visibility across enterprise systems in Canada.</w:t>
      </w:r>
    </w:p>
    <w:p w14:paraId="35D29F66" w14:textId="3AC96E26" w:rsidR="009322B1" w:rsidRDefault="009322B1" w:rsidP="009322B1">
      <w:pPr>
        <w:pStyle w:val="NormalWeb"/>
      </w:pPr>
      <w:r>
        <w:t xml:space="preserve">7) In a Canada-based project, an associate using </w:t>
      </w:r>
      <w:r>
        <w:rPr>
          <w:rStyle w:val="Strong"/>
          <w:rFonts w:eastAsiaTheme="majorEastAsia"/>
        </w:rPr>
        <w:t>TCS MasterCraft™ Data Masker</w:t>
      </w:r>
      <w:r>
        <w:t xml:space="preserve"> primarily ensures sensitive data is protected while remaining usable for testing and development. Through the </w:t>
      </w:r>
      <w:r>
        <w:rPr>
          <w:rStyle w:val="Strong"/>
          <w:rFonts w:eastAsiaTheme="majorEastAsia"/>
        </w:rPr>
        <w:t>data discovery</w:t>
      </w:r>
      <w:r>
        <w:t xml:space="preserve"> capability, the associate identifies sensitive information such as SIN numbers, customer names, and financial details in enterprise databases. Using the </w:t>
      </w:r>
      <w:r>
        <w:rPr>
          <w:rStyle w:val="Strong"/>
          <w:rFonts w:eastAsiaTheme="majorEastAsia"/>
        </w:rPr>
        <w:t>data masking</w:t>
      </w:r>
      <w:r>
        <w:t xml:space="preserve"> feature, they apply predefined rules to anonymize or obfuscate this data while maintaining format integrity for application testing. They may also use </w:t>
      </w:r>
      <w:r>
        <w:rPr>
          <w:rStyle w:val="Strong"/>
          <w:rFonts w:eastAsiaTheme="majorEastAsia"/>
        </w:rPr>
        <w:t>synthetic data generation</w:t>
      </w:r>
      <w:r>
        <w:t xml:space="preserve"> to create realistic datasets when production data cannot be used. With </w:t>
      </w:r>
      <w:r>
        <w:rPr>
          <w:rStyle w:val="Strong"/>
          <w:rFonts w:eastAsiaTheme="majorEastAsia"/>
        </w:rPr>
        <w:t>policy-based controls</w:t>
      </w:r>
      <w:r>
        <w:t xml:space="preserve">, the associate ensures all masking activities comply with Canadian regulations like PIPEDA and client-specific security guidelines. Finally, through </w:t>
      </w:r>
      <w:r>
        <w:rPr>
          <w:rStyle w:val="Strong"/>
          <w:rFonts w:eastAsiaTheme="majorEastAsia"/>
        </w:rPr>
        <w:t>audit and compliance reporting</w:t>
      </w:r>
      <w:r>
        <w:t>, they validate and document masking execution results for stakeholders and audits. Overall, the associate’s role is to execute masking jobs, validate outputs, and ensure secure, compliant, and test-ready data environments for banking, insurance, or government projects in Canada.</w:t>
      </w:r>
    </w:p>
    <w:p w14:paraId="551D2B7A" w14:textId="77777777" w:rsidR="009322B1" w:rsidRDefault="009322B1" w:rsidP="009322B1">
      <w:pPr>
        <w:pStyle w:val="NormalWeb"/>
      </w:pPr>
      <w:r>
        <w:t xml:space="preserve">8) In a TCS environment, </w:t>
      </w:r>
      <w:r>
        <w:rPr>
          <w:rStyle w:val="whitespace-normal"/>
          <w:rFonts w:eastAsiaTheme="majorEastAsia"/>
        </w:rPr>
        <w:t>TCS IPMS</w:t>
      </w:r>
      <w:r>
        <w:t xml:space="preserve"> stands out from generic tools like Jira or Microsoft Project by combining </w:t>
      </w:r>
      <w:r>
        <w:rPr>
          <w:rStyle w:val="Strong"/>
          <w:rFonts w:eastAsiaTheme="majorEastAsia"/>
        </w:rPr>
        <w:t>delivery management, financial governance, compliance, and now AI-driven insights in a single integrated ecosystem</w:t>
      </w:r>
      <w:r>
        <w:t xml:space="preserve"> rather than focusing only on task tracking.</w:t>
      </w:r>
    </w:p>
    <w:p w14:paraId="5B19C282" w14:textId="77777777" w:rsidR="009322B1" w:rsidRDefault="009322B1" w:rsidP="009322B1">
      <w:pPr>
        <w:pStyle w:val="NormalWeb"/>
      </w:pPr>
      <w:r>
        <w:t xml:space="preserve">Unlike standard project tools that mainly handle task boards and sprint tracking, IPMS is used by associates to </w:t>
      </w:r>
      <w:r>
        <w:rPr>
          <w:rStyle w:val="Strong"/>
          <w:rFonts w:eastAsiaTheme="majorEastAsia"/>
        </w:rPr>
        <w:t>log effort, track billing impact, and ensure compliance with enterprise delivery processes</w:t>
      </w:r>
      <w:r>
        <w:t xml:space="preserve"> while also supporting client-specific governance requirements. With the addition of AI capabilities, it now provides </w:t>
      </w:r>
      <w:r>
        <w:rPr>
          <w:rStyle w:val="Strong"/>
          <w:rFonts w:eastAsiaTheme="majorEastAsia"/>
        </w:rPr>
        <w:t>automated status reporting, predictive risk alerts, and effort variance insights</w:t>
      </w:r>
      <w:r>
        <w:t>, reducing manual reporting work.</w:t>
      </w:r>
    </w:p>
    <w:p w14:paraId="0647D13E" w14:textId="77777777" w:rsidR="009322B1" w:rsidRDefault="009322B1" w:rsidP="009322B1">
      <w:pPr>
        <w:pStyle w:val="NormalWeb"/>
      </w:pPr>
      <w:r>
        <w:t xml:space="preserve">Its uniqueness lies in its </w:t>
      </w:r>
      <w:r>
        <w:rPr>
          <w:rStyle w:val="Strong"/>
          <w:rFonts w:eastAsiaTheme="majorEastAsia"/>
        </w:rPr>
        <w:t>enterprise-wide integration across finance, resource management, and audit systems</w:t>
      </w:r>
      <w:r>
        <w:t xml:space="preserve">, making it not just a tracking tool but a </w:t>
      </w:r>
      <w:r>
        <w:rPr>
          <w:rStyle w:val="Strong"/>
          <w:rFonts w:eastAsiaTheme="majorEastAsia"/>
        </w:rPr>
        <w:t>delivery control and decision-support platform</w:t>
      </w:r>
      <w:r>
        <w:t>. This allows associates in Canada projects to operate within strict regulatory environments while maintaining transparency, traceability, and real-time project visibility across stakeholders.</w:t>
      </w:r>
    </w:p>
    <w:p w14:paraId="0B3B932D" w14:textId="05255BAA" w:rsidR="009322B1" w:rsidRDefault="009322B1" w:rsidP="009322B1">
      <w:pPr>
        <w:pStyle w:val="NormalWeb"/>
      </w:pPr>
      <w:r>
        <w:t xml:space="preserve">9) An employee can use </w:t>
      </w:r>
      <w:r>
        <w:rPr>
          <w:rStyle w:val="Strong"/>
          <w:rFonts w:eastAsiaTheme="majorEastAsia"/>
        </w:rPr>
        <w:t xml:space="preserve">TCS </w:t>
      </w:r>
      <w:proofErr w:type="spellStart"/>
      <w:r>
        <w:rPr>
          <w:rStyle w:val="Strong"/>
          <w:rFonts w:eastAsiaTheme="majorEastAsia"/>
        </w:rPr>
        <w:t>iQMS</w:t>
      </w:r>
      <w:proofErr w:type="spellEnd"/>
      <w:r>
        <w:rPr>
          <w:rStyle w:val="Strong"/>
          <w:rFonts w:eastAsiaTheme="majorEastAsia"/>
        </w:rPr>
        <w:t xml:space="preserve"> with AI-enabled capabilities</w:t>
      </w:r>
      <w:r>
        <w:t xml:space="preserve"> to improve delivery quality, compliance, and project efficiency. The platform helps automate routine quality-management activities such as project health assessments, risk identification, audit preparation, and compliance tracking. AI-powered insights can analyze project data to predict quality issues, highlight delivery risks, and recommend corrective actions before they impact the client. Associates can leverage AI-generated summaries, automated documentation, and intelligent dashboards to reduce manual reporting effort and focus more on delivery outcomes. For projects in regulated industries such as banking, insurance, or government, </w:t>
      </w:r>
      <w:proofErr w:type="spellStart"/>
      <w:r>
        <w:t>iQMS</w:t>
      </w:r>
      <w:proofErr w:type="spellEnd"/>
      <w:r>
        <w:t xml:space="preserve"> helps ensure adherence to client standards and Canadian regulatory requirements through traceable processes and audit-</w:t>
      </w:r>
      <w:r>
        <w:lastRenderedPageBreak/>
        <w:t xml:space="preserve">ready records. This makes </w:t>
      </w:r>
      <w:proofErr w:type="spellStart"/>
      <w:r>
        <w:t>iQMS</w:t>
      </w:r>
      <w:proofErr w:type="spellEnd"/>
      <w:r>
        <w:t xml:space="preserve"> unique because it combines quality governance, project management, and AI-driven decision support within a single enterprise-wide framework.</w:t>
      </w:r>
    </w:p>
    <w:p w14:paraId="2D5955B6" w14:textId="77777777" w:rsidR="009322B1" w:rsidRDefault="009322B1" w:rsidP="009322B1">
      <w:pPr>
        <w:pStyle w:val="NormalWeb"/>
      </w:pPr>
    </w:p>
    <w:p w14:paraId="665AB326" w14:textId="77777777" w:rsidR="009322B1" w:rsidRDefault="009322B1" w:rsidP="009322B1">
      <w:pPr>
        <w:pStyle w:val="NormalWeb"/>
      </w:pPr>
    </w:p>
    <w:p w14:paraId="2FD6AB59" w14:textId="77777777" w:rsidR="0069348E" w:rsidRDefault="0069348E"/>
    <w:sectPr w:rsidR="006934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5012FFF" w:usb1="C301257B" w:usb2="01010109" w:usb3="01010101" w:csb0="010101FF" w:csb1="01010101"/>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AF3A12"/>
    <w:multiLevelType w:val="hybridMultilevel"/>
    <w:tmpl w:val="CC9637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5324532"/>
    <w:multiLevelType w:val="hybridMultilevel"/>
    <w:tmpl w:val="344A62E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0135533">
    <w:abstractNumId w:val="1"/>
  </w:num>
  <w:num w:numId="2" w16cid:durableId="1085110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2B1"/>
    <w:rsid w:val="000F190A"/>
    <w:rsid w:val="00171232"/>
    <w:rsid w:val="0069348E"/>
    <w:rsid w:val="008C68C8"/>
    <w:rsid w:val="009322B1"/>
    <w:rsid w:val="00B001A8"/>
    <w:rsid w:val="00C27199"/>
    <w:rsid w:val="00CC6B59"/>
    <w:rsid w:val="00D362D0"/>
    <w:rsid w:val="00E61349"/>
    <w:rsid w:val="00E908C0"/>
    <w:rsid w:val="00F658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EA6D9"/>
  <w15:chartTrackingRefBased/>
  <w15:docId w15:val="{1828713F-BD15-2A46-9D91-2EA97916C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22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22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22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22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22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22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2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2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2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2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22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22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22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22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22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2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2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2B1"/>
    <w:rPr>
      <w:rFonts w:eastAsiaTheme="majorEastAsia" w:cstheme="majorBidi"/>
      <w:color w:val="272727" w:themeColor="text1" w:themeTint="D8"/>
    </w:rPr>
  </w:style>
  <w:style w:type="paragraph" w:styleId="Title">
    <w:name w:val="Title"/>
    <w:basedOn w:val="Normal"/>
    <w:next w:val="Normal"/>
    <w:link w:val="TitleChar"/>
    <w:uiPriority w:val="10"/>
    <w:qFormat/>
    <w:rsid w:val="009322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2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2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2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2B1"/>
    <w:pPr>
      <w:spacing w:before="160"/>
      <w:jc w:val="center"/>
    </w:pPr>
    <w:rPr>
      <w:i/>
      <w:iCs/>
      <w:color w:val="404040" w:themeColor="text1" w:themeTint="BF"/>
    </w:rPr>
  </w:style>
  <w:style w:type="character" w:customStyle="1" w:styleId="QuoteChar">
    <w:name w:val="Quote Char"/>
    <w:basedOn w:val="DefaultParagraphFont"/>
    <w:link w:val="Quote"/>
    <w:uiPriority w:val="29"/>
    <w:rsid w:val="009322B1"/>
    <w:rPr>
      <w:i/>
      <w:iCs/>
      <w:color w:val="404040" w:themeColor="text1" w:themeTint="BF"/>
    </w:rPr>
  </w:style>
  <w:style w:type="paragraph" w:styleId="ListParagraph">
    <w:name w:val="List Paragraph"/>
    <w:basedOn w:val="Normal"/>
    <w:uiPriority w:val="34"/>
    <w:qFormat/>
    <w:rsid w:val="009322B1"/>
    <w:pPr>
      <w:ind w:left="720"/>
      <w:contextualSpacing/>
    </w:pPr>
  </w:style>
  <w:style w:type="character" w:styleId="IntenseEmphasis">
    <w:name w:val="Intense Emphasis"/>
    <w:basedOn w:val="DefaultParagraphFont"/>
    <w:uiPriority w:val="21"/>
    <w:qFormat/>
    <w:rsid w:val="009322B1"/>
    <w:rPr>
      <w:i/>
      <w:iCs/>
      <w:color w:val="2F5496" w:themeColor="accent1" w:themeShade="BF"/>
    </w:rPr>
  </w:style>
  <w:style w:type="paragraph" w:styleId="IntenseQuote">
    <w:name w:val="Intense Quote"/>
    <w:basedOn w:val="Normal"/>
    <w:next w:val="Normal"/>
    <w:link w:val="IntenseQuoteChar"/>
    <w:uiPriority w:val="30"/>
    <w:qFormat/>
    <w:rsid w:val="009322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22B1"/>
    <w:rPr>
      <w:i/>
      <w:iCs/>
      <w:color w:val="2F5496" w:themeColor="accent1" w:themeShade="BF"/>
    </w:rPr>
  </w:style>
  <w:style w:type="character" w:styleId="IntenseReference">
    <w:name w:val="Intense Reference"/>
    <w:basedOn w:val="DefaultParagraphFont"/>
    <w:uiPriority w:val="32"/>
    <w:qFormat/>
    <w:rsid w:val="009322B1"/>
    <w:rPr>
      <w:b/>
      <w:bCs/>
      <w:smallCaps/>
      <w:color w:val="2F5496" w:themeColor="accent1" w:themeShade="BF"/>
      <w:spacing w:val="5"/>
    </w:rPr>
  </w:style>
  <w:style w:type="paragraph" w:styleId="NormalWeb">
    <w:name w:val="Normal (Web)"/>
    <w:basedOn w:val="Normal"/>
    <w:uiPriority w:val="99"/>
    <w:unhideWhenUsed/>
    <w:rsid w:val="009322B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isselectedend">
    <w:name w:val="isselectedend"/>
    <w:basedOn w:val="Normal"/>
    <w:rsid w:val="009322B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322B1"/>
    <w:rPr>
      <w:b/>
      <w:bCs/>
    </w:rPr>
  </w:style>
  <w:style w:type="character" w:customStyle="1" w:styleId="whitespace-normal">
    <w:name w:val="whitespace-normal"/>
    <w:basedOn w:val="DefaultParagraphFont"/>
    <w:rsid w:val="009322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1491</Words>
  <Characters>8501</Characters>
  <Application>Microsoft Office Word</Application>
  <DocSecurity>0</DocSecurity>
  <Lines>70</Lines>
  <Paragraphs>19</Paragraphs>
  <ScaleCrop>false</ScaleCrop>
  <Company/>
  <LinksUpToDate>false</LinksUpToDate>
  <CharactersWithSpaces>9973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vineeth kudaravalli</dc:creator>
  <cp:keywords/>
  <dc:description/>
  <cp:lastModifiedBy>Kudaravalli, Vineeth</cp:lastModifiedBy>
  <cp:revision>2</cp:revision>
  <dcterms:created xsi:type="dcterms:W3CDTF">2026-06-12T17:15:00Z</dcterms:created>
  <dcterms:modified xsi:type="dcterms:W3CDTF">2026-06-12T18:21:00Z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2ea8e88-16c4-4b55-a945-7bd6248db4bf_Enabled">
    <vt:lpwstr>true</vt:lpwstr>
  </property>
  <property fmtid="{D5CDD505-2E9C-101B-9397-08002B2CF9AE}" pid="3" name="MSIP_Label_92ea8e88-16c4-4b55-a945-7bd6248db4bf_SetDate">
    <vt:lpwstr>2026-06-12T18:21:13Z</vt:lpwstr>
  </property>
  <property fmtid="{D5CDD505-2E9C-101B-9397-08002B2CF9AE}" pid="4" name="MSIP_Label_92ea8e88-16c4-4b55-a945-7bd6248db4bf_Method">
    <vt:lpwstr>Standard</vt:lpwstr>
  </property>
  <property fmtid="{D5CDD505-2E9C-101B-9397-08002B2CF9AE}" pid="5" name="MSIP_Label_92ea8e88-16c4-4b55-a945-7bd6248db4bf_Name">
    <vt:lpwstr>Internal</vt:lpwstr>
  </property>
  <property fmtid="{D5CDD505-2E9C-101B-9397-08002B2CF9AE}" pid="6" name="MSIP_Label_92ea8e88-16c4-4b55-a945-7bd6248db4bf_SiteId">
    <vt:lpwstr>22140e4c-d390-45c2-b297-a26c516dc461</vt:lpwstr>
  </property>
  <property fmtid="{D5CDD505-2E9C-101B-9397-08002B2CF9AE}" pid="7" name="MSIP_Label_92ea8e88-16c4-4b55-a945-7bd6248db4bf_ActionId">
    <vt:lpwstr>542ceb1a-3c50-47e2-a3ab-abb20d8ea60a</vt:lpwstr>
  </property>
  <property fmtid="{D5CDD505-2E9C-101B-9397-08002B2CF9AE}" pid="8" name="MSIP_Label_92ea8e88-16c4-4b55-a945-7bd6248db4bf_ContentBits">
    <vt:lpwstr>0</vt:lpwstr>
  </property>
  <property fmtid="{D5CDD505-2E9C-101B-9397-08002B2CF9AE}" pid="9" name="MSIP_Label_92ea8e88-16c4-4b55-a945-7bd6248db4bf_Tag">
    <vt:lpwstr>10, 3, 0, 1</vt:lpwstr>
  </property>
</Properties>
</file>