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902" w:rsidRDefault="00AC5902" w:rsidP="00AC5902">
      <w:pPr>
        <w:spacing w:line="0" w:lineRule="atLeast"/>
        <w:ind w:left="3140"/>
        <w:rPr>
          <w:rFonts w:ascii="Times New Roman" w:eastAsia="Times New Roman" w:hAnsi="Times New Roman"/>
          <w:b/>
          <w:sz w:val="36"/>
        </w:rPr>
      </w:pPr>
      <w:bookmarkStart w:id="0" w:name="page1"/>
      <w:bookmarkEnd w:id="0"/>
      <w:r>
        <w:rPr>
          <w:rFonts w:ascii="Times New Roman" w:eastAsia="Times New Roman" w:hAnsi="Times New Roman"/>
          <w:b/>
          <w:sz w:val="36"/>
        </w:rPr>
        <w:t>LIST OF FIGURES</w:t>
      </w:r>
    </w:p>
    <w:p w:rsidR="00AC5902" w:rsidRDefault="00AC5902"/>
    <w:p w:rsidR="00AC5902" w:rsidRDefault="00AC5902"/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3080"/>
        <w:gridCol w:w="3081"/>
        <w:gridCol w:w="3081"/>
      </w:tblGrid>
      <w:tr w:rsidR="00AC5902" w:rsidTr="00B85CE3">
        <w:trPr>
          <w:trHeight w:val="269"/>
        </w:trPr>
        <w:tc>
          <w:tcPr>
            <w:tcW w:w="3080" w:type="dxa"/>
          </w:tcPr>
          <w:p w:rsidR="00AC5902" w:rsidRPr="00786E0D" w:rsidRDefault="00AC5902" w:rsidP="00B85CE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786E0D">
              <w:rPr>
                <w:rFonts w:ascii="Times New Roman" w:hAnsi="Times New Roman" w:cs="Times New Roman"/>
                <w:b/>
                <w:sz w:val="28"/>
                <w:szCs w:val="24"/>
              </w:rPr>
              <w:t>Fig No.</w:t>
            </w:r>
          </w:p>
        </w:tc>
        <w:tc>
          <w:tcPr>
            <w:tcW w:w="3081" w:type="dxa"/>
          </w:tcPr>
          <w:p w:rsidR="00AC5902" w:rsidRPr="00786E0D" w:rsidRDefault="00AC5902" w:rsidP="00AC5902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786E0D">
              <w:rPr>
                <w:rFonts w:ascii="Times New Roman" w:hAnsi="Times New Roman" w:cs="Times New Roman"/>
                <w:b/>
                <w:sz w:val="28"/>
              </w:rPr>
              <w:t>Figure Name</w:t>
            </w:r>
          </w:p>
        </w:tc>
        <w:tc>
          <w:tcPr>
            <w:tcW w:w="3081" w:type="dxa"/>
          </w:tcPr>
          <w:p w:rsidR="00AC5902" w:rsidRPr="00786E0D" w:rsidRDefault="00AC5902" w:rsidP="00B85CE3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786E0D">
              <w:rPr>
                <w:rFonts w:ascii="Times New Roman" w:hAnsi="Times New Roman" w:cs="Times New Roman"/>
                <w:b/>
                <w:sz w:val="28"/>
              </w:rPr>
              <w:t>Page No.</w:t>
            </w:r>
          </w:p>
        </w:tc>
      </w:tr>
      <w:tr w:rsidR="00AC5902" w:rsidTr="00B85CE3">
        <w:trPr>
          <w:trHeight w:val="269"/>
        </w:trPr>
        <w:tc>
          <w:tcPr>
            <w:tcW w:w="3080" w:type="dxa"/>
          </w:tcPr>
          <w:p w:rsidR="00AC5902" w:rsidRPr="00AC5902" w:rsidRDefault="00AC59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</w:tcPr>
          <w:p w:rsidR="00AC5902" w:rsidRDefault="00AC5902"/>
        </w:tc>
        <w:tc>
          <w:tcPr>
            <w:tcW w:w="3081" w:type="dxa"/>
          </w:tcPr>
          <w:p w:rsidR="00AC5902" w:rsidRDefault="00AC5902"/>
        </w:tc>
      </w:tr>
      <w:tr w:rsidR="00AC5902" w:rsidTr="00B85CE3">
        <w:trPr>
          <w:trHeight w:val="924"/>
        </w:trPr>
        <w:tc>
          <w:tcPr>
            <w:tcW w:w="3080" w:type="dxa"/>
          </w:tcPr>
          <w:p w:rsidR="00AC5902" w:rsidRPr="00786E0D" w:rsidRDefault="00AC5902" w:rsidP="00B85C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6E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81" w:type="dxa"/>
          </w:tcPr>
          <w:p w:rsidR="00AC5902" w:rsidRPr="00786E0D" w:rsidRDefault="00AC5902" w:rsidP="00AC5902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86E0D">
              <w:rPr>
                <w:rFonts w:ascii="Times New Roman" w:hAnsi="Times New Roman" w:cs="Times New Roman"/>
                <w:sz w:val="24"/>
                <w:szCs w:val="24"/>
              </w:rPr>
              <w:t>Diagram of our smart mirror prototype.</w:t>
            </w:r>
          </w:p>
          <w:p w:rsidR="00AC5902" w:rsidRPr="00786E0D" w:rsidRDefault="00AC5902">
            <w:pPr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:rsidR="00AC5902" w:rsidRPr="00786E0D" w:rsidRDefault="00AC5902" w:rsidP="00B85CE3">
            <w:pPr>
              <w:jc w:val="center"/>
              <w:rPr>
                <w:sz w:val="24"/>
                <w:szCs w:val="24"/>
              </w:rPr>
            </w:pPr>
            <w:r w:rsidRPr="00786E0D">
              <w:rPr>
                <w:sz w:val="24"/>
                <w:szCs w:val="24"/>
              </w:rPr>
              <w:t>2</w:t>
            </w:r>
          </w:p>
        </w:tc>
      </w:tr>
      <w:tr w:rsidR="00AC5902" w:rsidTr="00B85CE3">
        <w:trPr>
          <w:trHeight w:val="689"/>
        </w:trPr>
        <w:tc>
          <w:tcPr>
            <w:tcW w:w="3080" w:type="dxa"/>
          </w:tcPr>
          <w:p w:rsidR="00AC5902" w:rsidRPr="00786E0D" w:rsidRDefault="00AC5902" w:rsidP="00B85CE3">
            <w:pPr>
              <w:jc w:val="center"/>
              <w:rPr>
                <w:sz w:val="24"/>
                <w:szCs w:val="24"/>
              </w:rPr>
            </w:pPr>
            <w:r w:rsidRPr="00786E0D">
              <w:rPr>
                <w:sz w:val="24"/>
                <w:szCs w:val="24"/>
              </w:rPr>
              <w:t>2</w:t>
            </w:r>
          </w:p>
        </w:tc>
        <w:tc>
          <w:tcPr>
            <w:tcW w:w="3081" w:type="dxa"/>
          </w:tcPr>
          <w:p w:rsidR="00AC5902" w:rsidRPr="00786E0D" w:rsidRDefault="00AC5902" w:rsidP="00B85CE3">
            <w:pPr>
              <w:jc w:val="center"/>
              <w:rPr>
                <w:sz w:val="24"/>
                <w:szCs w:val="24"/>
              </w:rPr>
            </w:pPr>
            <w:r w:rsidRPr="00786E0D">
              <w:rPr>
                <w:rFonts w:ascii="Times New Roman" w:hAnsi="Times New Roman" w:cs="Times New Roman"/>
                <w:sz w:val="24"/>
                <w:szCs w:val="24"/>
              </w:rPr>
              <w:t>Persistent scripts have bi-directional communications with their associated plugin’s client.</w:t>
            </w:r>
          </w:p>
        </w:tc>
        <w:tc>
          <w:tcPr>
            <w:tcW w:w="3081" w:type="dxa"/>
          </w:tcPr>
          <w:p w:rsidR="00AC5902" w:rsidRPr="00786E0D" w:rsidRDefault="00AC5902" w:rsidP="00B85CE3">
            <w:pPr>
              <w:jc w:val="center"/>
              <w:rPr>
                <w:sz w:val="24"/>
                <w:szCs w:val="24"/>
              </w:rPr>
            </w:pPr>
            <w:r w:rsidRPr="00786E0D">
              <w:rPr>
                <w:sz w:val="24"/>
                <w:szCs w:val="24"/>
              </w:rPr>
              <w:t>8</w:t>
            </w:r>
          </w:p>
        </w:tc>
      </w:tr>
      <w:tr w:rsidR="00AC5902" w:rsidTr="00B85CE3">
        <w:trPr>
          <w:trHeight w:val="1158"/>
        </w:trPr>
        <w:tc>
          <w:tcPr>
            <w:tcW w:w="3080" w:type="dxa"/>
          </w:tcPr>
          <w:p w:rsidR="00AC5902" w:rsidRPr="00786E0D" w:rsidRDefault="00AC5902" w:rsidP="00B85CE3">
            <w:pPr>
              <w:jc w:val="center"/>
              <w:rPr>
                <w:sz w:val="24"/>
                <w:szCs w:val="24"/>
              </w:rPr>
            </w:pPr>
            <w:r w:rsidRPr="00786E0D">
              <w:rPr>
                <w:sz w:val="24"/>
                <w:szCs w:val="24"/>
              </w:rPr>
              <w:t>3</w:t>
            </w:r>
          </w:p>
        </w:tc>
        <w:tc>
          <w:tcPr>
            <w:tcW w:w="3081" w:type="dxa"/>
          </w:tcPr>
          <w:p w:rsidR="00AC5902" w:rsidRPr="00786E0D" w:rsidRDefault="00AC5902" w:rsidP="00AC590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6E0D">
              <w:rPr>
                <w:rFonts w:ascii="Times New Roman" w:hAnsi="Times New Roman" w:cs="Times New Roman"/>
                <w:sz w:val="24"/>
                <w:szCs w:val="24"/>
              </w:rPr>
              <w:t>One-shot and periodic plugin scripts have only one-way communications to their associated plugin’s client.</w:t>
            </w:r>
          </w:p>
          <w:p w:rsidR="00AC5902" w:rsidRPr="00786E0D" w:rsidRDefault="00AC5902">
            <w:pPr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:rsidR="00AC5902" w:rsidRPr="00786E0D" w:rsidRDefault="00AC5902" w:rsidP="00B85CE3">
            <w:pPr>
              <w:jc w:val="center"/>
              <w:rPr>
                <w:sz w:val="24"/>
                <w:szCs w:val="24"/>
              </w:rPr>
            </w:pPr>
            <w:r w:rsidRPr="00786E0D">
              <w:rPr>
                <w:sz w:val="24"/>
                <w:szCs w:val="24"/>
              </w:rPr>
              <w:t>10</w:t>
            </w:r>
          </w:p>
        </w:tc>
      </w:tr>
      <w:tr w:rsidR="00AC5902" w:rsidTr="00B85CE3">
        <w:trPr>
          <w:trHeight w:val="1158"/>
        </w:trPr>
        <w:tc>
          <w:tcPr>
            <w:tcW w:w="3080" w:type="dxa"/>
          </w:tcPr>
          <w:p w:rsidR="00AC5902" w:rsidRPr="00786E0D" w:rsidRDefault="00AC5902" w:rsidP="00B85CE3">
            <w:pPr>
              <w:jc w:val="center"/>
              <w:rPr>
                <w:sz w:val="24"/>
                <w:szCs w:val="24"/>
              </w:rPr>
            </w:pPr>
            <w:r w:rsidRPr="00786E0D">
              <w:rPr>
                <w:sz w:val="24"/>
                <w:szCs w:val="24"/>
              </w:rPr>
              <w:t>4</w:t>
            </w:r>
          </w:p>
        </w:tc>
        <w:tc>
          <w:tcPr>
            <w:tcW w:w="3081" w:type="dxa"/>
          </w:tcPr>
          <w:p w:rsidR="00AC5902" w:rsidRPr="00786E0D" w:rsidRDefault="00AC5902" w:rsidP="00AC590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6E0D">
              <w:rPr>
                <w:rFonts w:ascii="Times New Roman" w:hAnsi="Times New Roman" w:cs="Times New Roman"/>
                <w:sz w:val="24"/>
                <w:szCs w:val="24"/>
              </w:rPr>
              <w:t>Illustration of how to extend the Plugin Client API and call a new function that is defined in the extended API.</w:t>
            </w:r>
          </w:p>
          <w:p w:rsidR="00AC5902" w:rsidRPr="00786E0D" w:rsidRDefault="00AC5902" w:rsidP="00AC590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81" w:type="dxa"/>
          </w:tcPr>
          <w:p w:rsidR="00AC5902" w:rsidRPr="00786E0D" w:rsidRDefault="00AC5902" w:rsidP="00B85CE3">
            <w:pPr>
              <w:jc w:val="center"/>
              <w:rPr>
                <w:sz w:val="24"/>
                <w:szCs w:val="24"/>
              </w:rPr>
            </w:pPr>
            <w:r w:rsidRPr="00786E0D">
              <w:rPr>
                <w:sz w:val="24"/>
                <w:szCs w:val="24"/>
              </w:rPr>
              <w:t>10</w:t>
            </w:r>
          </w:p>
        </w:tc>
      </w:tr>
    </w:tbl>
    <w:p w:rsidR="00B148C5" w:rsidRDefault="00B148C5"/>
    <w:sectPr w:rsidR="00B148C5" w:rsidSect="00B148C5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013D" w:rsidRDefault="00DD013D" w:rsidP="006A4905">
      <w:r>
        <w:separator/>
      </w:r>
    </w:p>
  </w:endnote>
  <w:endnote w:type="continuationSeparator" w:id="1">
    <w:p w:rsidR="00DD013D" w:rsidRDefault="00DD013D" w:rsidP="006A49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90972"/>
      <w:docPartObj>
        <w:docPartGallery w:val="Page Numbers (Bottom of Page)"/>
        <w:docPartUnique/>
      </w:docPartObj>
    </w:sdtPr>
    <w:sdtContent>
      <w:p w:rsidR="006A4905" w:rsidRDefault="006A4905">
        <w:pPr>
          <w:pStyle w:val="Footer"/>
          <w:jc w:val="center"/>
        </w:pPr>
        <w:r>
          <w:t>(iv)</w:t>
        </w:r>
      </w:p>
    </w:sdtContent>
  </w:sdt>
  <w:p w:rsidR="006A4905" w:rsidRDefault="006A490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013D" w:rsidRDefault="00DD013D" w:rsidP="006A4905">
      <w:r>
        <w:separator/>
      </w:r>
    </w:p>
  </w:footnote>
  <w:footnote w:type="continuationSeparator" w:id="1">
    <w:p w:rsidR="00DD013D" w:rsidRDefault="00DD013D" w:rsidP="006A490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5902"/>
    <w:rsid w:val="006A4905"/>
    <w:rsid w:val="00786E0D"/>
    <w:rsid w:val="00AC5902"/>
    <w:rsid w:val="00B148C5"/>
    <w:rsid w:val="00B85CE3"/>
    <w:rsid w:val="00DD01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902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590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A490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4905"/>
    <w:rPr>
      <w:rFonts w:ascii="Calibri" w:eastAsia="Calibri" w:hAnsi="Calibri" w:cs="Arial"/>
      <w:sz w:val="20"/>
      <w:szCs w:val="20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6A490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905"/>
    <w:rPr>
      <w:rFonts w:ascii="Calibri" w:eastAsia="Calibri" w:hAnsi="Calibri" w:cs="Arial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Balachandra</dc:creator>
  <cp:lastModifiedBy>Balachandra</cp:lastModifiedBy>
  <cp:revision>3</cp:revision>
  <dcterms:created xsi:type="dcterms:W3CDTF">2017-02-22T06:48:00Z</dcterms:created>
  <dcterms:modified xsi:type="dcterms:W3CDTF">2017-02-22T07:02:00Z</dcterms:modified>
</cp:coreProperties>
</file>