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b8aeb646ad1f43694cf09b9b9c0424b7d0f5069"/>
    <w:p>
      <w:pPr>
        <w:pStyle w:val="Heading1"/>
      </w:pPr>
      <w:r>
        <w:t xml:space="preserve">3. Kiểm định giả thuyết về cường độ chịu nén bê tông</w:t>
      </w:r>
    </w:p>
    <w:p>
      <w:pPr>
        <w:pStyle w:val="FirstParagraph"/>
      </w:pPr>
      <w:r>
        <w:t xml:space="preserve">Hai câu hỏi xem xét mức tăng cường độ theo tuổi trên cùng cấp phối và sự khác biệt cường độ quan sát được giữa bốn kiểu dùng vật liệu bổ sung xi măng (SCM) ở 28 ngày. Đơn vị phân tích là cấp phối; mọi kết luận về SCM trong phần này mang tính liên hệ thống kê.</w:t>
      </w:r>
    </w:p>
    <w:bookmarkStart w:id="24" w:name="cơ-sở-lý-thuyết"/>
    <w:p>
      <w:pPr>
        <w:pStyle w:val="Heading2"/>
      </w:pPr>
      <w:r>
        <w:t xml:space="preserve">3.1. Cơ sở lý thuyết</w:t>
      </w:r>
    </w:p>
    <w:bookmarkStart w:id="20" w:name="quy-trình-chung"/>
    <w:p>
      <w:pPr>
        <w:pStyle w:val="Heading3"/>
      </w:pPr>
      <w:r>
        <w:t xml:space="preserve">3.1.1. Quy trình chung</w:t>
      </w:r>
    </w:p>
    <w:p>
      <w:pPr>
        <w:pStyle w:val="FirstParagraph"/>
      </w:pPr>
      <w:r>
        <w:t xml:space="preserve">Một phép kiểm định gồm: câu hỏi → đơn vị phân tích → giả thuyết H₀/H₁ → điều kiện áp dụng → thống kê kiểm định và p-value → độ lớn chênh lệch và kết luận. Chọn mức ý nghĩa</w:t>
      </w:r>
      <w:r>
        <w:t xml:space="preserve"> </w:t>
      </w:r>
      <w:r>
        <w:rPr>
          <w:bCs/>
          <w:b/>
        </w:rPr>
        <w:t xml:space="preserve">α = 0,05</w:t>
      </w:r>
      <w:r>
        <w:t xml:space="preserve">. Nếu p &lt; α, bác bỏ H₀; nếu p ≥ α, chưa đủ bằng chứng bác bỏ H₀. P-value phản ánh mức độ bất tương thích với H₀ trong mô hình kiểm định, còn ý nghĩa thực tiễn được đọc qua MPa và khoảng tin cậy.</w:t>
      </w:r>
    </w:p>
    <w:p>
      <w:pPr>
        <w:pStyle w:val="BodyText"/>
      </w:pPr>
      <w:r>
        <w:rPr>
          <w:bCs/>
          <w:b/>
        </w:rPr>
        <w:t xml:space="preserve">Khoảng tin cậy 95% (CI)</w:t>
      </w:r>
      <w:r>
        <w:t xml:space="preserve"> </w:t>
      </w:r>
      <w:r>
        <w:t xml:space="preserve">thể hiện độ bất định của ước lượng theo phương pháp lấy mẫu.</w:t>
      </w:r>
      <w:r>
        <w:t xml:space="preserve"> </w:t>
      </w:r>
      <w:r>
        <w:rPr>
          <w:bCs/>
          <w:b/>
        </w:rPr>
        <w:t xml:space="preserve">SD</w:t>
      </w:r>
      <w:r>
        <w:t xml:space="preserve"> </w:t>
      </w:r>
      <w:r>
        <w:t xml:space="preserve">mô tả mức phân tán giữa các quan sát.</w:t>
      </w:r>
      <w:r>
        <w:t xml:space="preserve"> </w:t>
      </w:r>
      <w:r>
        <w:rPr>
          <w:bCs/>
          <w:b/>
        </w:rPr>
        <w:t xml:space="preserve">Kích thước hiệu ứng</w:t>
      </w:r>
      <w:r>
        <w:t xml:space="preserve"> </w:t>
      </w:r>
      <w:r>
        <w:t xml:space="preserve">mô tả độ lớn khác biệt; không thể thay thế nó bằng một p-value nhỏ.</w:t>
      </w:r>
    </w:p>
    <w:bookmarkEnd w:id="20"/>
    <w:bookmarkStart w:id="21" w:name="t-test-so-sánh-hai-trung-bình"/>
    <w:p>
      <w:pPr>
        <w:pStyle w:val="Heading3"/>
      </w:pPr>
      <w:r>
        <w:t xml:space="preserve">3.1.2. t-test: so sánh hai trung bình</w:t>
      </w:r>
    </w:p>
    <w:p>
      <w:pPr>
        <w:pStyle w:val="FirstParagraph"/>
      </w:pPr>
      <w:r>
        <w:rPr>
          <w:bCs/>
          <w:b/>
        </w:rPr>
        <w:t xml:space="preserve">Hai mẫu độc lập — Welch t-test.</w:t>
      </w:r>
      <w:r>
        <w:t xml:space="preserve"> </w:t>
      </w:r>
      <w:r>
        <w:t xml:space="preserve">Dùng khi mỗi quan sát chỉ thuộc một trong hai nhóm và các đơn vị quan sát độc lập. Ký hiệu</w:t>
      </w:r>
      <w:r>
        <w:t xml:space="preserve"> </w:t>
      </w:r>
      <m:oMath>
        <m:sSub>
          <m:e>
            <m:acc>
              <m:accPr>
                <m:chr m:val="‾"/>
              </m:accPr>
              <m:e>
                <m:r>
                  <m:t>x</m:t>
                </m:r>
              </m:e>
            </m:acc>
          </m:e>
          <m:sub>
            <m:r>
              <m:t>j</m:t>
            </m:r>
          </m:sub>
        </m:sSub>
      </m:oMath>
      <w:r>
        <w:t xml:space="preserve">,</w:t>
      </w:r>
      <w:r>
        <w:t xml:space="preserve"> </w:t>
      </w:r>
      <m:oMath>
        <m:sSub>
          <m:e>
            <m:r>
              <m:t>s</m:t>
            </m:r>
          </m:e>
          <m:sub>
            <m:r>
              <m:t>j</m:t>
            </m:r>
          </m:sub>
        </m:sSub>
      </m:oMath>
      <w:r>
        <w:t xml:space="preserve">,</w:t>
      </w:r>
      <w:r>
        <w:t xml:space="preserve"> </w:t>
      </w:r>
      <m:oMath>
        <m:sSub>
          <m:e>
            <m:r>
              <m:t>n</m:t>
            </m:r>
          </m:e>
          <m:sub>
            <m:r>
              <m:t>j</m:t>
            </m:r>
          </m:sub>
        </m:sSub>
      </m:oMath>
      <w:r>
        <w:t xml:space="preserve"> </w:t>
      </w:r>
      <w:r>
        <w:t xml:space="preserve">lần lượt là trung bình, độ lệch chuẩn và số quan sát nhóm j:</w:t>
      </w:r>
    </w:p>
    <w:p>
      <w:pPr>
        <w:pStyle w:val="BodyText"/>
      </w:pPr>
      <m:oMathPara>
        <m:oMathParaPr>
          <m:jc m:val="center"/>
        </m:oMathParaPr>
        <m:oMath>
          <m:r>
            <m:t>t</m:t>
          </m:r>
          <m:r>
            <m:rPr>
              <m:sty m:val="p"/>
            </m:rPr>
            <m:t>=</m:t>
          </m:r>
          <m:f>
            <m:fPr>
              <m:type m:val="bar"/>
            </m:fPr>
            <m:num>
              <m:sSub>
                <m:e>
                  <m:acc>
                    <m:accPr>
                      <m:chr m:val="‾"/>
                    </m:accPr>
                    <m:e>
                      <m:r>
                        <m:t>x</m:t>
                      </m:r>
                    </m:e>
                  </m:acc>
                </m:e>
                <m:sub>
                  <m:r>
                    <m:t>1</m:t>
                  </m:r>
                </m:sub>
              </m:sSub>
              <m:r>
                <m:rPr>
                  <m:sty m:val="p"/>
                </m:rPr>
                <m:t>−</m:t>
              </m:r>
              <m:sSub>
                <m:e>
                  <m:acc>
                    <m:accPr>
                      <m:chr m:val="‾"/>
                    </m:accPr>
                    <m:e>
                      <m:r>
                        <m:t>x</m:t>
                      </m:r>
                    </m:e>
                  </m:acc>
                </m:e>
                <m:sub>
                  <m:r>
                    <m:t>2</m:t>
                  </m:r>
                </m:sub>
              </m:sSub>
            </m:num>
            <m:den>
              <m:rad>
                <m:radPr>
                  <m:degHide m:val="on"/>
                </m:radPr>
                <m:deg/>
                <m:e>
                  <m:sSubSup>
                    <m:e>
                      <m:r>
                        <m:t>s</m:t>
                      </m:r>
                    </m:e>
                    <m:sub>
                      <m:r>
                        <m:t>1</m:t>
                      </m:r>
                    </m:sub>
                    <m:sup>
                      <m:r>
                        <m:t>2</m:t>
                      </m:r>
                    </m:sup>
                  </m:sSubSup>
                  <m:r>
                    <m:rPr>
                      <m:sty m:val="p"/>
                    </m:rPr>
                    <m:t>/</m:t>
                  </m:r>
                  <m:sSub>
                    <m:e>
                      <m:r>
                        <m:t>n</m:t>
                      </m:r>
                    </m:e>
                    <m:sub>
                      <m:r>
                        <m:t>1</m:t>
                      </m:r>
                    </m:sub>
                  </m:sSub>
                  <m:r>
                    <m:rPr>
                      <m:sty m:val="p"/>
                    </m:rPr>
                    <m:t>+</m:t>
                  </m:r>
                  <m:sSubSup>
                    <m:e>
                      <m:r>
                        <m:t>s</m:t>
                      </m:r>
                    </m:e>
                    <m:sub>
                      <m:r>
                        <m:t>2</m:t>
                      </m:r>
                    </m:sub>
                    <m:sup>
                      <m:r>
                        <m:t>2</m:t>
                      </m:r>
                    </m:sup>
                  </m:sSubSup>
                  <m:r>
                    <m:rPr>
                      <m:sty m:val="p"/>
                    </m:rPr>
                    <m:t>/</m:t>
                  </m:r>
                  <m:sSub>
                    <m:e>
                      <m:r>
                        <m:t>n</m:t>
                      </m:r>
                    </m:e>
                    <m:sub>
                      <m:r>
                        <m:t>2</m:t>
                      </m:r>
                    </m:sub>
                  </m:sSub>
                </m:e>
              </m:rad>
            </m:den>
          </m:f>
          <m:r>
            <m:rPr>
              <m:sty m:val="p"/>
            </m:rPr>
            <m:t>,</m:t>
          </m:r>
          <m:r>
            <m:t>  </m:t>
          </m:r>
          <m:r>
            <m:t>ν</m:t>
          </m:r>
          <m:r>
            <m:rPr>
              <m:sty m:val="p"/>
            </m:rPr>
            <m:t>=</m:t>
          </m:r>
          <m:f>
            <m:fPr>
              <m:type m:val="bar"/>
            </m:fPr>
            <m:num>
              <m:sSup>
                <m:e>
                  <m:d>
                    <m:dPr>
                      <m:begChr m:val="("/>
                      <m:endChr m:val=")"/>
                      <m:sepChr m:val=""/>
                      <m:grow/>
                    </m:dPr>
                    <m:e>
                      <m:sSubSup>
                        <m:e>
                          <m:r>
                            <m:t>s</m:t>
                          </m:r>
                        </m:e>
                        <m:sub>
                          <m:r>
                            <m:t>1</m:t>
                          </m:r>
                        </m:sub>
                        <m:sup>
                          <m:r>
                            <m:t>2</m:t>
                          </m:r>
                        </m:sup>
                      </m:sSubSup>
                      <m:r>
                        <m:rPr>
                          <m:sty m:val="p"/>
                        </m:rPr>
                        <m:t>/</m:t>
                      </m:r>
                      <m:sSub>
                        <m:e>
                          <m:r>
                            <m:t>n</m:t>
                          </m:r>
                        </m:e>
                        <m:sub>
                          <m:r>
                            <m:t>1</m:t>
                          </m:r>
                        </m:sub>
                      </m:sSub>
                      <m:r>
                        <m:rPr>
                          <m:sty m:val="p"/>
                        </m:rPr>
                        <m:t>+</m:t>
                      </m:r>
                      <m:sSubSup>
                        <m:e>
                          <m:r>
                            <m:t>s</m:t>
                          </m:r>
                        </m:e>
                        <m:sub>
                          <m:r>
                            <m:t>2</m:t>
                          </m:r>
                        </m:sub>
                        <m:sup>
                          <m:r>
                            <m:t>2</m:t>
                          </m:r>
                        </m:sup>
                      </m:sSubSup>
                      <m:r>
                        <m:rPr>
                          <m:sty m:val="p"/>
                        </m:rPr>
                        <m:t>/</m:t>
                      </m:r>
                      <m:sSub>
                        <m:e>
                          <m:r>
                            <m:t>n</m:t>
                          </m:r>
                        </m:e>
                        <m:sub>
                          <m:r>
                            <m:t>2</m:t>
                          </m:r>
                        </m:sub>
                      </m:sSub>
                    </m:e>
                  </m:d>
                </m:e>
                <m:sup>
                  <m:r>
                    <m:t>2</m:t>
                  </m:r>
                </m:sup>
              </m:sSup>
            </m:num>
            <m:den>
              <m:sSup>
                <m:e>
                  <m:d>
                    <m:dPr>
                      <m:begChr m:val="("/>
                      <m:endChr m:val=")"/>
                      <m:sepChr m:val=""/>
                      <m:grow/>
                    </m:dPr>
                    <m:e>
                      <m:sSubSup>
                        <m:e>
                          <m:r>
                            <m:t>s</m:t>
                          </m:r>
                        </m:e>
                        <m:sub>
                          <m:r>
                            <m:t>1</m:t>
                          </m:r>
                        </m:sub>
                        <m:sup>
                          <m:r>
                            <m:t>2</m:t>
                          </m:r>
                        </m:sup>
                      </m:sSubSup>
                      <m:r>
                        <m:rPr>
                          <m:sty m:val="p"/>
                        </m:rPr>
                        <m:t>/</m:t>
                      </m:r>
                      <m:sSub>
                        <m:e>
                          <m:r>
                            <m:t>n</m:t>
                          </m:r>
                        </m:e>
                        <m:sub>
                          <m:r>
                            <m:t>1</m:t>
                          </m:r>
                        </m:sub>
                      </m:sSub>
                    </m:e>
                  </m:d>
                </m:e>
                <m:sup>
                  <m:r>
                    <m:t>2</m:t>
                  </m:r>
                </m:sup>
              </m:sSup>
              <m:r>
                <m:rPr>
                  <m:sty m:val="p"/>
                </m:rPr>
                <m:t>/</m:t>
              </m:r>
              <m:d>
                <m:dPr>
                  <m:begChr m:val="("/>
                  <m:endChr m:val=")"/>
                  <m:sepChr m:val=""/>
                  <m:grow/>
                </m:dPr>
                <m:e>
                  <m:sSub>
                    <m:e>
                      <m:r>
                        <m:t>n</m:t>
                      </m:r>
                    </m:e>
                    <m:sub>
                      <m:r>
                        <m:t>1</m:t>
                      </m:r>
                    </m:sub>
                  </m:sSub>
                  <m:r>
                    <m:rPr>
                      <m:sty m:val="p"/>
                    </m:rPr>
                    <m:t>−</m:t>
                  </m:r>
                  <m:r>
                    <m:t>1</m:t>
                  </m:r>
                </m:e>
              </m:d>
              <m:r>
                <m:rPr>
                  <m:sty m:val="p"/>
                </m:rPr>
                <m:t>+</m:t>
              </m:r>
              <m:sSup>
                <m:e>
                  <m:d>
                    <m:dPr>
                      <m:begChr m:val="("/>
                      <m:endChr m:val=")"/>
                      <m:sepChr m:val=""/>
                      <m:grow/>
                    </m:dPr>
                    <m:e>
                      <m:sSubSup>
                        <m:e>
                          <m:r>
                            <m:t>s</m:t>
                          </m:r>
                        </m:e>
                        <m:sub>
                          <m:r>
                            <m:t>2</m:t>
                          </m:r>
                        </m:sub>
                        <m:sup>
                          <m:r>
                            <m:t>2</m:t>
                          </m:r>
                        </m:sup>
                      </m:sSubSup>
                      <m:r>
                        <m:rPr>
                          <m:sty m:val="p"/>
                        </m:rPr>
                        <m:t>/</m:t>
                      </m:r>
                      <m:sSub>
                        <m:e>
                          <m:r>
                            <m:t>n</m:t>
                          </m:r>
                        </m:e>
                        <m:sub>
                          <m:r>
                            <m:t>2</m:t>
                          </m:r>
                        </m:sub>
                      </m:sSub>
                    </m:e>
                  </m:d>
                </m:e>
                <m:sup>
                  <m:r>
                    <m:t>2</m:t>
                  </m:r>
                </m:sup>
              </m:sSup>
              <m:r>
                <m:rPr>
                  <m:sty m:val="p"/>
                </m:rPr>
                <m:t>/</m:t>
              </m:r>
              <m:d>
                <m:dPr>
                  <m:begChr m:val="("/>
                  <m:endChr m:val=")"/>
                  <m:sepChr m:val=""/>
                  <m:grow/>
                </m:dPr>
                <m:e>
                  <m:sSub>
                    <m:e>
                      <m:r>
                        <m:t>n</m:t>
                      </m:r>
                    </m:e>
                    <m:sub>
                      <m:r>
                        <m:t>2</m:t>
                      </m:r>
                    </m:sub>
                  </m:sSub>
                  <m:r>
                    <m:rPr>
                      <m:sty m:val="p"/>
                    </m:rPr>
                    <m:t>−</m:t>
                  </m:r>
                  <m:r>
                    <m:t>1</m:t>
                  </m:r>
                </m:e>
              </m:d>
            </m:den>
          </m:f>
          <m:r>
            <m:rPr>
              <m:sty m:val="p"/>
            </m:rPr>
            <m:t>.</m:t>
          </m:r>
        </m:oMath>
      </m:oMathPara>
    </w:p>
    <w:p>
      <w:pPr>
        <w:pStyle w:val="FirstParagraph"/>
      </w:pPr>
      <w:r>
        <w:t xml:space="preserve">Giả thuyết hai phía:</w:t>
      </w:r>
      <w:r>
        <w:t xml:space="preserve"> </w:t>
      </w:r>
      <m:oMath>
        <m:sSub>
          <m:e>
            <m:r>
              <m:t>H</m:t>
            </m:r>
          </m:e>
          <m:sub>
            <m:r>
              <m:t>0</m:t>
            </m:r>
          </m:sub>
        </m:sSub>
        <m:r>
          <m:rPr>
            <m:sty m:val="p"/>
          </m:rPr>
          <m:t>:</m:t>
        </m:r>
        <m:sSub>
          <m:e>
            <m:r>
              <m:t>μ</m:t>
            </m:r>
          </m:e>
          <m:sub>
            <m:r>
              <m:t>1</m:t>
            </m:r>
          </m:sub>
        </m:sSub>
        <m:r>
          <m:rPr>
            <m:sty m:val="p"/>
          </m:rPr>
          <m:t>=</m:t>
        </m:r>
        <m:sSub>
          <m:e>
            <m:r>
              <m:t>μ</m:t>
            </m:r>
          </m:e>
          <m:sub>
            <m:r>
              <m:t>2</m:t>
            </m:r>
          </m:sub>
        </m:sSub>
      </m:oMath>
      <w:r>
        <w:t xml:space="preserve"> </w:t>
      </w:r>
      <w:r>
        <w:t xml:space="preserve">và</w:t>
      </w:r>
      <w:r>
        <w:t xml:space="preserve"> </w:t>
      </w:r>
      <m:oMath>
        <m:sSub>
          <m:e>
            <m:r>
              <m:t>H</m:t>
            </m:r>
          </m:e>
          <m:sub>
            <m:r>
              <m:t>1</m:t>
            </m:r>
          </m:sub>
        </m:sSub>
        <m:r>
          <m:rPr>
            <m:sty m:val="p"/>
          </m:rPr>
          <m:t>:</m:t>
        </m:r>
        <m:sSub>
          <m:e>
            <m:r>
              <m:t>μ</m:t>
            </m:r>
          </m:e>
          <m:sub>
            <m:r>
              <m:t>1</m:t>
            </m:r>
          </m:sub>
        </m:sSub>
        <m:r>
          <m:rPr>
            <m:sty m:val="p"/>
          </m:rPr>
          <m:t>≠</m:t>
        </m:r>
        <m:sSub>
          <m:e>
            <m:r>
              <m:t>μ</m:t>
            </m:r>
          </m:e>
          <m:sub>
            <m:r>
              <m:t>2</m:t>
            </m:r>
          </m:sub>
        </m:sSub>
      </m:oMath>
      <w:r>
        <w:t xml:space="preserve">. Welch cho phép phương sai và số quan sát hai nhóm khác nhau. Với mẫu nhỏ, cần xem hình dạng phân phối và ngoại lai.</w:t>
      </w:r>
    </w:p>
    <w:p>
      <w:pPr>
        <w:pStyle w:val="BodyText"/>
      </w:pPr>
      <w:r>
        <w:rPr>
          <w:bCs/>
          <w:b/>
        </w:rPr>
        <w:t xml:space="preserve">Ví dụ giả lập:</w:t>
      </w:r>
      <w:r>
        <w:t xml:space="preserve"> </w:t>
      </w:r>
      <w:r>
        <w:t xml:space="preserve">hai nhóm độc lập đều có n = 20; trung bình 32 và 36 MPa, SD là 5 và 6 MPa. Khi đó</w:t>
      </w:r>
      <w:r>
        <w:t xml:space="preserve"> </w:t>
      </w:r>
      <m:oMath>
        <m:r>
          <m:t>t</m:t>
        </m:r>
        <m:r>
          <m:rPr>
            <m:sty m:val="p"/>
          </m:rPr>
          <m:t>=</m:t>
        </m:r>
        <m:d>
          <m:dPr>
            <m:begChr m:val="("/>
            <m:endChr m:val=")"/>
            <m:sepChr m:val=""/>
            <m:grow/>
          </m:dPr>
          <m:e>
            <m:r>
              <m:t>32</m:t>
            </m:r>
            <m:r>
              <m:rPr>
                <m:sty m:val="p"/>
              </m:rPr>
              <m:t>−</m:t>
            </m:r>
            <m:r>
              <m:t>36</m:t>
            </m:r>
          </m:e>
        </m:d>
        <m:r>
          <m:rPr>
            <m:sty m:val="p"/>
          </m:rPr>
          <m:t>/</m:t>
        </m:r>
        <m:rad>
          <m:radPr>
            <m:degHide m:val="on"/>
          </m:radPr>
          <m:deg/>
          <m:e>
            <m:r>
              <m:t>25</m:t>
            </m:r>
            <m:r>
              <m:rPr>
                <m:sty m:val="p"/>
              </m:rPr>
              <m:t>/</m:t>
            </m:r>
            <m:r>
              <m:t>20</m:t>
            </m:r>
            <m:r>
              <m:rPr>
                <m:sty m:val="p"/>
              </m:rPr>
              <m:t>+</m:t>
            </m:r>
            <m:r>
              <m:t>36</m:t>
            </m:r>
            <m:r>
              <m:rPr>
                <m:sty m:val="p"/>
              </m:rPr>
              <m:t>/</m:t>
            </m:r>
            <m:r>
              <m:t>20</m:t>
            </m:r>
          </m:e>
        </m:rad>
        <m:r>
          <m:rPr>
            <m:sty m:val="p"/>
          </m:rPr>
          <m:t>≈</m:t>
        </m:r>
        <m:r>
          <m:rPr>
            <m:sty m:val="p"/>
          </m:rPr>
          <m:t>−</m:t>
        </m:r>
        <m:r>
          <m:t>2</m:t>
        </m:r>
        <m:r>
          <m:rPr>
            <m:sty m:val="p"/>
          </m:rPr>
          <m:t>,</m:t>
        </m:r>
        <m:r>
          <m:t>29</m:t>
        </m:r>
      </m:oMath>
      <w:r>
        <w:t xml:space="preserve">. Ví dụ chỉ minh họa công thức; đây không phải số liệu của dự án.</w:t>
      </w:r>
    </w:p>
    <w:p>
      <w:pPr>
        <w:pStyle w:val="BodyText"/>
      </w:pPr>
      <w:r>
        <w:rPr>
          <w:bCs/>
          <w:b/>
        </w:rPr>
        <w:t xml:space="preserve">Hai mẫu ghép — paired t-test.</w:t>
      </w:r>
      <w:r>
        <w:t xml:space="preserve"> </w:t>
      </w:r>
      <w:r>
        <w:t xml:space="preserve">Dùng khi có quy tắc ghép cặp hợp lý. Đặt</w:t>
      </w:r>
      <w:r>
        <w:t xml:space="preserve"> </w:t>
      </w:r>
      <m:oMath>
        <m:sSub>
          <m:e>
            <m:r>
              <m:t>d</m:t>
            </m:r>
          </m:e>
          <m:sub>
            <m:r>
              <m:t>i</m:t>
            </m:r>
          </m:sub>
        </m:sSub>
        <m:r>
          <m:rPr>
            <m:sty m:val="p"/>
          </m:rPr>
          <m:t>=</m:t>
        </m:r>
        <m:sSub>
          <m:e>
            <m:r>
              <m:t>x</m:t>
            </m:r>
          </m:e>
          <m:sub>
            <m:r>
              <m:t>i</m:t>
            </m:r>
            <m:r>
              <m:rPr>
                <m:sty m:val="p"/>
              </m:rPr>
              <m:t>,</m:t>
            </m:r>
            <m:r>
              <m:t>28</m:t>
            </m:r>
          </m:sub>
        </m:sSub>
        <m:r>
          <m:rPr>
            <m:sty m:val="p"/>
          </m:rPr>
          <m:t>−</m:t>
        </m:r>
        <m:sSub>
          <m:e>
            <m:r>
              <m:t>x</m:t>
            </m:r>
          </m:e>
          <m:sub>
            <m:r>
              <m:t>i</m:t>
            </m:r>
            <m:r>
              <m:rPr>
                <m:sty m:val="p"/>
              </m:rPr>
              <m:t>,</m:t>
            </m:r>
            <m:r>
              <m:t>7</m:t>
            </m:r>
          </m:sub>
        </m:sSub>
      </m:oMath>
      <w:r>
        <w:t xml:space="preserve">:</w:t>
      </w:r>
    </w:p>
    <w:p>
      <w:pPr>
        <w:pStyle w:val="BodyText"/>
      </w:pPr>
      <m:oMathPara>
        <m:oMathParaPr>
          <m:jc m:val="center"/>
        </m:oMathParaPr>
        <m:oMath>
          <m:r>
            <m:t>t</m:t>
          </m:r>
          <m:r>
            <m:rPr>
              <m:sty m:val="p"/>
            </m:rPr>
            <m:t>=</m:t>
          </m:r>
          <m:f>
            <m:fPr>
              <m:type m:val="bar"/>
            </m:fPr>
            <m:num>
              <m:acc>
                <m:accPr>
                  <m:chr m:val="‾"/>
                </m:accPr>
                <m:e>
                  <m:r>
                    <m:t>d</m:t>
                  </m:r>
                </m:e>
              </m:acc>
            </m:num>
            <m:den>
              <m:sSub>
                <m:e>
                  <m:r>
                    <m:t>s</m:t>
                  </m:r>
                </m:e>
                <m:sub>
                  <m:r>
                    <m:t>d</m:t>
                  </m:r>
                </m:sub>
              </m:sSub>
              <m:r>
                <m:rPr>
                  <m:sty m:val="p"/>
                </m:rPr>
                <m:t>/</m:t>
              </m:r>
              <m:rad>
                <m:radPr>
                  <m:degHide m:val="on"/>
                </m:radPr>
                <m:deg/>
                <m:e>
                  <m:r>
                    <m:t>n</m:t>
                  </m:r>
                </m:e>
              </m:rad>
            </m:den>
          </m:f>
          <m:r>
            <m:rPr>
              <m:sty m:val="p"/>
            </m:rPr>
            <m:t>,</m:t>
          </m:r>
          <m:r>
            <m:t> </m:t>
          </m:r>
          <m:r>
            <m:t>d</m:t>
          </m:r>
          <m:r>
            <m:t>f</m:t>
          </m:r>
          <m:r>
            <m:rPr>
              <m:sty m:val="p"/>
            </m:rPr>
            <m:t>=</m:t>
          </m:r>
          <m:r>
            <m:t>n</m:t>
          </m:r>
          <m:r>
            <m:rPr>
              <m:sty m:val="p"/>
            </m:rPr>
            <m:t>−</m:t>
          </m:r>
          <m:r>
            <m:t>1</m:t>
          </m:r>
          <m:r>
            <m:rPr>
              <m:sty m:val="p"/>
            </m:rPr>
            <m:t>,</m:t>
          </m:r>
          <m:r>
            <m:t>  </m:t>
          </m:r>
          <m:r>
            <m:t>C</m:t>
          </m:r>
          <m:sSub>
            <m:e>
              <m:r>
                <m:t>I</m:t>
              </m:r>
            </m:e>
            <m:sub>
              <m:r>
                <m:t>95</m:t>
              </m:r>
              <m:r>
                <m:rPr>
                  <m:sty m:val="p"/>
                </m:rPr>
                <m:t>%</m:t>
              </m:r>
            </m:sub>
          </m:sSub>
          <m:r>
            <m:rPr>
              <m:sty m:val="p"/>
            </m:rPr>
            <m:t>=</m:t>
          </m:r>
          <m:acc>
            <m:accPr>
              <m:chr m:val="‾"/>
            </m:accPr>
            <m:e>
              <m:r>
                <m:t>d</m:t>
              </m:r>
            </m:e>
          </m:acc>
          <m:r>
            <m:rPr>
              <m:sty m:val="p"/>
            </m:rPr>
            <m:t>±</m:t>
          </m:r>
          <m:sSub>
            <m:e>
              <m:r>
                <m:t>t</m:t>
              </m:r>
            </m:e>
            <m:sub>
              <m:r>
                <m:t>0</m:t>
              </m:r>
              <m:r>
                <m:rPr>
                  <m:sty m:val="p"/>
                </m:rPr>
                <m:t>,</m:t>
              </m:r>
              <m:r>
                <m:t>975</m:t>
              </m:r>
              <m:r>
                <m:rPr>
                  <m:sty m:val="p"/>
                </m:rPr>
                <m:t>;</m:t>
              </m:r>
              <m:r>
                <m:t>n</m:t>
              </m:r>
              <m:r>
                <m:rPr>
                  <m:sty m:val="p"/>
                </m:rPr>
                <m:t>−</m:t>
              </m:r>
              <m:r>
                <m:t>1</m:t>
              </m:r>
            </m:sub>
          </m:sSub>
          <m:f>
            <m:fPr>
              <m:type m:val="bar"/>
            </m:fPr>
            <m:num>
              <m:sSub>
                <m:e>
                  <m:r>
                    <m:t>s</m:t>
                  </m:r>
                </m:e>
                <m:sub>
                  <m:r>
                    <m:t>d</m:t>
                  </m:r>
                </m:sub>
              </m:sSub>
            </m:num>
            <m:den>
              <m:rad>
                <m:radPr>
                  <m:degHide m:val="on"/>
                </m:radPr>
                <m:deg/>
                <m:e>
                  <m:r>
                    <m:t>n</m:t>
                  </m:r>
                </m:e>
              </m:rad>
            </m:den>
          </m:f>
          <m:r>
            <m:rPr>
              <m:sty m:val="p"/>
            </m:rPr>
            <m:t>.</m:t>
          </m:r>
        </m:oMath>
      </m:oMathPara>
    </w:p>
    <w:p>
      <w:pPr>
        <w:pStyle w:val="FirstParagraph"/>
      </w:pPr>
      <w:r>
        <w:t xml:space="preserve">Các cặp cần đủ độc lập với nhau. Điều kiện phân phối được xét trên</w:t>
      </w:r>
      <w:r>
        <w:t xml:space="preserve"> </w:t>
      </w:r>
      <w:r>
        <w:rPr>
          <w:bCs/>
          <w:b/>
        </w:rPr>
        <w:t xml:space="preserve">chênh lệch d</w:t>
      </w:r>
      <w:r>
        <w:t xml:space="preserve">, vì kiểm định thực chất là t-test một mẫu trên d. Cohen’s</w:t>
      </w:r>
      <w:r>
        <w:t xml:space="preserve"> </w:t>
      </w:r>
      <m:oMath>
        <m:sSub>
          <m:e>
            <m:r>
              <m:t>d</m:t>
            </m:r>
          </m:e>
          <m:sub>
            <m:r>
              <m:t>z</m:t>
            </m:r>
          </m:sub>
        </m:sSub>
        <m:r>
          <m:rPr>
            <m:sty m:val="p"/>
          </m:rPr>
          <m:t>=</m:t>
        </m:r>
        <m:acc>
          <m:accPr>
            <m:chr m:val="‾"/>
          </m:accPr>
          <m:e>
            <m:r>
              <m:t>d</m:t>
            </m:r>
          </m:e>
        </m:acc>
        <m:r>
          <m:rPr>
            <m:sty m:val="p"/>
          </m:rPr>
          <m:t>/</m:t>
        </m:r>
        <m:sSub>
          <m:e>
            <m:r>
              <m:t>s</m:t>
            </m:r>
          </m:e>
          <m:sub>
            <m:r>
              <m:t>d</m:t>
            </m:r>
          </m:sub>
        </m:sSub>
      </m:oMath>
      <w:r>
        <w:t xml:space="preserve"> </w:t>
      </w:r>
      <w:r>
        <w:t xml:space="preserve">chuẩn hóa chênh lệch theo độ lệch chuẩn của d.</w:t>
      </w:r>
    </w:p>
    <w:p>
      <w:pPr>
        <w:pStyle w:val="BodyText"/>
      </w:pPr>
      <w:r>
        <w:rPr>
          <w:bCs/>
          <w:b/>
        </w:rPr>
        <w:t xml:space="preserve">Ví dụ giả lập:</w:t>
      </w:r>
      <w:r>
        <w:t xml:space="preserve"> </w:t>
      </w:r>
      <w:r>
        <w:t xml:space="preserve">năm chênh lệch [2, 3, 4, 5, 6] có</w:t>
      </w:r>
      <w:r>
        <w:t xml:space="preserve"> </w:t>
      </w:r>
      <m:oMath>
        <m:acc>
          <m:accPr>
            <m:chr m:val="‾"/>
          </m:accPr>
          <m:e>
            <m:r>
              <m:t>d</m:t>
            </m:r>
          </m:e>
        </m:acc>
        <m:r>
          <m:rPr>
            <m:sty m:val="p"/>
          </m:rPr>
          <m:t>=</m:t>
        </m:r>
        <m:r>
          <m:t>4</m:t>
        </m:r>
      </m:oMath>
      <w:r>
        <w:t xml:space="preserve">,</w:t>
      </w:r>
      <w:r>
        <w:t xml:space="preserve"> </w:t>
      </w:r>
      <m:oMath>
        <m:sSub>
          <m:e>
            <m:r>
              <m:t>s</m:t>
            </m:r>
          </m:e>
          <m:sub>
            <m:r>
              <m:t>d</m:t>
            </m:r>
          </m:sub>
        </m:sSub>
        <m:r>
          <m:rPr>
            <m:sty m:val="p"/>
          </m:rPr>
          <m:t>=</m:t>
        </m:r>
        <m:rad>
          <m:radPr>
            <m:degHide m:val="on"/>
          </m:radPr>
          <m:deg/>
          <m:e>
            <m:r>
              <m:t>2</m:t>
            </m:r>
            <m:r>
              <m:rPr>
                <m:sty m:val="p"/>
              </m:rPr>
              <m:t>,</m:t>
            </m:r>
            <m:r>
              <m:t>5</m:t>
            </m:r>
          </m:e>
        </m:rad>
      </m:oMath>
      <w:r>
        <w:t xml:space="preserve">, nên</w:t>
      </w:r>
      <w:r>
        <w:t xml:space="preserve"> </w:t>
      </w:r>
      <m:oMath>
        <m:r>
          <m:t>t</m:t>
        </m:r>
        <m:r>
          <m:rPr>
            <m:sty m:val="p"/>
          </m:rPr>
          <m:t>=</m:t>
        </m:r>
        <m:r>
          <m:t>5</m:t>
        </m:r>
        <m:r>
          <m:rPr>
            <m:sty m:val="p"/>
          </m:rPr>
          <m:t>,</m:t>
        </m:r>
        <m:r>
          <m:t>657</m:t>
        </m:r>
      </m:oMath>
      <w:r>
        <w:t xml:space="preserve"> </w:t>
      </w:r>
      <w:r>
        <w:t xml:space="preserve">với 4 bậc tự do. Trong bài, ghép theo thành phần cấp phối và đo cường độ của các mẫu ở hai tuổi; không cần coi đó là cùng một mẫu vật được nén hai lần.</w:t>
      </w:r>
    </w:p>
    <w:bookmarkEnd w:id="21"/>
    <w:bookmarkStart w:id="22" w:name="X1cf93cd6bcda36d0846679df83b688076cbc9c3"/>
    <w:p>
      <w:pPr>
        <w:pStyle w:val="Heading3"/>
      </w:pPr>
      <w:r>
        <w:t xml:space="preserve">3.1.3. Chi-square: liên hệ giữa hai biến phân loại</w:t>
      </w:r>
    </w:p>
    <w:p>
      <w:pPr>
        <w:pStyle w:val="FirstParagraph"/>
      </w:pPr>
      <m:oMath>
        <m:sSub>
          <m:e>
            <m:r>
              <m:t>H</m:t>
            </m:r>
          </m:e>
          <m:sub>
            <m:r>
              <m:t>0</m:t>
            </m:r>
          </m:sub>
        </m:sSub>
      </m:oMath>
      <w:r>
        <w:t xml:space="preserve">: hai biến phân loại độc lập;</w:t>
      </w:r>
      <w:r>
        <w:t xml:space="preserve"> </w:t>
      </w:r>
      <m:oMath>
        <m:sSub>
          <m:e>
            <m:r>
              <m:t>H</m:t>
            </m:r>
          </m:e>
          <m:sub>
            <m:r>
              <m:t>1</m:t>
            </m:r>
          </m:sub>
        </m:sSub>
      </m:oMath>
      <w:r>
        <w:t xml:space="preserve">: chúng có liên hệ. Với bảng r hàng, c cột và tổng N:</w:t>
      </w:r>
    </w:p>
    <w:p>
      <w:pPr>
        <w:pStyle w:val="BodyText"/>
      </w:pPr>
      <m:oMathPara>
        <m:oMathParaPr>
          <m:jc m:val="center"/>
        </m:oMathParaPr>
        <m:oMath>
          <m:sSub>
            <m:e>
              <m:r>
                <m:t>E</m:t>
              </m:r>
            </m:e>
            <m:sub>
              <m:r>
                <m:t>i</m:t>
              </m:r>
              <m:r>
                <m:t>j</m:t>
              </m:r>
            </m:sub>
          </m:sSub>
          <m:r>
            <m:rPr>
              <m:sty m:val="p"/>
            </m:rPr>
            <m:t>=</m:t>
          </m:r>
          <m:f>
            <m:fPr>
              <m:type m:val="bar"/>
            </m:fPr>
            <m:num>
              <m:sSub>
                <m:e>
                  <m:r>
                    <m:t>n</m:t>
                  </m:r>
                </m:e>
                <m:sub>
                  <m:r>
                    <m:t>i</m:t>
                  </m:r>
                  <m:r>
                    <m:rPr>
                      <m:sty m:val="p"/>
                    </m:rPr>
                    <m:t>⋅</m:t>
                  </m:r>
                </m:sub>
              </m:sSub>
              <m:sSub>
                <m:e>
                  <m:r>
                    <m:t>n</m:t>
                  </m:r>
                </m:e>
                <m:sub>
                  <m:r>
                    <m:rPr>
                      <m:sty m:val="p"/>
                    </m:rPr>
                    <m:t>⋅</m:t>
                  </m:r>
                  <m:r>
                    <m:t>j</m:t>
                  </m:r>
                </m:sub>
              </m:sSub>
            </m:num>
            <m:den>
              <m:r>
                <m:t>N</m:t>
              </m:r>
            </m:den>
          </m:f>
          <m:r>
            <m:rPr>
              <m:sty m:val="p"/>
            </m:rPr>
            <m:t>,</m:t>
          </m:r>
          <m:r>
            <m:t>  </m:t>
          </m:r>
          <m:sSup>
            <m:e>
              <m:r>
                <m:t>χ</m:t>
              </m:r>
            </m:e>
            <m:sup>
              <m:r>
                <m:t>2</m:t>
              </m:r>
            </m:sup>
          </m:sSup>
          <m:r>
            <m:rPr>
              <m:sty m:val="p"/>
            </m:rPr>
            <m:t>=</m:t>
          </m:r>
          <m:nary>
            <m:naryPr>
              <m:chr m:val="∑"/>
              <m:limLoc m:val="undOvr"/>
              <m:subHide m:val="off"/>
              <m:supHide m:val="off"/>
            </m:naryPr>
            <m:sub>
              <m:r>
                <m:t>i</m:t>
              </m:r>
              <m:r>
                <m:rPr>
                  <m:sty m:val="p"/>
                </m:rPr>
                <m:t>=</m:t>
              </m:r>
              <m:r>
                <m:t>1</m:t>
              </m:r>
            </m:sub>
            <m:sup>
              <m:r>
                <m:t>r</m:t>
              </m:r>
            </m:sup>
            <m:e>
              <m:nary>
                <m:naryPr>
                  <m:chr m:val="∑"/>
                  <m:limLoc m:val="undOvr"/>
                  <m:subHide m:val="off"/>
                  <m:supHide m:val="off"/>
                </m:naryPr>
                <m:sub>
                  <m:r>
                    <m:t>j</m:t>
                  </m:r>
                  <m:r>
                    <m:rPr>
                      <m:sty m:val="p"/>
                    </m:rPr>
                    <m:t>=</m:t>
                  </m:r>
                  <m:r>
                    <m:t>1</m:t>
                  </m:r>
                </m:sub>
                <m:sup>
                  <m:r>
                    <m:t>c</m:t>
                  </m:r>
                </m:sup>
                <m:e>
                  <m:f>
                    <m:fPr>
                      <m:type m:val="bar"/>
                    </m:fPr>
                    <m:num>
                      <m:sSup>
                        <m:e>
                          <m:d>
                            <m:dPr>
                              <m:begChr m:val="("/>
                              <m:endChr m:val=")"/>
                              <m:sepChr m:val=""/>
                              <m:grow/>
                            </m:dPr>
                            <m:e>
                              <m:sSub>
                                <m:e>
                                  <m:r>
                                    <m:t>O</m:t>
                                  </m:r>
                                </m:e>
                                <m:sub>
                                  <m:r>
                                    <m:t>i</m:t>
                                  </m:r>
                                  <m:r>
                                    <m:t>j</m:t>
                                  </m:r>
                                </m:sub>
                              </m:sSub>
                              <m:r>
                                <m:rPr>
                                  <m:sty m:val="p"/>
                                </m:rPr>
                                <m:t>−</m:t>
                              </m:r>
                              <m:sSub>
                                <m:e>
                                  <m:r>
                                    <m:t>E</m:t>
                                  </m:r>
                                </m:e>
                                <m:sub>
                                  <m:r>
                                    <m:t>i</m:t>
                                  </m:r>
                                  <m:r>
                                    <m:t>j</m:t>
                                  </m:r>
                                </m:sub>
                              </m:sSub>
                            </m:e>
                          </m:d>
                        </m:e>
                        <m:sup>
                          <m:r>
                            <m:t>2</m:t>
                          </m:r>
                        </m:sup>
                      </m:sSup>
                    </m:num>
                    <m:den>
                      <m:sSub>
                        <m:e>
                          <m:r>
                            <m:t>E</m:t>
                          </m:r>
                        </m:e>
                        <m:sub>
                          <m:r>
                            <m:t>i</m:t>
                          </m:r>
                          <m:r>
                            <m:t>j</m:t>
                          </m:r>
                        </m:sub>
                      </m:sSub>
                    </m:den>
                  </m:f>
                </m:e>
              </m:nary>
            </m:e>
          </m:nary>
          <m:r>
            <m:rPr>
              <m:sty m:val="p"/>
            </m:rPr>
            <m:t>,</m:t>
          </m:r>
          <m:r>
            <m:t>  </m:t>
          </m:r>
          <m:r>
            <m:t>d</m:t>
          </m:r>
          <m:r>
            <m:t>f</m:t>
          </m:r>
          <m:r>
            <m:rPr>
              <m:sty m:val="p"/>
            </m:rPr>
            <m:t>=</m:t>
          </m:r>
          <m:d>
            <m:dPr>
              <m:begChr m:val="("/>
              <m:endChr m:val=")"/>
              <m:sepChr m:val=""/>
              <m:grow/>
            </m:dPr>
            <m:e>
              <m:r>
                <m:t>r</m:t>
              </m:r>
              <m:r>
                <m:rPr>
                  <m:sty m:val="p"/>
                </m:rPr>
                <m:t>−</m:t>
              </m:r>
              <m:r>
                <m:t>1</m:t>
              </m:r>
            </m:e>
          </m:d>
          <m:d>
            <m:dPr>
              <m:begChr m:val="("/>
              <m:endChr m:val=")"/>
              <m:sepChr m:val=""/>
              <m:grow/>
            </m:dPr>
            <m:e>
              <m:r>
                <m:t>c</m:t>
              </m:r>
              <m:r>
                <m:rPr>
                  <m:sty m:val="p"/>
                </m:rPr>
                <m:t>−</m:t>
              </m:r>
              <m:r>
                <m:t>1</m:t>
              </m:r>
            </m:e>
          </m:d>
          <m:r>
            <m:rPr>
              <m:sty m:val="p"/>
            </m:rPr>
            <m:t>.</m:t>
          </m:r>
        </m:oMath>
      </m:oMathPara>
    </w:p>
    <w:p>
      <w:pPr>
        <w:pStyle w:val="FirstParagraph"/>
      </w:pPr>
      <m:oMath>
        <m:sSub>
          <m:e>
            <m:r>
              <m:t>O</m:t>
            </m:r>
          </m:e>
          <m:sub>
            <m:r>
              <m:t>i</m:t>
            </m:r>
            <m:r>
              <m:t>j</m:t>
            </m:r>
          </m:sub>
        </m:sSub>
      </m:oMath>
      <w:r>
        <w:t xml:space="preserve"> </w:t>
      </w:r>
      <w:r>
        <w:t xml:space="preserve">là số đếm quan sát;</w:t>
      </w:r>
      <w:r>
        <w:t xml:space="preserve"> </w:t>
      </w:r>
      <m:oMath>
        <m:sSub>
          <m:e>
            <m:r>
              <m:t>E</m:t>
            </m:r>
          </m:e>
          <m:sub>
            <m:r>
              <m:t>i</m:t>
            </m:r>
            <m:r>
              <m:t>j</m:t>
            </m:r>
          </m:sub>
        </m:sSub>
      </m:oMath>
      <w:r>
        <w:t xml:space="preserve"> </w:t>
      </w:r>
      <w:r>
        <w:t xml:space="preserve">là số đếm kỳ vọng nếu H₀ đúng. Mỗi đơn vị chỉ đóng góp vào một ô, các đơn vị độc lập, và tần số kỳ vọng phải đủ lớn. Ở phần minh họa của bài, mọi tần số kỳ vọng đều ít nhất bằng 5. Hệ số Cramér’s</w:t>
      </w:r>
      <w:r>
        <w:t xml:space="preserve"> </w:t>
      </w:r>
      <m:oMath>
        <m:r>
          <m:t>V</m:t>
        </m:r>
        <m:r>
          <m:rPr>
            <m:sty m:val="p"/>
          </m:rPr>
          <m:t>=</m:t>
        </m:r>
        <m:rad>
          <m:radPr>
            <m:degHide m:val="on"/>
          </m:radPr>
          <m:deg/>
          <m:e>
            <m:sSup>
              <m:e>
                <m:r>
                  <m:t>χ</m:t>
                </m:r>
              </m:e>
              <m:sup>
                <m:r>
                  <m:t>2</m:t>
                </m:r>
              </m:sup>
            </m:sSup>
            <m:r>
              <m:rPr>
                <m:sty m:val="p"/>
              </m:rPr>
              <m:t>/</m:t>
            </m:r>
            <m:d>
              <m:dPr>
                <m:begChr m:val="["/>
                <m:endChr m:val="]"/>
                <m:sepChr m:val=""/>
                <m:grow/>
              </m:dPr>
              <m:e>
                <m:r>
                  <m:t>N</m:t>
                </m:r>
                <m:r>
                  <m:rPr>
                    <m:sty m:val="p"/>
                  </m:rPr>
                  <m:t>min</m:t>
                </m:r>
                <m:d>
                  <m:dPr>
                    <m:begChr m:val="("/>
                    <m:endChr m:val=")"/>
                    <m:sepChr m:val=""/>
                    <m:grow/>
                  </m:dPr>
                  <m:e>
                    <m:r>
                      <m:t>r</m:t>
                    </m:r>
                    <m:r>
                      <m:rPr>
                        <m:sty m:val="p"/>
                      </m:rPr>
                      <m:t>−</m:t>
                    </m:r>
                    <m:r>
                      <m:t>1</m:t>
                    </m:r>
                    <m:r>
                      <m:rPr>
                        <m:sty m:val="p"/>
                      </m:rPr>
                      <m:t>,</m:t>
                    </m:r>
                    <m:r>
                      <m:t>c</m:t>
                    </m:r>
                    <m:r>
                      <m:rPr>
                        <m:sty m:val="p"/>
                      </m:rPr>
                      <m:t>−</m:t>
                    </m:r>
                    <m:r>
                      <m:t>1</m:t>
                    </m:r>
                  </m:e>
                </m:d>
              </m:e>
            </m:d>
          </m:e>
        </m:rad>
      </m:oMath>
      <w:r>
        <w:t xml:space="preserve"> </w:t>
      </w:r>
      <w:r>
        <w:t xml:space="preserve">mô tả độ lớn liên hệ.</w:t>
      </w:r>
    </w:p>
    <w:p>
      <w:pPr>
        <w:pStyle w:val="BodyText"/>
      </w:pPr>
      <w:r>
        <w:rPr>
          <w:bCs/>
          <w:b/>
        </w:rPr>
        <w:t xml:space="preserve">Ví dụ giả lập:</w:t>
      </w:r>
      <w:r>
        <w:t xml:space="preserve"> </w:t>
      </w:r>
      <w:r>
        <w:t xml:space="preserve">hai nhóm A/B có số lượng đạt/không đạt lần lượt [30, 20] và [20, 30]. Bốn tần số kỳ vọng đều bằng 25; χ² = 4 và df = 1 khi không dùng hiệu chỉnh liên tục. Đây là một bảng số đếm, không dùng trực tiếp các giá trị MPa làm tần số.</w:t>
      </w:r>
    </w:p>
    <w:bookmarkEnd w:id="22"/>
    <w:bookmarkStart w:id="23" w:name="anova-so-sánh-từ-ba-trung-bình"/>
    <w:p>
      <w:pPr>
        <w:pStyle w:val="Heading3"/>
      </w:pPr>
      <w:r>
        <w:t xml:space="preserve">3.1.4. ANOVA: so sánh từ ba trung bình</w:t>
      </w:r>
    </w:p>
    <w:p>
      <w:pPr>
        <w:pStyle w:val="FirstParagraph"/>
      </w:pPr>
      <m:oMath>
        <m:sSub>
          <m:e>
            <m:r>
              <m:t>H</m:t>
            </m:r>
          </m:e>
          <m:sub>
            <m:r>
              <m:t>0</m:t>
            </m:r>
          </m:sub>
        </m:sSub>
        <m:r>
          <m:rPr>
            <m:sty m:val="p"/>
          </m:rPr>
          <m:t>:</m:t>
        </m:r>
        <m:sSub>
          <m:e>
            <m:r>
              <m:t>μ</m:t>
            </m:r>
          </m:e>
          <m:sub>
            <m:r>
              <m:t>1</m:t>
            </m:r>
          </m:sub>
        </m:sSub>
        <m:r>
          <m:rPr>
            <m:sty m:val="p"/>
          </m:rPr>
          <m:t>=</m:t>
        </m:r>
        <m:r>
          <m:rPr>
            <m:sty m:val="p"/>
          </m:rPr>
          <m:t>⋯</m:t>
        </m:r>
        <m:r>
          <m:rPr>
            <m:sty m:val="p"/>
          </m:rPr>
          <m:t>=</m:t>
        </m:r>
        <m:sSub>
          <m:e>
            <m:r>
              <m:t>μ</m:t>
            </m:r>
          </m:e>
          <m:sub>
            <m:r>
              <m:t>k</m:t>
            </m:r>
          </m:sub>
        </m:sSub>
      </m:oMath>
      <w:r>
        <w:t xml:space="preserve">;</w:t>
      </w:r>
      <w:r>
        <w:t xml:space="preserve"> </w:t>
      </w:r>
      <m:oMath>
        <m:sSub>
          <m:e>
            <m:r>
              <m:t>H</m:t>
            </m:r>
          </m:e>
          <m:sub>
            <m:r>
              <m:t>1</m:t>
            </m:r>
          </m:sub>
        </m:sSub>
      </m:oMath>
      <w:r>
        <w:t xml:space="preserve">: có ít nhất một trung bình khác. Với N quan sát:</w:t>
      </w:r>
    </w:p>
    <w:p>
      <w:pPr>
        <w:pStyle w:val="BodyText"/>
      </w:pPr>
      <m:oMathPara>
        <m:oMathParaPr>
          <m:jc m:val="center"/>
        </m:oMathParaPr>
        <m:oMath>
          <m:r>
            <m:t>S</m:t>
          </m:r>
          <m:r>
            <m:t>S</m:t>
          </m:r>
          <m:r>
            <m:t>B</m:t>
          </m:r>
          <m:r>
            <m:rPr>
              <m:sty m:val="p"/>
            </m:rPr>
            <m:t>=</m:t>
          </m:r>
          <m:nary>
            <m:naryPr>
              <m:chr m:val="∑"/>
              <m:limLoc m:val="undOvr"/>
              <m:subHide m:val="off"/>
              <m:supHide m:val="off"/>
            </m:naryPr>
            <m:sub>
              <m:r>
                <m:t>j</m:t>
              </m:r>
              <m:r>
                <m:rPr>
                  <m:sty m:val="p"/>
                </m:rPr>
                <m:t>=</m:t>
              </m:r>
              <m:r>
                <m:t>1</m:t>
              </m:r>
            </m:sub>
            <m:sup>
              <m:r>
                <m:t>k</m:t>
              </m:r>
            </m:sup>
            <m:e>
              <m:sSub>
                <m:e>
                  <m:r>
                    <m:t>n</m:t>
                  </m:r>
                </m:e>
                <m:sub>
                  <m:r>
                    <m:t>j</m:t>
                  </m:r>
                </m:sub>
              </m:sSub>
            </m:e>
          </m:nary>
          <m:sSup>
            <m:e>
              <m:d>
                <m:dPr>
                  <m:begChr m:val="("/>
                  <m:endChr m:val=")"/>
                  <m:sepChr m:val=""/>
                  <m:grow/>
                </m:dPr>
                <m:e>
                  <m:sSub>
                    <m:e>
                      <m:acc>
                        <m:accPr>
                          <m:chr m:val="‾"/>
                        </m:accPr>
                        <m:e>
                          <m:r>
                            <m:t>x</m:t>
                          </m:r>
                        </m:e>
                      </m:acc>
                    </m:e>
                    <m:sub>
                      <m:r>
                        <m:t>j</m:t>
                      </m:r>
                    </m:sub>
                  </m:sSub>
                  <m:r>
                    <m:rPr>
                      <m:sty m:val="p"/>
                    </m:rPr>
                    <m:t>−</m:t>
                  </m:r>
                  <m:acc>
                    <m:accPr>
                      <m:chr m:val="‾"/>
                    </m:accPr>
                    <m:e>
                      <m:r>
                        <m:t>x</m:t>
                      </m:r>
                    </m:e>
                  </m:acc>
                </m:e>
              </m:d>
            </m:e>
            <m:sup>
              <m:r>
                <m:t>2</m:t>
              </m:r>
            </m:sup>
          </m:sSup>
          <m:r>
            <m:rPr>
              <m:sty m:val="p"/>
            </m:rPr>
            <m:t>,</m:t>
          </m:r>
          <m:r>
            <m:t>  </m:t>
          </m:r>
          <m:r>
            <m:t>S</m:t>
          </m:r>
          <m:r>
            <m:t>S</m:t>
          </m:r>
          <m:r>
            <m:t>W</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sSub>
                    <m:e>
                      <m:r>
                        <m:t>n</m:t>
                      </m:r>
                    </m:e>
                    <m:sub>
                      <m:r>
                        <m:t>j</m:t>
                      </m:r>
                    </m:sub>
                  </m:sSub>
                </m:sup>
                <m:e>
                  <m:sSup>
                    <m:e>
                      <m:d>
                        <m:dPr>
                          <m:begChr m:val="("/>
                          <m:endChr m:val=")"/>
                          <m:sepChr m:val=""/>
                          <m:grow/>
                        </m:dPr>
                        <m:e>
                          <m:sSub>
                            <m:e>
                              <m:r>
                                <m:t>x</m:t>
                              </m:r>
                            </m:e>
                            <m:sub>
                              <m:r>
                                <m:t>i</m:t>
                              </m:r>
                              <m:r>
                                <m:t>j</m:t>
                              </m:r>
                            </m:sub>
                          </m:sSub>
                          <m:r>
                            <m:rPr>
                              <m:sty m:val="p"/>
                            </m:rPr>
                            <m:t>−</m:t>
                          </m:r>
                          <m:sSub>
                            <m:e>
                              <m:acc>
                                <m:accPr>
                                  <m:chr m:val="‾"/>
                                </m:accPr>
                                <m:e>
                                  <m:r>
                                    <m:t>x</m:t>
                                  </m:r>
                                </m:e>
                              </m:acc>
                            </m:e>
                            <m:sub>
                              <m:r>
                                <m:t>j</m:t>
                              </m:r>
                            </m:sub>
                          </m:sSub>
                        </m:e>
                      </m:d>
                    </m:e>
                    <m:sup>
                      <m:r>
                        <m:t>2</m:t>
                      </m:r>
                    </m:sup>
                  </m:sSup>
                </m:e>
              </m:nary>
            </m:e>
          </m:nary>
          <m:r>
            <m:rPr>
              <m:sty m:val="p"/>
            </m:rPr>
            <m:t>,</m:t>
          </m:r>
        </m:oMath>
      </m:oMathPara>
    </w:p>
    <w:p>
      <w:pPr>
        <w:pStyle w:val="FirstParagraph"/>
      </w:pPr>
      <m:oMathPara>
        <m:oMathParaPr>
          <m:jc m:val="center"/>
        </m:oMathParaPr>
        <m:oMath>
          <m:r>
            <m:t>F</m:t>
          </m:r>
          <m:r>
            <m:rPr>
              <m:sty m:val="p"/>
            </m:rPr>
            <m:t>=</m:t>
          </m:r>
          <m:f>
            <m:fPr>
              <m:type m:val="bar"/>
            </m:fPr>
            <m:num>
              <m:r>
                <m:t>M</m:t>
              </m:r>
              <m:r>
                <m:t>S</m:t>
              </m:r>
              <m:r>
                <m:t>B</m:t>
              </m:r>
            </m:num>
            <m:den>
              <m:r>
                <m:t>M</m:t>
              </m:r>
              <m:r>
                <m:t>S</m:t>
              </m:r>
              <m:r>
                <m:t>W</m:t>
              </m:r>
            </m:den>
          </m:f>
          <m:r>
            <m:rPr>
              <m:sty m:val="p"/>
            </m:rPr>
            <m:t>=</m:t>
          </m:r>
          <m:f>
            <m:fPr>
              <m:type m:val="bar"/>
            </m:fPr>
            <m:num>
              <m:r>
                <m:t>S</m:t>
              </m:r>
              <m:r>
                <m:t>S</m:t>
              </m:r>
              <m:r>
                <m:t>B</m:t>
              </m:r>
              <m:r>
                <m:rPr>
                  <m:sty m:val="p"/>
                </m:rPr>
                <m:t>/</m:t>
              </m:r>
              <m:d>
                <m:dPr>
                  <m:begChr m:val="("/>
                  <m:endChr m:val=")"/>
                  <m:sepChr m:val=""/>
                  <m:grow/>
                </m:dPr>
                <m:e>
                  <m:r>
                    <m:t>k</m:t>
                  </m:r>
                  <m:r>
                    <m:rPr>
                      <m:sty m:val="p"/>
                    </m:rPr>
                    <m:t>−</m:t>
                  </m:r>
                  <m:r>
                    <m:t>1</m:t>
                  </m:r>
                </m:e>
              </m:d>
            </m:num>
            <m:den>
              <m:r>
                <m:t>S</m:t>
              </m:r>
              <m:r>
                <m:t>S</m:t>
              </m:r>
              <m:r>
                <m:t>W</m:t>
              </m:r>
              <m:r>
                <m:rPr>
                  <m:sty m:val="p"/>
                </m:rPr>
                <m:t>/</m:t>
              </m:r>
              <m:d>
                <m:dPr>
                  <m:begChr m:val="("/>
                  <m:endChr m:val=")"/>
                  <m:sepChr m:val=""/>
                  <m:grow/>
                </m:dPr>
                <m:e>
                  <m:r>
                    <m:t>N</m:t>
                  </m:r>
                  <m:r>
                    <m:rPr>
                      <m:sty m:val="p"/>
                    </m:rPr>
                    <m:t>−</m:t>
                  </m:r>
                  <m:r>
                    <m:t>k</m:t>
                  </m:r>
                </m:e>
              </m:d>
            </m:den>
          </m:f>
          <m:r>
            <m:rPr>
              <m:sty m:val="p"/>
            </m:rPr>
            <m:t>.</m:t>
          </m:r>
        </m:oMath>
      </m:oMathPara>
    </w:p>
    <w:p>
      <w:pPr>
        <w:pStyle w:val="FirstParagraph"/>
      </w:pPr>
      <w:r>
        <w:t xml:space="preserve">ANOVA thông thường giả định độc lập, sai số có hình dạng phân phối phù hợp và phương sai tương đương.</w:t>
      </w:r>
      <w:r>
        <w:t xml:space="preserve"> </w:t>
      </w:r>
      <w:r>
        <w:rPr>
          <w:bCs/>
          <w:b/>
        </w:rPr>
        <w:t xml:space="preserve">Ví dụ giả lập:</w:t>
      </w:r>
      <w:r>
        <w:t xml:space="preserve"> </w:t>
      </w:r>
      <w:r>
        <w:t xml:space="preserve">A = [1,2,3], B = [4,5,6], C = [7,8,9] cho SSB = 54, SSW = 6 và F(2,6) = 27.</w:t>
      </w:r>
    </w:p>
    <w:p>
      <w:pPr>
        <w:pStyle w:val="BodyText"/>
      </w:pPr>
      <w:r>
        <w:rPr>
          <w:bCs/>
          <w:b/>
        </w:rPr>
        <w:t xml:space="preserve">Welch’s ANOVA</w:t>
      </w:r>
      <w:r>
        <w:t xml:space="preserve"> </w:t>
      </w:r>
      <w:r>
        <w:t xml:space="preserve">dùng trọng số</w:t>
      </w:r>
      <w:r>
        <w:t xml:space="preserve"> </w:t>
      </w:r>
      <m:oMath>
        <m:sSub>
          <m:e>
            <m:r>
              <m:t>w</m:t>
            </m:r>
          </m:e>
          <m:sub>
            <m:r>
              <m:t>j</m:t>
            </m:r>
          </m:sub>
        </m:sSub>
        <m:r>
          <m:rPr>
            <m:sty m:val="p"/>
          </m:rPr>
          <m:t>=</m:t>
        </m:r>
        <m:sSub>
          <m:e>
            <m:r>
              <m:t>n</m:t>
            </m:r>
          </m:e>
          <m:sub>
            <m:r>
              <m:t>j</m:t>
            </m:r>
          </m:sub>
        </m:sSub>
        <m:r>
          <m:rPr>
            <m:sty m:val="p"/>
          </m:rPr>
          <m:t>/</m:t>
        </m:r>
        <m:sSubSup>
          <m:e>
            <m:r>
              <m:t>s</m:t>
            </m:r>
          </m:e>
          <m:sub>
            <m:r>
              <m:t>j</m:t>
            </m:r>
          </m:sub>
          <m:sup>
            <m:r>
              <m:t>2</m:t>
            </m:r>
          </m:sup>
        </m:sSubSup>
      </m:oMath>
      <w:r>
        <w:t xml:space="preserve"> </w:t>
      </w:r>
      <w:r>
        <w:t xml:space="preserve">và trung bình có trọng số, điều chỉnh thống kê F cùng bậc tự do theo phương sai từng nhóm. Bài chọn Welch từ thiết kế vì số mẫu và mức phân tán giữa nhóm khác nhau. Welch vẫn cần xem xét tính độc lập và ngoại lai. Nếu kiểm định tổng thể có ý nghĩa,</w:t>
      </w:r>
      <w:r>
        <w:t xml:space="preserve"> </w:t>
      </w:r>
      <w:r>
        <w:rPr>
          <w:bCs/>
          <w:b/>
        </w:rPr>
        <w:t xml:space="preserve">Games–Howell</w:t>
      </w:r>
      <w:r>
        <w:t xml:space="preserve"> </w:t>
      </w:r>
      <w:r>
        <w:t xml:space="preserve">so sánh từng cặp, cho phép phương sai khác nhau và điều chỉnh cho nhiều so sánh. Với bốn nhóm có sáu cặp.</w:t>
      </w:r>
    </w:p>
    <w:p>
      <w:pPr>
        <w:pStyle w:val="BodyText"/>
      </w:pPr>
      <w:r>
        <w:t xml:space="preserve">Chỉ số</w:t>
      </w:r>
      <w:r>
        <w:t xml:space="preserve"> </w:t>
      </w:r>
      <m:oMath>
        <m:sSup>
          <m:e>
            <m:r>
              <m:t>η</m:t>
            </m:r>
          </m:e>
          <m:sup>
            <m:r>
              <m:t>2</m:t>
            </m:r>
          </m:sup>
        </m:sSup>
        <m:r>
          <m:rPr>
            <m:sty m:val="p"/>
          </m:rPr>
          <m:t>=</m:t>
        </m:r>
        <m:r>
          <m:t>S</m:t>
        </m:r>
        <m:r>
          <m:t>S</m:t>
        </m:r>
        <m:r>
          <m:t>B</m:t>
        </m:r>
        <m:r>
          <m:rPr>
            <m:sty m:val="p"/>
          </m:rPr>
          <m:t>/</m:t>
        </m:r>
        <m:d>
          <m:dPr>
            <m:begChr m:val="("/>
            <m:endChr m:val=")"/>
            <m:sepChr m:val=""/>
            <m:grow/>
          </m:dPr>
          <m:e>
            <m:r>
              <m:t>S</m:t>
            </m:r>
            <m:r>
              <m:t>S</m:t>
            </m:r>
            <m:r>
              <m:t>B</m:t>
            </m:r>
            <m:r>
              <m:rPr>
                <m:sty m:val="p"/>
              </m:rPr>
              <m:t>+</m:t>
            </m:r>
            <m:r>
              <m:t>S</m:t>
            </m:r>
            <m:r>
              <m:t>S</m:t>
            </m:r>
            <m:r>
              <m:t>W</m:t>
            </m:r>
          </m:e>
        </m:d>
      </m:oMath>
      <w:r>
        <w:t xml:space="preserve"> </w:t>
      </w:r>
      <w:r>
        <w:t xml:space="preserve">trong bài là thống kê</w:t>
      </w:r>
      <w:r>
        <w:t xml:space="preserve"> </w:t>
      </w:r>
      <w:r>
        <w:rPr>
          <w:bCs/>
          <w:b/>
        </w:rPr>
        <w:t xml:space="preserve">mô tả phân tán giữa nhóm</w:t>
      </w:r>
      <w:r>
        <w:t xml:space="preserve"> </w:t>
      </w:r>
      <w:r>
        <w:t xml:space="preserve">theo công thức ANOVA thông thường. Kết luận kiểm định dựa trên Welch; ý nghĩa thực tiễn ưu tiên chênh lệch MPa và CI của Games–Howell.</w:t>
      </w:r>
    </w:p>
    <w:bookmarkEnd w:id="23"/>
    <w:bookmarkEnd w:id="24"/>
    <w:bookmarkStart w:id="25" w:name="dữ-liệu-và-thiết-kế-phân-tích"/>
    <w:p>
      <w:pPr>
        <w:pStyle w:val="Heading2"/>
      </w:pPr>
      <w:r>
        <w:t xml:space="preserve">3.2 Dữ liệu và thiết kế phân tích</w:t>
      </w:r>
    </w:p>
    <w:p>
      <w:pPr>
        <w:pStyle w:val="FirstParagraph"/>
      </w:pPr>
      <w:r>
        <w:t xml:space="preserve">Tệp</w:t>
      </w:r>
      <w:r>
        <w:t xml:space="preserve"> </w:t>
      </w:r>
      <w:r>
        <w:rPr>
          <w:rStyle w:val="VerbatimChar"/>
        </w:rPr>
        <w:t xml:space="preserve">data/hypothesis_tests/cleaned.csv</w:t>
      </w:r>
      <w:r>
        <w:t xml:space="preserve"> </w:t>
      </w:r>
      <w:r>
        <w:t xml:space="preserve">sau EDA có 1.005 dòng và không có giá trị thiếu ở chín biến gốc. Một cấp phối được mô tả bằng bảy lượng vật liệu (kg/m³); tuổi và cường độ không tham gia xác định cấp phối. Các giá trị 0 ở xỉ lò cao, tro bay và phụ gia siêu dẻo thể hiện không sử dụng. Để tránh đếm lặp cấp phối bị làm tròn, các tổ hợp vật liệu gần nhau không quá 1 kg/m³ ở từng thành phần được gộp bằng liên kết đầy đủ; sau đó lấy cường độ trung bình ở mỗi cấp phối và tuổi. Quy tắc gộp là lựa chọn phân tích nên được đối chiếu thêm ở các ngưỡng 0; 0,5 và 2 kg/m³.</w:t>
      </w:r>
    </w:p>
    <w:p>
      <w:pPr>
        <w:pStyle w:val="BodyText"/>
      </w:pPr>
      <w:r>
        <w:t xml:space="preserve">Ở 28 ngày có 308 cấp phối, chia bốn nhóm theo slag &gt; 0 và fly_ash &gt; 0: không SCM, chỉ xỉ, chỉ tro bay, cả hai. Trong số đó, 109 cấp phối có quan sát ở cả 7 và 28 ngày. Không có cấp phối</w:t>
      </w:r>
      <w:r>
        <w:t xml:space="preserve"> </w:t>
      </w:r>
      <w:r>
        <w:t xml:space="preserve">“</w:t>
      </w:r>
      <w:r>
        <w:t xml:space="preserve">chỉ tro bay</w:t>
      </w:r>
      <w:r>
        <w:t xml:space="preserve">”</w:t>
      </w:r>
      <w:r>
        <w:t xml:space="preserve"> </w:t>
      </w:r>
      <w:r>
        <w:t xml:space="preserve">trong 109 cặp này; kết quả câu 1 chỉ áp dụng cho các công thức có cặp tuổi hiện có. Dữ liệu không có mã mẻ trộn hay nghiên cứu nguồn, nên sự độc lập giữa các cụm vẫn chỉ là giả định có điều kiện.</w:t>
      </w:r>
    </w:p>
    <w:bookmarkEnd w:id="25"/>
    <w:bookmarkStart w:id="32" w:name="X17e1e43923e20e52c00508191f7a74567cb41dd"/>
    <w:p>
      <w:pPr>
        <w:pStyle w:val="Heading2"/>
      </w:pPr>
      <w:r>
        <w:t xml:space="preserve">3.3 Câu hỏi 1 Mức tăng cường độ từ 7 lên 28 ngày là bao nhiêu</w:t>
      </w:r>
    </w:p>
    <w:p>
      <w:pPr>
        <w:pStyle w:val="FirstParagraph"/>
      </w:pPr>
      <w:r>
        <w:t xml:space="preserve">Câu hỏi nghiên cứu: Trong các cấp phối có dữ liệu ở cả 7 và 28 ngày, mức chênh lệch cường độ chịu nén trung bình là bao nhiêu MPa và có khác 0 không? Hai tuổi được ghép theo cấp phối. H₀: μᵈ = 0; H₁: μᵈ ≠ 0. Giá trị thực tiễn là khoảng ước lượng mức tăng trên những cấp phối này, thay vì chỉ xác nhận xu hướng tăng đã được biết.</w:t>
      </w:r>
    </w:p>
    <w:tbl>
      <w:tblPr>
        <w:tblStyle w:val="Table"/>
        <w:tblW w:type="pct" w:w="5000"/>
        <w:tblLook w:firstRow="1" w:lastRow="0" w:firstColumn="0" w:lastColumn="0" w:noHBand="0" w:noVBand="0" w:val="0020"/>
        <w:jc w:val="start"/>
      </w:tblPr>
      <w:tblGrid>
        <w:gridCol w:w="3168"/>
        <w:gridCol w:w="4752"/>
      </w:tblGrid>
      <w:tr>
        <w:trPr>
          <w:tblHeader w:val="true"/>
          <w:cantSplit/>
        </w:trPr>
        <w:tc>
          <w:tcPr/>
          <w:p>
            <w:pPr>
              <w:pStyle w:val="Compact"/>
              <w:keepNext/>
              <w:jc w:val="left"/>
            </w:pPr>
            <w:r>
              <w:t xml:space="preserve">Chỉ tiêu</w:t>
            </w:r>
          </w:p>
        </w:tc>
        <w:tc>
          <w:tcPr/>
          <w:p>
            <w:pPr>
              <w:pStyle w:val="Compact"/>
              <w:keepNext/>
              <w:jc w:val="left"/>
            </w:pPr>
            <w:r>
              <w:t xml:space="preserve">Kết quả</w:t>
            </w:r>
          </w:p>
        </w:tc>
      </w:tr>
      <w:tr>
        <w:trPr>
          <w:cantSplit/>
        </w:trPr>
        <w:tc>
          <w:tcPr/>
          <w:p>
            <w:pPr>
              <w:pStyle w:val="Compact"/>
              <w:keepNext/>
              <w:jc w:val="left"/>
            </w:pPr>
            <w:r>
              <w:t xml:space="preserve">Số cấp phối ghép cặp</w:t>
            </w:r>
          </w:p>
        </w:tc>
        <w:tc>
          <w:tcPr/>
          <w:p>
            <w:pPr>
              <w:pStyle w:val="Compact"/>
              <w:keepNext/>
              <w:jc w:val="left"/>
            </w:pPr>
            <w:r>
              <w:t xml:space="preserve">109 (không SCM 41; chỉ xỉ 58; cả hai 10)</w:t>
            </w:r>
          </w:p>
        </w:tc>
      </w:tr>
      <w:tr>
        <w:trPr>
          <w:cantSplit/>
        </w:trPr>
        <w:tc>
          <w:tcPr/>
          <w:p>
            <w:pPr>
              <w:pStyle w:val="Compact"/>
              <w:keepNext/>
              <w:jc w:val="left"/>
            </w:pPr>
            <w:r>
              <w:t xml:space="preserve">Trung bình 7 và 28 ngày</w:t>
            </w:r>
          </w:p>
        </w:tc>
        <w:tc>
          <w:tcPr/>
          <w:p>
            <w:pPr>
              <w:pStyle w:val="Compact"/>
              <w:keepNext/>
              <w:jc w:val="left"/>
            </w:pPr>
            <w:r>
              <w:t xml:space="preserve">24,96 và 38,06 MPa</w:t>
            </w:r>
          </w:p>
        </w:tc>
      </w:tr>
      <w:tr>
        <w:trPr>
          <w:cantSplit/>
        </w:trPr>
        <w:tc>
          <w:tcPr/>
          <w:p>
            <w:pPr>
              <w:pStyle w:val="Compact"/>
              <w:keepNext/>
              <w:jc w:val="left"/>
            </w:pPr>
            <w:r>
              <w:t xml:space="preserve">Trung bình chênh lệch 28 − 7</w:t>
            </w:r>
          </w:p>
        </w:tc>
        <w:tc>
          <w:tcPr/>
          <w:p>
            <w:pPr>
              <w:pStyle w:val="Compact"/>
              <w:keepNext/>
              <w:jc w:val="left"/>
            </w:pPr>
            <w:r>
              <w:t xml:space="preserve">13,10 MPa; KTC 95% [12,00; 14,20]</w:t>
            </w:r>
          </w:p>
        </w:tc>
      </w:tr>
      <w:tr>
        <w:trPr>
          <w:cantSplit/>
        </w:trPr>
        <w:tc>
          <w:tcPr/>
          <w:p>
            <w:pPr>
              <w:pStyle w:val="Compact"/>
              <w:keepNext/>
              <w:jc w:val="left"/>
            </w:pPr>
            <w:r>
              <w:t xml:space="preserve">Paired t-test</w:t>
            </w:r>
          </w:p>
        </w:tc>
        <w:tc>
          <w:tcPr/>
          <w:p>
            <w:pPr>
              <w:pStyle w:val="Compact"/>
              <w:keepNext/>
              <w:jc w:val="left"/>
            </w:pPr>
            <w:r>
              <w:t xml:space="preserve">t(108) = 23,63; p &lt; 0,001</w:t>
            </w:r>
          </w:p>
        </w:tc>
      </w:tr>
      <w:tr>
        <w:trPr>
          <w:cantSplit/>
        </w:trPr>
        <w:tc>
          <w:tcPr/>
          <w:p>
            <w:pPr>
              <w:pStyle w:val="Compact"/>
              <w:keepNext/>
              <w:jc w:val="left"/>
            </w:pPr>
            <w:r>
              <w:t xml:space="preserve">Cohen dᶻ; số cặp tăng</w:t>
            </w:r>
          </w:p>
        </w:tc>
        <w:tc>
          <w:tcPr/>
          <w:p>
            <w:pPr>
              <w:pStyle w:val="Compact"/>
              <w:keepNext/>
              <w:jc w:val="left"/>
            </w:pPr>
            <w:r>
              <w:t xml:space="preserve">2,26; 109/109</w:t>
            </w:r>
          </w:p>
        </w:tc>
      </w:tr>
      <w:tr>
        <w:trPr>
          <w:cantSplit/>
        </w:trPr>
        <w:tc>
          <w:tcPr/>
          <w:p>
            <w:pPr>
              <w:pStyle w:val="Compact"/>
              <w:jc w:val="left"/>
            </w:pPr>
            <w:r>
              <w:t xml:space="preserve">Tỷ số hình học 28/7</w:t>
            </w:r>
          </w:p>
        </w:tc>
        <w:tc>
          <w:tcPr/>
          <w:p>
            <w:pPr>
              <w:pStyle w:val="Compact"/>
              <w:jc w:val="left"/>
            </w:pPr>
            <w:r>
              <w:t xml:space="preserve">1,63; KTC 95% [1,56; 1,71]</w:t>
            </w:r>
          </w:p>
        </w:tc>
      </w:tr>
    </w:tbl>
    <w:p>
      <w:pPr>
        <w:pStyle w:val="BodyText"/>
      </w:pPr>
      <w:r>
        <w:drawing>
          <wp:inline>
            <wp:extent cx="5334000" cy="3170938"/>
            <wp:effectExtent b="0" l="0" r="0" t="0"/>
            <wp:docPr descr="" title="" id="27" name="Picture"/>
            <a:graphic>
              <a:graphicData uri="http://schemas.openxmlformats.org/drawingml/2006/picture">
                <pic:pic>
                  <pic:nvPicPr>
                    <pic:cNvPr descr="../figures/hypothesis_tests/hinh_3_1_cap_phoi_ghep.png" id="28" name="Picture"/>
                    <pic:cNvPicPr>
                      <a:picLocks noChangeArrowheads="1" noChangeAspect="1"/>
                    </pic:cNvPicPr>
                  </pic:nvPicPr>
                  <pic:blipFill>
                    <a:blip r:embed="rId26"/>
                    <a:stretch>
                      <a:fillRect/>
                    </a:stretch>
                  </pic:blipFill>
                  <pic:spPr bwMode="auto">
                    <a:xfrm>
                      <a:off x="0" y="0"/>
                      <a:ext cx="5334000" cy="3170938"/>
                    </a:xfrm>
                    <a:prstGeom prst="rect">
                      <a:avLst/>
                    </a:prstGeom>
                    <a:noFill/>
                    <a:ln w="9525">
                      <a:noFill/>
                      <a:headEnd/>
                      <a:tailEnd/>
                    </a:ln>
                  </pic:spPr>
                </pic:pic>
              </a:graphicData>
            </a:graphic>
          </wp:inline>
        </w:drawing>
      </w:r>
    </w:p>
    <w:p>
      <w:pPr>
        <w:pStyle w:val="BodyText"/>
      </w:pPr>
      <w:r>
        <w:rPr>
          <w:iCs/>
          <w:i/>
        </w:rPr>
        <w:t xml:space="preserve">Hình 3.1 Cường độ của từng cấp phối ở hai tuổi; đường đậm là trung bình.</w:t>
      </w:r>
    </w:p>
    <w:p>
      <w:pPr>
        <w:pStyle w:val="BodyText"/>
      </w:pPr>
      <w:r>
        <w:drawing>
          <wp:inline>
            <wp:extent cx="5334000" cy="2318310"/>
            <wp:effectExtent b="0" l="0" r="0" t="0"/>
            <wp:docPr descr="" title="" id="30" name="Picture"/>
            <a:graphic>
              <a:graphicData uri="http://schemas.openxmlformats.org/drawingml/2006/picture">
                <pic:pic>
                  <pic:nvPicPr>
                    <pic:cNvPr descr="../figures/hypothesis_tests/hinh_3_1b_chan_doan_chenh_lech.png" id="31" name="Picture"/>
                    <pic:cNvPicPr>
                      <a:picLocks noChangeArrowheads="1" noChangeAspect="1"/>
                    </pic:cNvPicPr>
                  </pic:nvPicPr>
                  <pic:blipFill>
                    <a:blip r:embed="rId29"/>
                    <a:stretch>
                      <a:fillRect/>
                    </a:stretch>
                  </pic:blipFill>
                  <pic:spPr bwMode="auto">
                    <a:xfrm>
                      <a:off x="0" y="0"/>
                      <a:ext cx="5334000" cy="2318310"/>
                    </a:xfrm>
                    <a:prstGeom prst="rect">
                      <a:avLst/>
                    </a:prstGeom>
                    <a:noFill/>
                    <a:ln w="9525">
                      <a:noFill/>
                      <a:headEnd/>
                      <a:tailEnd/>
                    </a:ln>
                  </pic:spPr>
                </pic:pic>
              </a:graphicData>
            </a:graphic>
          </wp:inline>
        </w:drawing>
      </w:r>
    </w:p>
    <w:p>
      <w:pPr>
        <w:pStyle w:val="BodyText"/>
      </w:pPr>
      <w:r>
        <w:rPr>
          <w:iCs/>
          <w:i/>
        </w:rPr>
        <w:t xml:space="preserve">Hình 3.1b Phân phối và Q–Q của chênh lệch 28 − 7 ngày.</w:t>
      </w:r>
    </w:p>
    <w:p>
      <w:pPr>
        <w:pStyle w:val="BodyText"/>
      </w:pPr>
      <w:r>
        <w:t xml:space="preserve">Bác bỏ H₀: mức tăng trung bình 13,10 MPa, với KTC 95% từ 12,00 đến 14,20 MPa. Tỷ số hình học 1,63 mô tả tăng trưởng tương đối trên các cặp, không phải hệ số chuyển đổi cố định cho mọi công thức. Phân phối các chênh lệch có dấu hiệu không chuẩn (Shapiro p = 0,0005); với 109 cặp, paired t cho ước lượng trung bình và đối chiếu Wilcoxon cũng cho p &lt; 0,001. Việc ghép theo công thức không chứng minh hai quan sát thuộc cùng một mẻ trộn.</w:t>
      </w:r>
    </w:p>
    <w:bookmarkEnd w:id="32"/>
    <w:bookmarkStart w:id="43" w:name="X7a36f3ab727c33658ffe19731de369456fb275d"/>
    <w:p>
      <w:pPr>
        <w:pStyle w:val="Heading2"/>
      </w:pPr>
      <w:r>
        <w:t xml:space="preserve">3.4 Câu hỏi 2 Bốn nhóm SCM khác nhau thế nào ở tuổi 28 ngày</w:t>
      </w:r>
    </w:p>
    <w:p>
      <w:pPr>
        <w:pStyle w:val="FirstParagraph"/>
      </w:pPr>
      <w:r>
        <w:t xml:space="preserve">Câu hỏi nghiên cứu: Ở 28 ngày, cường độ trung bình quan sát được có khác nhau giữa bốn nhóm cấp phối theo kiểu sử dụng xỉ lò cao và tro bay không? H₀: bốn trung bình bằng nhau; H₁: ít nhất một trung bình khác. Welch ANOVA là kiểm định tổng thể; Games–Howell dùng để chỉ ra cặp có bằng chứng khác nhau.</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cantSplit/>
        </w:trPr>
        <w:tc>
          <w:tcPr/>
          <w:p>
            <w:pPr>
              <w:pStyle w:val="Compact"/>
              <w:keepNext/>
              <w:jc w:val="left"/>
            </w:pPr>
            <w:r>
              <w:t xml:space="preserve">Nhóm SCM</w:t>
            </w:r>
          </w:p>
        </w:tc>
        <w:tc>
          <w:tcPr/>
          <w:p>
            <w:pPr>
              <w:pStyle w:val="Compact"/>
              <w:keepNext/>
              <w:jc w:val="left"/>
            </w:pPr>
            <w:r>
              <w:t xml:space="preserve">n</w:t>
            </w:r>
          </w:p>
        </w:tc>
        <w:tc>
          <w:tcPr/>
          <w:p>
            <w:pPr>
              <w:pStyle w:val="Compact"/>
              <w:keepNext/>
              <w:jc w:val="left"/>
            </w:pPr>
            <w:r>
              <w:t xml:space="preserve">Cường độ TB (MPa)</w:t>
            </w:r>
          </w:p>
        </w:tc>
        <w:tc>
          <w:tcPr/>
          <w:p>
            <w:pPr>
              <w:pStyle w:val="Compact"/>
              <w:keepNext/>
              <w:jc w:val="left"/>
            </w:pPr>
            <w:r>
              <w:t xml:space="preserve">Xi măng TB (kg/m³)</w:t>
            </w:r>
          </w:p>
        </w:tc>
      </w:tr>
      <w:tr>
        <w:trPr>
          <w:cantSplit/>
        </w:trPr>
        <w:tc>
          <w:tcPr/>
          <w:p>
            <w:pPr>
              <w:pStyle w:val="Compact"/>
              <w:keepNext/>
              <w:jc w:val="left"/>
            </w:pPr>
            <w:r>
              <w:t xml:space="preserve">Không SCM</w:t>
            </w:r>
          </w:p>
        </w:tc>
        <w:tc>
          <w:tcPr/>
          <w:p>
            <w:pPr>
              <w:pStyle w:val="Compact"/>
              <w:keepNext/>
              <w:jc w:val="left"/>
            </w:pPr>
            <w:r>
              <w:t xml:space="preserve">66</w:t>
            </w:r>
          </w:p>
        </w:tc>
        <w:tc>
          <w:tcPr/>
          <w:p>
            <w:pPr>
              <w:pStyle w:val="Compact"/>
              <w:keepNext/>
              <w:jc w:val="left"/>
            </w:pPr>
            <w:r>
              <w:t xml:space="preserve">37,89</w:t>
            </w:r>
          </w:p>
        </w:tc>
        <w:tc>
          <w:tcPr/>
          <w:p>
            <w:pPr>
              <w:pStyle w:val="Compact"/>
              <w:keepNext/>
              <w:jc w:val="left"/>
            </w:pPr>
            <w:r>
              <w:t xml:space="preserve">379,13</w:t>
            </w:r>
          </w:p>
        </w:tc>
      </w:tr>
      <w:tr>
        <w:trPr>
          <w:cantSplit/>
        </w:trPr>
        <w:tc>
          <w:tcPr/>
          <w:p>
            <w:pPr>
              <w:pStyle w:val="Compact"/>
              <w:keepNext/>
              <w:jc w:val="left"/>
            </w:pPr>
            <w:r>
              <w:t xml:space="preserve">Chỉ xỉ</w:t>
            </w:r>
          </w:p>
        </w:tc>
        <w:tc>
          <w:tcPr/>
          <w:p>
            <w:pPr>
              <w:pStyle w:val="Compact"/>
              <w:keepNext/>
              <w:jc w:val="left"/>
            </w:pPr>
            <w:r>
              <w:t xml:space="preserve">95</w:t>
            </w:r>
          </w:p>
        </w:tc>
        <w:tc>
          <w:tcPr/>
          <w:p>
            <w:pPr>
              <w:pStyle w:val="Compact"/>
              <w:keepNext/>
              <w:jc w:val="left"/>
            </w:pPr>
            <w:r>
              <w:t xml:space="preserve">40,64</w:t>
            </w:r>
          </w:p>
        </w:tc>
        <w:tc>
          <w:tcPr/>
          <w:p>
            <w:pPr>
              <w:pStyle w:val="Compact"/>
              <w:keepNext/>
              <w:jc w:val="left"/>
            </w:pPr>
            <w:r>
              <w:t xml:space="preserve">255,44</w:t>
            </w:r>
          </w:p>
        </w:tc>
      </w:tr>
      <w:tr>
        <w:trPr>
          <w:cantSplit/>
        </w:trPr>
        <w:tc>
          <w:tcPr/>
          <w:p>
            <w:pPr>
              <w:pStyle w:val="Compact"/>
              <w:keepNext/>
              <w:jc w:val="left"/>
            </w:pPr>
            <w:r>
              <w:t xml:space="preserve">Chỉ tro bay</w:t>
            </w:r>
          </w:p>
        </w:tc>
        <w:tc>
          <w:tcPr/>
          <w:p>
            <w:pPr>
              <w:pStyle w:val="Compact"/>
              <w:keepNext/>
              <w:jc w:val="left"/>
            </w:pPr>
            <w:r>
              <w:t xml:space="preserve">65</w:t>
            </w:r>
          </w:p>
        </w:tc>
        <w:tc>
          <w:tcPr/>
          <w:p>
            <w:pPr>
              <w:pStyle w:val="Compact"/>
              <w:keepNext/>
              <w:jc w:val="left"/>
            </w:pPr>
            <w:r>
              <w:t xml:space="preserve">31,03</w:t>
            </w:r>
          </w:p>
        </w:tc>
        <w:tc>
          <w:tcPr/>
          <w:p>
            <w:pPr>
              <w:pStyle w:val="Compact"/>
              <w:keepNext/>
              <w:jc w:val="left"/>
            </w:pPr>
            <w:r>
              <w:t xml:space="preserve">240,91</w:t>
            </w:r>
          </w:p>
        </w:tc>
      </w:tr>
      <w:tr>
        <w:trPr>
          <w:cantSplit/>
        </w:trPr>
        <w:tc>
          <w:tcPr/>
          <w:p>
            <w:pPr>
              <w:pStyle w:val="Compact"/>
              <w:jc w:val="left"/>
            </w:pPr>
            <w:r>
              <w:t xml:space="preserve">Cả hai</w:t>
            </w:r>
          </w:p>
        </w:tc>
        <w:tc>
          <w:tcPr/>
          <w:p>
            <w:pPr>
              <w:pStyle w:val="Compact"/>
              <w:jc w:val="left"/>
            </w:pPr>
            <w:r>
              <w:t xml:space="preserve">82</w:t>
            </w:r>
          </w:p>
        </w:tc>
        <w:tc>
          <w:tcPr/>
          <w:p>
            <w:pPr>
              <w:pStyle w:val="Compact"/>
              <w:jc w:val="left"/>
            </w:pPr>
            <w:r>
              <w:t xml:space="preserve">38,40</w:t>
            </w:r>
          </w:p>
        </w:tc>
        <w:tc>
          <w:tcPr/>
          <w:p>
            <w:pPr>
              <w:pStyle w:val="Compact"/>
              <w:jc w:val="left"/>
            </w:pPr>
            <w:r>
              <w:t xml:space="preserve">226,95</w:t>
            </w:r>
          </w:p>
        </w:tc>
      </w:tr>
    </w:tbl>
    <w:p>
      <w:pPr>
        <w:pStyle w:val="BodyText"/>
      </w:pPr>
      <w:r>
        <w:drawing>
          <wp:inline>
            <wp:extent cx="5334000" cy="2992600"/>
            <wp:effectExtent b="0" l="0" r="0" t="0"/>
            <wp:docPr descr="" title="" id="34" name="Picture"/>
            <a:graphic>
              <a:graphicData uri="http://schemas.openxmlformats.org/drawingml/2006/picture">
                <pic:pic>
                  <pic:nvPicPr>
                    <pic:cNvPr descr="../figures/hypothesis_tests/hinh_3_2_scm_28.png" id="35" name="Picture"/>
                    <pic:cNvPicPr>
                      <a:picLocks noChangeArrowheads="1" noChangeAspect="1"/>
                    </pic:cNvPicPr>
                  </pic:nvPicPr>
                  <pic:blipFill>
                    <a:blip r:embed="rId33"/>
                    <a:stretch>
                      <a:fillRect/>
                    </a:stretch>
                  </pic:blipFill>
                  <pic:spPr bwMode="auto">
                    <a:xfrm>
                      <a:off x="0" y="0"/>
                      <a:ext cx="5334000" cy="2992600"/>
                    </a:xfrm>
                    <a:prstGeom prst="rect">
                      <a:avLst/>
                    </a:prstGeom>
                    <a:noFill/>
                    <a:ln w="9525">
                      <a:noFill/>
                      <a:headEnd/>
                      <a:tailEnd/>
                    </a:ln>
                  </pic:spPr>
                </pic:pic>
              </a:graphicData>
            </a:graphic>
          </wp:inline>
        </w:drawing>
      </w:r>
    </w:p>
    <w:p>
      <w:pPr>
        <w:pStyle w:val="BodyText"/>
      </w:pPr>
      <w:r>
        <w:rPr>
          <w:iCs/>
          <w:i/>
        </w:rPr>
        <w:t xml:space="preserve">Hình 3.2 Phân bố cường độ theo bốn nhóm SCM ở tuổi 28 ngày.</w:t>
      </w:r>
    </w:p>
    <w:p>
      <w:pPr>
        <w:pStyle w:val="BodyText"/>
      </w:pPr>
      <w:r>
        <w:drawing>
          <wp:inline>
            <wp:extent cx="5334000" cy="3042470"/>
            <wp:effectExtent b="0" l="0" r="0" t="0"/>
            <wp:docPr descr="" title="" id="37" name="Picture"/>
            <a:graphic>
              <a:graphicData uri="http://schemas.openxmlformats.org/drawingml/2006/picture">
                <pic:pic>
                  <pic:nvPicPr>
                    <pic:cNvPr descr="../figures/hypothesis_tests/hinh_3_2b_trung_binh_ci.png" id="38" name="Picture"/>
                    <pic:cNvPicPr>
                      <a:picLocks noChangeArrowheads="1" noChangeAspect="1"/>
                    </pic:cNvPicPr>
                  </pic:nvPicPr>
                  <pic:blipFill>
                    <a:blip r:embed="rId36"/>
                    <a:stretch>
                      <a:fillRect/>
                    </a:stretch>
                  </pic:blipFill>
                  <pic:spPr bwMode="auto">
                    <a:xfrm>
                      <a:off x="0" y="0"/>
                      <a:ext cx="5334000" cy="3042470"/>
                    </a:xfrm>
                    <a:prstGeom prst="rect">
                      <a:avLst/>
                    </a:prstGeom>
                    <a:noFill/>
                    <a:ln w="9525">
                      <a:noFill/>
                      <a:headEnd/>
                      <a:tailEnd/>
                    </a:ln>
                  </pic:spPr>
                </pic:pic>
              </a:graphicData>
            </a:graphic>
          </wp:inline>
        </w:drawing>
      </w:r>
    </w:p>
    <w:p>
      <w:pPr>
        <w:pStyle w:val="BodyText"/>
      </w:pPr>
      <w:r>
        <w:rPr>
          <w:iCs/>
          <w:i/>
        </w:rPr>
        <w:t xml:space="preserve">Hình 3.2b Trung bình và KTC 95% của từng nhóm SCM ở 28 ngày.</w:t>
      </w:r>
    </w:p>
    <w:p>
      <w:pPr>
        <w:pStyle w:val="BodyText"/>
      </w:pPr>
      <w:r>
        <w:t xml:space="preserve">Welch F(3; 161,47) = 6,88; p &lt; 0,001. Bác bỏ H₀ ở mức 0,05. Kiểm tra Brown–Forsythe theo trung vị cho p = 0,214; không thấy bằng chứng phương sai khác nhau theo phép kiểm tra này, nhưng thiết kế vẫn dùng Welch vì cỡ nhóm khác nhau và để tránh yêu cầu phương sai bằng nhau. Shapiro–Wilk theo thứ tự Không SCM, Chỉ xỉ, Chỉ tro bay, Cả hai có p lần lượt &lt; 0,001; 0,001; 0,334; 0,012. Ba nhóm có dấu hiệu lệch chuẩn, nên diễn giải cùng hình hộp và độ nhạy phân cụm; phép kiểm định này không kiểm tra trực tiếp tính độc lập. η² mô tả = 0,055 và ω² mô tả = 0,045 theo công thức ANOVA thông thường; chúng diễn đạt phần biến thiên gắn với nhóm trong mẫu, không phải hiệu quả nhân quả. Các số chẩn đoán có trong</w:t>
      </w:r>
      <w:r>
        <w:t xml:space="preserve"> </w:t>
      </w:r>
      <w:r>
        <w:rPr>
          <w:rStyle w:val="VerbatimChar"/>
        </w:rPr>
        <w:t xml:space="preserve">cau_2_welch.csv</w:t>
      </w:r>
      <w:r>
        <w:t xml:space="preserve">.</w:t>
      </w:r>
    </w:p>
    <w:tbl>
      <w:tblPr>
        <w:tblStyle w:val="Table"/>
        <w:tblW w:type="pct" w:w="5000"/>
        <w:tblLook w:firstRow="1" w:lastRow="0" w:firstColumn="0" w:lastColumn="0" w:noHBand="0" w:noVBand="0" w:val="0020"/>
        <w:jc w:val="start"/>
      </w:tblPr>
      <w:tblGrid>
        <w:gridCol w:w="2880"/>
        <w:gridCol w:w="3291"/>
        <w:gridCol w:w="1748"/>
      </w:tblGrid>
      <w:tr>
        <w:trPr>
          <w:tblHeader w:val="true"/>
          <w:cantSplit/>
        </w:trPr>
        <w:tc>
          <w:tcPr/>
          <w:p>
            <w:pPr>
              <w:pStyle w:val="Compact"/>
              <w:keepNext/>
              <w:jc w:val="left"/>
            </w:pPr>
            <w:r>
              <w:t xml:space="preserve">Cặp nhóm (nhóm 1 − nhóm 2)</w:t>
            </w:r>
          </w:p>
        </w:tc>
        <w:tc>
          <w:tcPr/>
          <w:p>
            <w:pPr>
              <w:pStyle w:val="Compact"/>
              <w:keepNext/>
              <w:jc w:val="left"/>
            </w:pPr>
            <w:r>
              <w:t xml:space="preserve">Δ MPa [KTC Games–Howell 95%]</w:t>
            </w:r>
          </w:p>
        </w:tc>
        <w:tc>
          <w:tcPr/>
          <w:p>
            <w:pPr>
              <w:pStyle w:val="Compact"/>
              <w:keepNext/>
              <w:jc w:val="left"/>
            </w:pPr>
            <w:r>
              <w:t xml:space="preserve">p đã hiệu chỉnh</w:t>
            </w:r>
          </w:p>
        </w:tc>
      </w:tr>
      <w:tr>
        <w:trPr>
          <w:cantSplit/>
        </w:trPr>
        <w:tc>
          <w:tcPr/>
          <w:p>
            <w:pPr>
              <w:pStyle w:val="Compact"/>
              <w:keepNext/>
              <w:jc w:val="left"/>
            </w:pPr>
            <w:r>
              <w:t xml:space="preserve">Không SCM − Chỉ xỉ</w:t>
            </w:r>
          </w:p>
        </w:tc>
        <w:tc>
          <w:tcPr/>
          <w:p>
            <w:pPr>
              <w:pStyle w:val="Compact"/>
              <w:keepNext/>
              <w:jc w:val="left"/>
            </w:pPr>
            <w:r>
              <w:t xml:space="preserve">−2,75 [−9,51; 4,02]</w:t>
            </w:r>
          </w:p>
        </w:tc>
        <w:tc>
          <w:tcPr/>
          <w:p>
            <w:pPr>
              <w:pStyle w:val="Compact"/>
              <w:keepNext/>
              <w:jc w:val="left"/>
            </w:pPr>
            <w:r>
              <w:t xml:space="preserve">0,717</w:t>
            </w:r>
          </w:p>
        </w:tc>
      </w:tr>
      <w:tr>
        <w:trPr>
          <w:cantSplit/>
        </w:trPr>
        <w:tc>
          <w:tcPr/>
          <w:p>
            <w:pPr>
              <w:pStyle w:val="Compact"/>
              <w:keepNext/>
              <w:jc w:val="left"/>
            </w:pPr>
            <w:r>
              <w:t xml:space="preserve">Không SCM − Chỉ tro bay</w:t>
            </w:r>
          </w:p>
        </w:tc>
        <w:tc>
          <w:tcPr/>
          <w:p>
            <w:pPr>
              <w:pStyle w:val="Compact"/>
              <w:keepNext/>
              <w:jc w:val="left"/>
            </w:pPr>
            <w:r>
              <w:t xml:space="preserve">6,87 [0,11; 13,62]</w:t>
            </w:r>
          </w:p>
        </w:tc>
        <w:tc>
          <w:tcPr/>
          <w:p>
            <w:pPr>
              <w:pStyle w:val="Compact"/>
              <w:keepNext/>
              <w:jc w:val="left"/>
            </w:pPr>
            <w:r>
              <w:t xml:space="preserve">0,045</w:t>
            </w:r>
          </w:p>
        </w:tc>
      </w:tr>
      <w:tr>
        <w:trPr>
          <w:cantSplit/>
        </w:trPr>
        <w:tc>
          <w:tcPr/>
          <w:p>
            <w:pPr>
              <w:pStyle w:val="Compact"/>
              <w:keepNext/>
              <w:jc w:val="left"/>
            </w:pPr>
            <w:r>
              <w:t xml:space="preserve">Không SCM − Cả hai</w:t>
            </w:r>
          </w:p>
        </w:tc>
        <w:tc>
          <w:tcPr/>
          <w:p>
            <w:pPr>
              <w:pStyle w:val="Compact"/>
              <w:keepNext/>
              <w:jc w:val="left"/>
            </w:pPr>
            <w:r>
              <w:t xml:space="preserve">−0,51 [−7,05; 6,03]</w:t>
            </w:r>
          </w:p>
        </w:tc>
        <w:tc>
          <w:tcPr/>
          <w:p>
            <w:pPr>
              <w:pStyle w:val="Compact"/>
              <w:keepNext/>
              <w:jc w:val="left"/>
            </w:pPr>
            <w:r>
              <w:t xml:space="preserve">0,997</w:t>
            </w:r>
          </w:p>
        </w:tc>
      </w:tr>
      <w:tr>
        <w:trPr>
          <w:cantSplit/>
        </w:trPr>
        <w:tc>
          <w:tcPr/>
          <w:p>
            <w:pPr>
              <w:pStyle w:val="Compact"/>
              <w:keepNext/>
              <w:jc w:val="left"/>
            </w:pPr>
            <w:r>
              <w:t xml:space="preserve">Chỉ xỉ − Chỉ tro bay</w:t>
            </w:r>
          </w:p>
        </w:tc>
        <w:tc>
          <w:tcPr/>
          <w:p>
            <w:pPr>
              <w:pStyle w:val="Compact"/>
              <w:keepNext/>
              <w:jc w:val="left"/>
            </w:pPr>
            <w:r>
              <w:t xml:space="preserve">9,61 [3,81; 15,41]</w:t>
            </w:r>
          </w:p>
        </w:tc>
        <w:tc>
          <w:tcPr/>
          <w:p>
            <w:pPr>
              <w:pStyle w:val="Compact"/>
              <w:keepNext/>
              <w:jc w:val="left"/>
            </w:pPr>
            <w:r>
              <w:t xml:space="preserve">&lt; 0,001</w:t>
            </w:r>
          </w:p>
        </w:tc>
      </w:tr>
      <w:tr>
        <w:trPr>
          <w:cantSplit/>
        </w:trPr>
        <w:tc>
          <w:tcPr/>
          <w:p>
            <w:pPr>
              <w:pStyle w:val="Compact"/>
              <w:keepNext/>
              <w:jc w:val="left"/>
            </w:pPr>
            <w:r>
              <w:t xml:space="preserve">Chỉ xỉ − Cả hai</w:t>
            </w:r>
          </w:p>
        </w:tc>
        <w:tc>
          <w:tcPr/>
          <w:p>
            <w:pPr>
              <w:pStyle w:val="Compact"/>
              <w:keepNext/>
              <w:jc w:val="left"/>
            </w:pPr>
            <w:r>
              <w:t xml:space="preserve">2,24 [−3,31; 7,78]</w:t>
            </w:r>
          </w:p>
        </w:tc>
        <w:tc>
          <w:tcPr/>
          <w:p>
            <w:pPr>
              <w:pStyle w:val="Compact"/>
              <w:keepNext/>
              <w:jc w:val="left"/>
            </w:pPr>
            <w:r>
              <w:t xml:space="preserve">0,723</w:t>
            </w:r>
          </w:p>
        </w:tc>
      </w:tr>
      <w:tr>
        <w:trPr>
          <w:cantSplit/>
        </w:trPr>
        <w:tc>
          <w:tcPr/>
          <w:p>
            <w:pPr>
              <w:pStyle w:val="Compact"/>
              <w:jc w:val="left"/>
            </w:pPr>
            <w:r>
              <w:t xml:space="preserve">Chỉ tro bay − Cả hai</w:t>
            </w:r>
          </w:p>
        </w:tc>
        <w:tc>
          <w:tcPr/>
          <w:p>
            <w:pPr>
              <w:pStyle w:val="Compact"/>
              <w:jc w:val="left"/>
            </w:pPr>
            <w:r>
              <w:t xml:space="preserve">−7,38 [−12,91; −1,84]</w:t>
            </w:r>
          </w:p>
        </w:tc>
        <w:tc>
          <w:tcPr/>
          <w:p>
            <w:pPr>
              <w:pStyle w:val="Compact"/>
              <w:jc w:val="left"/>
            </w:pPr>
            <w:r>
              <w:t xml:space="preserve">0,004</w:t>
            </w:r>
          </w:p>
        </w:tc>
      </w:tr>
    </w:tbl>
    <w:p>
      <w:pPr>
        <w:pStyle w:val="BodyText"/>
      </w:pPr>
      <w:r>
        <w:drawing>
          <wp:inline>
            <wp:extent cx="5334000" cy="2950231"/>
            <wp:effectExtent b="0" l="0" r="0" t="0"/>
            <wp:docPr descr="" title="" id="40" name="Picture"/>
            <a:graphic>
              <a:graphicData uri="http://schemas.openxmlformats.org/drawingml/2006/picture">
                <pic:pic>
                  <pic:nvPicPr>
                    <pic:cNvPr descr="../figures/hypothesis_tests/hinh_3_3_games_howell.png" id="41" name="Picture"/>
                    <pic:cNvPicPr>
                      <a:picLocks noChangeArrowheads="1" noChangeAspect="1"/>
                    </pic:cNvPicPr>
                  </pic:nvPicPr>
                  <pic:blipFill>
                    <a:blip r:embed="rId39"/>
                    <a:stretch>
                      <a:fillRect/>
                    </a:stretch>
                  </pic:blipFill>
                  <pic:spPr bwMode="auto">
                    <a:xfrm>
                      <a:off x="0" y="0"/>
                      <a:ext cx="5334000" cy="2950231"/>
                    </a:xfrm>
                    <a:prstGeom prst="rect">
                      <a:avLst/>
                    </a:prstGeom>
                    <a:noFill/>
                    <a:ln w="9525">
                      <a:noFill/>
                      <a:headEnd/>
                      <a:tailEnd/>
                    </a:ln>
                  </pic:spPr>
                </pic:pic>
              </a:graphicData>
            </a:graphic>
          </wp:inline>
        </w:drawing>
      </w:r>
    </w:p>
    <w:p>
      <w:pPr>
        <w:pStyle w:val="BodyText"/>
      </w:pPr>
      <w:r>
        <w:rPr>
          <w:iCs/>
          <w:i/>
        </w:rPr>
        <w:t xml:space="preserve">Hình 3.3 Chênh lệch trung bình và khoảng tin cậy đã điều chỉnh cho sáu cặp.</w:t>
      </w:r>
    </w:p>
    <w:p>
      <w:pPr>
        <w:pStyle w:val="BodyText"/>
      </w:pPr>
      <w:r>
        <w:t xml:space="preserve">Hai cặp chỉ xỉ − chỉ tro bay và chỉ tro bay − cả hai có khác biệt rõ trong mẫu. Cặp không SCM − chỉ tro bay nằm sát ngưỡng (p = 0,045) và thay đổi quyết định khi đổi ngưỡng gộp cấp phối: p = 0,003 ở ngưỡng 0 và p = 0,071 ở 0,5 kg/m³. Vì thế không xem cặp này là kết luận vững. Kiểm định tổng thể vẫn có p &lt; 0,001 ở cả bốn ngưỡng khảo sát.</w:t>
      </w:r>
    </w:p>
    <w:bookmarkStart w:id="42" w:name="X159a1aa64c072690aaa9c86c07230026b979c74"/>
    <w:p>
      <w:pPr>
        <w:pStyle w:val="Heading3"/>
      </w:pPr>
      <w:r>
        <w:t xml:space="preserve">Kiểm tra độ nhạy đối với việc gộp cấp phối</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cantSplit/>
        </w:trPr>
        <w:tc>
          <w:tcPr/>
          <w:p>
            <w:pPr>
              <w:pStyle w:val="Compact"/>
              <w:keepNext/>
              <w:jc w:val="right"/>
            </w:pPr>
            <w:r>
              <w:t xml:space="preserve">Ngưỡng (kg/m³)</w:t>
            </w:r>
          </w:p>
        </w:tc>
        <w:tc>
          <w:tcPr/>
          <w:p>
            <w:pPr>
              <w:pStyle w:val="Compact"/>
              <w:keepNext/>
              <w:jc w:val="right"/>
            </w:pPr>
            <w:r>
              <w:t xml:space="preserve">Cặp 7–28</w:t>
            </w:r>
          </w:p>
        </w:tc>
        <w:tc>
          <w:tcPr/>
          <w:p>
            <w:pPr>
              <w:pStyle w:val="Compact"/>
              <w:keepNext/>
              <w:jc w:val="right"/>
            </w:pPr>
            <w:r>
              <w:t xml:space="preserve">Mức tăng (MPa)</w:t>
            </w:r>
          </w:p>
        </w:tc>
        <w:tc>
          <w:tcPr/>
          <w:p>
            <w:pPr>
              <w:pStyle w:val="Compact"/>
              <w:keepNext/>
              <w:jc w:val="right"/>
            </w:pPr>
            <w:r>
              <w:t xml:space="preserve">Cấp phối 28 ngày</w:t>
            </w:r>
          </w:p>
        </w:tc>
        <w:tc>
          <w:tcPr/>
          <w:p>
            <w:pPr>
              <w:pStyle w:val="Compact"/>
              <w:keepNext/>
              <w:jc w:val="right"/>
            </w:pPr>
            <w:r>
              <w:t xml:space="preserve">p Welch</w:t>
            </w:r>
          </w:p>
        </w:tc>
        <w:tc>
          <w:tcPr/>
          <w:p>
            <w:pPr>
              <w:pStyle w:val="Compact"/>
              <w:keepNext/>
              <w:jc w:val="right"/>
            </w:pPr>
            <w:r>
              <w:t xml:space="preserve">p Games–Howell: Không SCM − Chỉ tro bay</w:t>
            </w:r>
          </w:p>
        </w:tc>
      </w:tr>
      <w:tr>
        <w:trPr>
          <w:cantSplit/>
        </w:trPr>
        <w:tc>
          <w:tcPr/>
          <w:p>
            <w:pPr>
              <w:pStyle w:val="Compact"/>
              <w:keepNext/>
              <w:jc w:val="right"/>
            </w:pPr>
            <w:r>
              <w:t xml:space="preserve">0</w:t>
            </w:r>
          </w:p>
        </w:tc>
        <w:tc>
          <w:tcPr/>
          <w:p>
            <w:pPr>
              <w:pStyle w:val="Compact"/>
              <w:keepNext/>
              <w:jc w:val="right"/>
            </w:pPr>
            <w:r>
              <w:t xml:space="preserve">115</w:t>
            </w:r>
          </w:p>
        </w:tc>
        <w:tc>
          <w:tcPr/>
          <w:p>
            <w:pPr>
              <w:pStyle w:val="Compact"/>
              <w:keepNext/>
              <w:jc w:val="right"/>
            </w:pPr>
            <w:r>
              <w:t xml:space="preserve">12,87</w:t>
            </w:r>
          </w:p>
        </w:tc>
        <w:tc>
          <w:tcPr/>
          <w:p>
            <w:pPr>
              <w:pStyle w:val="Compact"/>
              <w:keepNext/>
              <w:jc w:val="right"/>
            </w:pPr>
            <w:r>
              <w:t xml:space="preserve">417</w:t>
            </w:r>
          </w:p>
        </w:tc>
        <w:tc>
          <w:tcPr/>
          <w:p>
            <w:pPr>
              <w:pStyle w:val="Compact"/>
              <w:keepNext/>
              <w:jc w:val="right"/>
            </w:pPr>
            <w:r>
              <w:t xml:space="preserve">&lt; 0,001</w:t>
            </w:r>
          </w:p>
        </w:tc>
        <w:tc>
          <w:tcPr/>
          <w:p>
            <w:pPr>
              <w:pStyle w:val="Compact"/>
              <w:keepNext/>
              <w:jc w:val="right"/>
            </w:pPr>
            <w:r>
              <w:t xml:space="preserve">0,003</w:t>
            </w:r>
          </w:p>
        </w:tc>
      </w:tr>
      <w:tr>
        <w:trPr>
          <w:cantSplit/>
        </w:trPr>
        <w:tc>
          <w:tcPr/>
          <w:p>
            <w:pPr>
              <w:pStyle w:val="Compact"/>
              <w:keepNext/>
              <w:jc w:val="right"/>
            </w:pPr>
            <w:r>
              <w:t xml:space="preserve">0,5</w:t>
            </w:r>
          </w:p>
        </w:tc>
        <w:tc>
          <w:tcPr/>
          <w:p>
            <w:pPr>
              <w:pStyle w:val="Compact"/>
              <w:keepNext/>
              <w:jc w:val="right"/>
            </w:pPr>
            <w:r>
              <w:t xml:space="preserve">112</w:t>
            </w:r>
          </w:p>
        </w:tc>
        <w:tc>
          <w:tcPr/>
          <w:p>
            <w:pPr>
              <w:pStyle w:val="Compact"/>
              <w:keepNext/>
              <w:jc w:val="right"/>
            </w:pPr>
            <w:r>
              <w:t xml:space="preserve">13,04</w:t>
            </w:r>
          </w:p>
        </w:tc>
        <w:tc>
          <w:tcPr/>
          <w:p>
            <w:pPr>
              <w:pStyle w:val="Compact"/>
              <w:keepNext/>
              <w:jc w:val="right"/>
            </w:pPr>
            <w:r>
              <w:t xml:space="preserve">318</w:t>
            </w:r>
          </w:p>
        </w:tc>
        <w:tc>
          <w:tcPr/>
          <w:p>
            <w:pPr>
              <w:pStyle w:val="Compact"/>
              <w:keepNext/>
              <w:jc w:val="right"/>
            </w:pPr>
            <w:r>
              <w:t xml:space="preserve">&lt; 0,001</w:t>
            </w:r>
          </w:p>
        </w:tc>
        <w:tc>
          <w:tcPr/>
          <w:p>
            <w:pPr>
              <w:pStyle w:val="Compact"/>
              <w:keepNext/>
              <w:jc w:val="right"/>
            </w:pPr>
            <w:r>
              <w:t xml:space="preserve">0,071</w:t>
            </w:r>
          </w:p>
        </w:tc>
      </w:tr>
      <w:tr>
        <w:trPr>
          <w:cantSplit/>
        </w:trPr>
        <w:tc>
          <w:tcPr/>
          <w:p>
            <w:pPr>
              <w:pStyle w:val="Compact"/>
              <w:keepNext/>
              <w:jc w:val="right"/>
            </w:pPr>
            <w:r>
              <w:t xml:space="preserve">1,0 (chính)</w:t>
            </w:r>
          </w:p>
        </w:tc>
        <w:tc>
          <w:tcPr/>
          <w:p>
            <w:pPr>
              <w:pStyle w:val="Compact"/>
              <w:keepNext/>
              <w:jc w:val="right"/>
            </w:pPr>
            <w:r>
              <w:t xml:space="preserve">109</w:t>
            </w:r>
          </w:p>
        </w:tc>
        <w:tc>
          <w:tcPr/>
          <w:p>
            <w:pPr>
              <w:pStyle w:val="Compact"/>
              <w:keepNext/>
              <w:jc w:val="right"/>
            </w:pPr>
            <w:r>
              <w:t xml:space="preserve">13,10</w:t>
            </w:r>
          </w:p>
        </w:tc>
        <w:tc>
          <w:tcPr/>
          <w:p>
            <w:pPr>
              <w:pStyle w:val="Compact"/>
              <w:keepNext/>
              <w:jc w:val="right"/>
            </w:pPr>
            <w:r>
              <w:t xml:space="preserve">308</w:t>
            </w:r>
          </w:p>
        </w:tc>
        <w:tc>
          <w:tcPr/>
          <w:p>
            <w:pPr>
              <w:pStyle w:val="Compact"/>
              <w:keepNext/>
              <w:jc w:val="right"/>
            </w:pPr>
            <w:r>
              <w:t xml:space="preserve">&lt; 0,001</w:t>
            </w:r>
          </w:p>
        </w:tc>
        <w:tc>
          <w:tcPr/>
          <w:p>
            <w:pPr>
              <w:pStyle w:val="Compact"/>
              <w:keepNext/>
              <w:jc w:val="right"/>
            </w:pPr>
            <w:r>
              <w:t xml:space="preserve">0,045</w:t>
            </w:r>
          </w:p>
        </w:tc>
      </w:tr>
      <w:tr>
        <w:trPr>
          <w:cantSplit/>
        </w:trPr>
        <w:tc>
          <w:tcPr/>
          <w:p>
            <w:pPr>
              <w:pStyle w:val="Compact"/>
              <w:jc w:val="right"/>
            </w:pPr>
            <w:r>
              <w:t xml:space="preserve">2,0</w:t>
            </w:r>
          </w:p>
        </w:tc>
        <w:tc>
          <w:tcPr/>
          <w:p>
            <w:pPr>
              <w:pStyle w:val="Compact"/>
              <w:jc w:val="right"/>
            </w:pPr>
            <w:r>
              <w:t xml:space="preserve">108</w:t>
            </w:r>
          </w:p>
        </w:tc>
        <w:tc>
          <w:tcPr/>
          <w:p>
            <w:pPr>
              <w:pStyle w:val="Compact"/>
              <w:jc w:val="right"/>
            </w:pPr>
            <w:r>
              <w:t xml:space="preserve">13,15</w:t>
            </w:r>
          </w:p>
        </w:tc>
        <w:tc>
          <w:tcPr/>
          <w:p>
            <w:pPr>
              <w:pStyle w:val="Compact"/>
              <w:jc w:val="right"/>
            </w:pPr>
            <w:r>
              <w:t xml:space="preserve">304</w:t>
            </w:r>
          </w:p>
        </w:tc>
        <w:tc>
          <w:tcPr/>
          <w:p>
            <w:pPr>
              <w:pStyle w:val="Compact"/>
              <w:jc w:val="right"/>
            </w:pPr>
            <w:r>
              <w:t xml:space="preserve">&lt; 0,001</w:t>
            </w:r>
          </w:p>
        </w:tc>
        <w:tc>
          <w:tcPr/>
          <w:p>
            <w:pPr>
              <w:pStyle w:val="Compact"/>
              <w:jc w:val="right"/>
            </w:pPr>
            <w:r>
              <w:t xml:space="preserve">0,038</w:t>
            </w:r>
          </w:p>
        </w:tc>
      </w:tr>
    </w:tbl>
    <w:p>
      <w:pPr>
        <w:pStyle w:val="BodyText"/>
      </w:pPr>
      <w:r>
        <w:t xml:space="preserve">Các ngưỡng dựa trên bảy vật liệu và chỉ dùng để đối chiếu; chúng chưa được xác nhận là sai số đo của nguồn. Giá trị p cặp Không SCM − Chỉ tro bay nằm sát ngưỡng và đổi quyết định theo quy tắc gộp. Bảng</w:t>
      </w:r>
      <w:r>
        <w:t xml:space="preserve"> </w:t>
      </w:r>
      <w:r>
        <w:rPr>
          <w:rStyle w:val="VerbatimChar"/>
        </w:rPr>
        <w:t xml:space="preserve">do_nhay_gop_cap_phoi.csv</w:t>
      </w:r>
      <w:r>
        <w:t xml:space="preserve"> </w:t>
      </w:r>
      <w:r>
        <w:t xml:space="preserve">chứa số chính xác.</w:t>
      </w:r>
    </w:p>
    <w:bookmarkEnd w:id="42"/>
    <w:bookmarkEnd w:id="43"/>
    <w:bookmarkStart w:id="47" w:name="kiểm-tra-khác-biệt-thành-phần-cấp-phối"/>
    <w:p>
      <w:pPr>
        <w:pStyle w:val="Heading2"/>
      </w:pPr>
      <w:r>
        <w:t xml:space="preserve">3.5 Kiểm tra khác biệt thành phần cấp phối</w:t>
      </w:r>
    </w:p>
    <w:p>
      <w:pPr>
        <w:pStyle w:val="FirstParagraph"/>
      </w:pPr>
      <w:r>
        <w:t xml:space="preserve">Các nhóm khác nhau đáng kể ngoài việc có SCM: xi măng trung bình của nhóm không SCM là 379 kg/m³, so với 227–255 kg/m³ ở ba nhóm còn lại. Vì vậy so sánh thô không xác định được tác động riêng của xỉ hoặc tro bay. Để đánh giá độ nhạy về mặt dữ liệu, chỉ xét vùng xi măng 220–340 kg/m³, nơi cả bốn nhóm đều có cấp phối. Khoảng này được chọn</w:t>
      </w:r>
      <w:r>
        <w:t xml:space="preserve"> </w:t>
      </w:r>
      <w:r>
        <w:rPr>
          <w:bCs/>
          <w:b/>
        </w:rPr>
        <w:t xml:space="preserve">sau khi quan sát dữ liệu</w:t>
      </w:r>
      <w:r>
        <w:t xml:space="preserve">, chỉ nhằm thăm dò mức chồng lấn. KTC 95% trong bảng dưới là khoảng theo t cho trung bình mỗi nhóm trong tập con; chúng không điều chỉnh cho việc chọn khoảng sau khi xem dữ liệu hoặc các yếu tố gây nhiễu khác.</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cantSplit/>
        </w:trPr>
        <w:tc>
          <w:tcPr/>
          <w:p>
            <w:pPr>
              <w:pStyle w:val="Compact"/>
              <w:keepNext/>
              <w:jc w:val="left"/>
            </w:pPr>
            <w:r>
              <w:t xml:space="preserve">Nhóm SCM</w:t>
            </w:r>
          </w:p>
        </w:tc>
        <w:tc>
          <w:tcPr/>
          <w:p>
            <w:pPr>
              <w:pStyle w:val="Compact"/>
              <w:keepNext/>
              <w:jc w:val="right"/>
            </w:pPr>
            <w:r>
              <w:t xml:space="preserve">n trong vùng</w:t>
            </w:r>
          </w:p>
        </w:tc>
        <w:tc>
          <w:tcPr/>
          <w:p>
            <w:pPr>
              <w:pStyle w:val="Compact"/>
              <w:keepNext/>
              <w:jc w:val="right"/>
            </w:pPr>
            <w:r>
              <w:t xml:space="preserve">Xi măng TB (kg/m³)</w:t>
            </w:r>
          </w:p>
        </w:tc>
        <w:tc>
          <w:tcPr/>
          <w:p>
            <w:pPr>
              <w:pStyle w:val="Compact"/>
              <w:keepNext/>
              <w:jc w:val="right"/>
            </w:pPr>
            <w:r>
              <w:t xml:space="preserve">Cường độ TB và KTC 95% (MPa)</w:t>
            </w:r>
          </w:p>
        </w:tc>
      </w:tr>
      <w:tr>
        <w:trPr>
          <w:cantSplit/>
        </w:trPr>
        <w:tc>
          <w:tcPr/>
          <w:p>
            <w:pPr>
              <w:pStyle w:val="Compact"/>
              <w:keepNext/>
              <w:jc w:val="left"/>
            </w:pPr>
            <w:r>
              <w:t xml:space="preserve">Không SCM</w:t>
            </w:r>
          </w:p>
        </w:tc>
        <w:tc>
          <w:tcPr/>
          <w:p>
            <w:pPr>
              <w:pStyle w:val="Compact"/>
              <w:keepNext/>
              <w:jc w:val="right"/>
            </w:pPr>
            <w:r>
              <w:t xml:space="preserve">29</w:t>
            </w:r>
          </w:p>
        </w:tc>
        <w:tc>
          <w:tcPr/>
          <w:p>
            <w:pPr>
              <w:pStyle w:val="Compact"/>
              <w:keepNext/>
              <w:jc w:val="right"/>
            </w:pPr>
            <w:r>
              <w:t xml:space="preserve">296,49</w:t>
            </w:r>
          </w:p>
        </w:tc>
        <w:tc>
          <w:tcPr/>
          <w:p>
            <w:pPr>
              <w:pStyle w:val="Compact"/>
              <w:keepNext/>
              <w:jc w:val="right"/>
            </w:pPr>
            <w:r>
              <w:t xml:space="preserve">26,09 [23,86; 28,33]</w:t>
            </w:r>
          </w:p>
        </w:tc>
      </w:tr>
      <w:tr>
        <w:trPr>
          <w:cantSplit/>
        </w:trPr>
        <w:tc>
          <w:tcPr/>
          <w:p>
            <w:pPr>
              <w:pStyle w:val="Compact"/>
              <w:keepNext/>
              <w:jc w:val="left"/>
            </w:pPr>
            <w:r>
              <w:t xml:space="preserve">Chỉ xỉ</w:t>
            </w:r>
          </w:p>
        </w:tc>
        <w:tc>
          <w:tcPr/>
          <w:p>
            <w:pPr>
              <w:pStyle w:val="Compact"/>
              <w:keepNext/>
              <w:jc w:val="right"/>
            </w:pPr>
            <w:r>
              <w:t xml:space="preserve">37</w:t>
            </w:r>
          </w:p>
        </w:tc>
        <w:tc>
          <w:tcPr/>
          <w:p>
            <w:pPr>
              <w:pStyle w:val="Compact"/>
              <w:keepNext/>
              <w:jc w:val="right"/>
            </w:pPr>
            <w:r>
              <w:t xml:space="preserve">289,78</w:t>
            </w:r>
          </w:p>
        </w:tc>
        <w:tc>
          <w:tcPr/>
          <w:p>
            <w:pPr>
              <w:pStyle w:val="Compact"/>
              <w:keepNext/>
              <w:jc w:val="right"/>
            </w:pPr>
            <w:r>
              <w:t xml:space="preserve">45,25 [40,96; 49,54]</w:t>
            </w:r>
          </w:p>
        </w:tc>
      </w:tr>
      <w:tr>
        <w:trPr>
          <w:cantSplit/>
        </w:trPr>
        <w:tc>
          <w:tcPr/>
          <w:p>
            <w:pPr>
              <w:pStyle w:val="Compact"/>
              <w:keepNext/>
              <w:jc w:val="left"/>
            </w:pPr>
            <w:r>
              <w:t xml:space="preserve">Chỉ tro bay</w:t>
            </w:r>
          </w:p>
        </w:tc>
        <w:tc>
          <w:tcPr/>
          <w:p>
            <w:pPr>
              <w:pStyle w:val="Compact"/>
              <w:keepNext/>
              <w:jc w:val="right"/>
            </w:pPr>
            <w:r>
              <w:t xml:space="preserve">32</w:t>
            </w:r>
          </w:p>
        </w:tc>
        <w:tc>
          <w:tcPr/>
          <w:p>
            <w:pPr>
              <w:pStyle w:val="Compact"/>
              <w:keepNext/>
              <w:jc w:val="right"/>
            </w:pPr>
            <w:r>
              <w:t xml:space="preserve">275,19</w:t>
            </w:r>
          </w:p>
        </w:tc>
        <w:tc>
          <w:tcPr/>
          <w:p>
            <w:pPr>
              <w:pStyle w:val="Compact"/>
              <w:keepNext/>
              <w:jc w:val="right"/>
            </w:pPr>
            <w:r>
              <w:t xml:space="preserve">35,08 [32,10; 38,06]</w:t>
            </w:r>
          </w:p>
        </w:tc>
      </w:tr>
      <w:tr>
        <w:trPr>
          <w:cantSplit/>
        </w:trPr>
        <w:tc>
          <w:tcPr/>
          <w:p>
            <w:pPr>
              <w:pStyle w:val="Compact"/>
              <w:jc w:val="left"/>
            </w:pPr>
            <w:r>
              <w:t xml:space="preserve">Cả hai</w:t>
            </w:r>
          </w:p>
        </w:tc>
        <w:tc>
          <w:tcPr/>
          <w:p>
            <w:pPr>
              <w:pStyle w:val="Compact"/>
              <w:jc w:val="right"/>
            </w:pPr>
            <w:r>
              <w:t xml:space="preserve">22</w:t>
            </w:r>
          </w:p>
        </w:tc>
        <w:tc>
          <w:tcPr/>
          <w:p>
            <w:pPr>
              <w:pStyle w:val="Compact"/>
              <w:jc w:val="right"/>
            </w:pPr>
            <w:r>
              <w:t xml:space="preserve">278,46</w:t>
            </w:r>
          </w:p>
        </w:tc>
        <w:tc>
          <w:tcPr/>
          <w:p>
            <w:pPr>
              <w:pStyle w:val="Compact"/>
              <w:jc w:val="right"/>
            </w:pPr>
            <w:r>
              <w:t xml:space="preserve">45,08 [39,78; 50,38]</w:t>
            </w:r>
          </w:p>
        </w:tc>
      </w:tr>
    </w:tbl>
    <w:p>
      <w:pPr>
        <w:pStyle w:val="BodyText"/>
      </w:pPr>
      <w:r>
        <w:drawing>
          <wp:inline>
            <wp:extent cx="5334000" cy="2401216"/>
            <wp:effectExtent b="0" l="0" r="0" t="0"/>
            <wp:docPr descr="" title="" id="45" name="Picture"/>
            <a:graphic>
              <a:graphicData uri="http://schemas.openxmlformats.org/drawingml/2006/picture">
                <pic:pic>
                  <pic:nvPicPr>
                    <pic:cNvPr descr="../figures/hypothesis_tests/hinh_3_4_kiem_tra_xi_mang.png" id="46" name="Picture"/>
                    <pic:cNvPicPr>
                      <a:picLocks noChangeArrowheads="1" noChangeAspect="1"/>
                    </pic:cNvPicPr>
                  </pic:nvPicPr>
                  <pic:blipFill>
                    <a:blip r:embed="rId44"/>
                    <a:stretch>
                      <a:fillRect/>
                    </a:stretch>
                  </pic:blipFill>
                  <pic:spPr bwMode="auto">
                    <a:xfrm>
                      <a:off x="0" y="0"/>
                      <a:ext cx="5334000" cy="2401216"/>
                    </a:xfrm>
                    <a:prstGeom prst="rect">
                      <a:avLst/>
                    </a:prstGeom>
                    <a:noFill/>
                    <a:ln w="9525">
                      <a:noFill/>
                      <a:headEnd/>
                      <a:tailEnd/>
                    </a:ln>
                  </pic:spPr>
                </pic:pic>
              </a:graphicData>
            </a:graphic>
          </wp:inline>
        </w:drawing>
      </w:r>
    </w:p>
    <w:p>
      <w:pPr>
        <w:pStyle w:val="BodyText"/>
      </w:pPr>
      <w:r>
        <w:rPr>
          <w:iCs/>
          <w:i/>
        </w:rPr>
        <w:t xml:space="preserve">Hình 3.4 Sự khác biệt xi măng giữa các nhóm và cường độ trong vùng xi măng chung.</w:t>
      </w:r>
    </w:p>
    <w:p>
      <w:pPr>
        <w:pStyle w:val="BodyText"/>
      </w:pPr>
      <w:r>
        <w:t xml:space="preserve">Trên 120 cấp phối ở vùng này, Welch F(3; 58,11) = 31,96; p &lt; 0,001. Kết quả tổng thể vẫn có khác biệt, nhưng trung bình nhóm không SCM giờ thấp nhất: 26,09 MPa, so với 35,08–45,25 MPa của các nhóm có SCM. Sự đảo chiều so với toàn bộ mẫu cho thấy kết luận về thứ hạng nhóm phụ thuộc thành phần và tập cấp phối được so sánh.</w:t>
      </w:r>
      <w:r>
        <w:t xml:space="preserve"> </w:t>
      </w:r>
      <w:r>
        <w:rPr>
          <w:bCs/>
          <w:b/>
        </w:rPr>
        <w:t xml:space="preserve">Welch trên toàn bộ 308 cấp phối là kiểm định chính; Welch ở vùng xi măng chung là kiểm tra thăm dò độ nhạy, không phải một lần xác nhận độc lập hay phép cộng thêm bằng chứng p-value.</w:t>
      </w:r>
      <w:r>
        <w:t xml:space="preserve"> </w:t>
      </w:r>
      <w:r>
        <w:t xml:space="preserve">Giới hạn khoảng xi măng chưa làm bằng nhau lượng nước, phụ gia hay tổng chất kết dính; do đó không diễn giải chênh lệch này thành hiệu quả của việc thay thế xi măng bằng SCM.</w:t>
      </w:r>
    </w:p>
    <w:bookmarkEnd w:id="47"/>
    <w:bookmarkStart w:id="51" w:name="X92bbee8477fa23d69d5dfa84edff7548ede4871"/>
    <w:p>
      <w:pPr>
        <w:pStyle w:val="Heading2"/>
      </w:pPr>
      <w:r>
        <w:t xml:space="preserve">3.6 Minh họa Chi-square trên hai biến phân loại sẵn có</w:t>
      </w:r>
    </w:p>
    <w:p>
      <w:pPr>
        <w:pStyle w:val="FirstParagraph"/>
      </w:pPr>
      <w:r>
        <w:t xml:space="preserve">Xét nhóm SCM và việc sử dụng phụ gia siêu dẻo (lượng &gt; 0) ở 308 cấp phối 28 ngày. H₀: hai biến độc lập; H₁: chúng có liên hệ. Đây là câu hỏi bổ trợ về cấu trúc cấp phối, không phải kiểm định lại cường độ của câu 2.</w:t>
      </w:r>
    </w:p>
    <w:tbl>
      <w:tblPr>
        <w:tblStyle w:val="Table"/>
        <w:tblW w:type="auto" w:w="0"/>
        <w:tblLook w:firstRow="1" w:lastRow="0" w:firstColumn="0" w:lastColumn="0" w:noHBand="0" w:noVBand="0" w:val="0020"/>
        <w:jc w:val="start"/>
      </w:tblPr>
      <w:tblGrid>
        <w:gridCol w:w="2640"/>
        <w:gridCol w:w="2640"/>
        <w:gridCol w:w="2640"/>
      </w:tblGrid>
      <w:tr>
        <w:trPr>
          <w:tblHeader w:val="true"/>
          <w:cantSplit/>
        </w:trPr>
        <w:tc>
          <w:tcPr/>
          <w:p>
            <w:pPr>
              <w:pStyle w:val="Compact"/>
              <w:keepNext/>
              <w:jc w:val="left"/>
            </w:pPr>
            <w:r>
              <w:t xml:space="preserve">Nhóm SCM</w:t>
            </w:r>
          </w:p>
        </w:tc>
        <w:tc>
          <w:tcPr/>
          <w:p>
            <w:pPr>
              <w:pStyle w:val="Compact"/>
              <w:keepNext/>
              <w:jc w:val="left"/>
            </w:pPr>
            <w:r>
              <w:t xml:space="preserve">Không dùng phụ gia</w:t>
            </w:r>
          </w:p>
        </w:tc>
        <w:tc>
          <w:tcPr/>
          <w:p>
            <w:pPr>
              <w:pStyle w:val="Compact"/>
              <w:keepNext/>
              <w:jc w:val="left"/>
            </w:pPr>
            <w:r>
              <w:t xml:space="preserve">Có dùng phụ gia</w:t>
            </w:r>
          </w:p>
        </w:tc>
      </w:tr>
      <w:tr>
        <w:trPr>
          <w:cantSplit/>
        </w:trPr>
        <w:tc>
          <w:tcPr/>
          <w:p>
            <w:pPr>
              <w:pStyle w:val="Compact"/>
              <w:keepNext/>
              <w:jc w:val="left"/>
            </w:pPr>
            <w:r>
              <w:t xml:space="preserve">Không SCM</w:t>
            </w:r>
          </w:p>
        </w:tc>
        <w:tc>
          <w:tcPr/>
          <w:p>
            <w:pPr>
              <w:pStyle w:val="Compact"/>
              <w:keepNext/>
              <w:jc w:val="left"/>
            </w:pPr>
            <w:r>
              <w:t xml:space="preserve">51</w:t>
            </w:r>
          </w:p>
        </w:tc>
        <w:tc>
          <w:tcPr/>
          <w:p>
            <w:pPr>
              <w:pStyle w:val="Compact"/>
              <w:keepNext/>
              <w:jc w:val="left"/>
            </w:pPr>
            <w:r>
              <w:t xml:space="preserve">15</w:t>
            </w:r>
          </w:p>
        </w:tc>
      </w:tr>
      <w:tr>
        <w:trPr>
          <w:cantSplit/>
        </w:trPr>
        <w:tc>
          <w:tcPr/>
          <w:p>
            <w:pPr>
              <w:pStyle w:val="Compact"/>
              <w:keepNext/>
              <w:jc w:val="left"/>
            </w:pPr>
            <w:r>
              <w:t xml:space="preserve">Chỉ xỉ</w:t>
            </w:r>
          </w:p>
        </w:tc>
        <w:tc>
          <w:tcPr/>
          <w:p>
            <w:pPr>
              <w:pStyle w:val="Compact"/>
              <w:keepNext/>
              <w:jc w:val="left"/>
            </w:pPr>
            <w:r>
              <w:t xml:space="preserve">45</w:t>
            </w:r>
          </w:p>
        </w:tc>
        <w:tc>
          <w:tcPr/>
          <w:p>
            <w:pPr>
              <w:pStyle w:val="Compact"/>
              <w:keepNext/>
              <w:jc w:val="left"/>
            </w:pPr>
            <w:r>
              <w:t xml:space="preserve">50</w:t>
            </w:r>
          </w:p>
        </w:tc>
      </w:tr>
      <w:tr>
        <w:trPr>
          <w:cantSplit/>
        </w:trPr>
        <w:tc>
          <w:tcPr/>
          <w:p>
            <w:pPr>
              <w:pStyle w:val="Compact"/>
              <w:keepNext/>
              <w:jc w:val="left"/>
            </w:pPr>
            <w:r>
              <w:t xml:space="preserve">Chỉ tro bay</w:t>
            </w:r>
          </w:p>
        </w:tc>
        <w:tc>
          <w:tcPr/>
          <w:p>
            <w:pPr>
              <w:pStyle w:val="Compact"/>
              <w:keepNext/>
              <w:jc w:val="left"/>
            </w:pPr>
            <w:r>
              <w:t xml:space="preserve">1</w:t>
            </w:r>
          </w:p>
        </w:tc>
        <w:tc>
          <w:tcPr/>
          <w:p>
            <w:pPr>
              <w:pStyle w:val="Compact"/>
              <w:keepNext/>
              <w:jc w:val="left"/>
            </w:pPr>
            <w:r>
              <w:t xml:space="preserve">64</w:t>
            </w:r>
          </w:p>
        </w:tc>
      </w:tr>
      <w:tr>
        <w:trPr>
          <w:cantSplit/>
        </w:trPr>
        <w:tc>
          <w:tcPr/>
          <w:p>
            <w:pPr>
              <w:pStyle w:val="Compact"/>
              <w:jc w:val="left"/>
            </w:pPr>
            <w:r>
              <w:t xml:space="preserve">Cả hai</w:t>
            </w:r>
          </w:p>
        </w:tc>
        <w:tc>
          <w:tcPr/>
          <w:p>
            <w:pPr>
              <w:pStyle w:val="Compact"/>
              <w:jc w:val="left"/>
            </w:pPr>
            <w:r>
              <w:t xml:space="preserve">1</w:t>
            </w:r>
          </w:p>
        </w:tc>
        <w:tc>
          <w:tcPr/>
          <w:p>
            <w:pPr>
              <w:pStyle w:val="Compact"/>
              <w:jc w:val="left"/>
            </w:pPr>
            <w:r>
              <w:t xml:space="preserve">81</w:t>
            </w:r>
          </w:p>
        </w:tc>
      </w:tr>
    </w:tbl>
    <w:p>
      <w:pPr>
        <w:pStyle w:val="BodyText"/>
      </w:pPr>
      <w:r>
        <w:t xml:space="preserve">χ²(3) = 136,31; p &lt; 0,001; tần số kỳ vọng nhỏ nhất = 20,68; Cramér V = 0,665. Bác bỏ H₀: kiểu dùng SCM và việc dùng phụ gia siêu dẻo liên hệ mạnh trong bộ dữ liệu. Điều này giải thích thêm vì sao so sánh cường độ giữa nhóm SCM cần thận trọng: ngoài xi măng, việc dùng phụ gia cũng rất không cân bằng.</w:t>
      </w:r>
    </w:p>
    <w:p>
      <w:pPr>
        <w:pStyle w:val="BodyText"/>
      </w:pPr>
      <w:r>
        <w:drawing>
          <wp:inline>
            <wp:extent cx="5334000" cy="2880408"/>
            <wp:effectExtent b="0" l="0" r="0" t="0"/>
            <wp:docPr descr="" title="" id="49" name="Picture"/>
            <a:graphic>
              <a:graphicData uri="http://schemas.openxmlformats.org/drawingml/2006/picture">
                <pic:pic>
                  <pic:nvPicPr>
                    <pic:cNvPr descr="../figures/hypothesis_tests/hinh_3_5_chi_square.png" id="50" name="Picture"/>
                    <pic:cNvPicPr>
                      <a:picLocks noChangeArrowheads="1" noChangeAspect="1"/>
                    </pic:cNvPicPr>
                  </pic:nvPicPr>
                  <pic:blipFill>
                    <a:blip r:embed="rId48"/>
                    <a:stretch>
                      <a:fillRect/>
                    </a:stretch>
                  </pic:blipFill>
                  <pic:spPr bwMode="auto">
                    <a:xfrm>
                      <a:off x="0" y="0"/>
                      <a:ext cx="5334000" cy="2880408"/>
                    </a:xfrm>
                    <a:prstGeom prst="rect">
                      <a:avLst/>
                    </a:prstGeom>
                    <a:noFill/>
                    <a:ln w="9525">
                      <a:noFill/>
                      <a:headEnd/>
                      <a:tailEnd/>
                    </a:ln>
                  </pic:spPr>
                </pic:pic>
              </a:graphicData>
            </a:graphic>
          </wp:inline>
        </w:drawing>
      </w:r>
    </w:p>
    <w:p>
      <w:pPr>
        <w:pStyle w:val="BodyText"/>
      </w:pPr>
      <w:r>
        <w:rPr>
          <w:iCs/>
          <w:i/>
        </w:rPr>
        <w:t xml:space="preserve">Hình 3.5 Tỷ lệ dùng phụ gia siêu dẻo trong mỗi nhóm SCM ở tuổi 28 ngày.</w:t>
      </w:r>
    </w:p>
    <w:bookmarkEnd w:id="51"/>
    <w:bookmarkStart w:id="52" w:name="kết-luận-và-ý-nghĩa-thực-tiễn"/>
    <w:p>
      <w:pPr>
        <w:pStyle w:val="Heading2"/>
      </w:pPr>
      <w:r>
        <w:t xml:space="preserve">3.7 Kết luận và ý nghĩa thực tiễn</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keepNext/>
              <w:jc w:val="left"/>
            </w:pPr>
            <w:r>
              <w:t xml:space="preserve">Câu hỏi</w:t>
            </w:r>
          </w:p>
        </w:tc>
        <w:tc>
          <w:tcPr/>
          <w:p>
            <w:pPr>
              <w:pStyle w:val="Compact"/>
              <w:keepNext/>
              <w:jc w:val="left"/>
            </w:pPr>
            <w:r>
              <w:t xml:space="preserve">Kết quả chính</w:t>
            </w:r>
          </w:p>
        </w:tc>
        <w:tc>
          <w:tcPr/>
          <w:p>
            <w:pPr>
              <w:pStyle w:val="Compact"/>
              <w:keepNext/>
              <w:jc w:val="left"/>
            </w:pPr>
            <w:r>
              <w:t xml:space="preserve">Cách sử dụng kết quả</w:t>
            </w:r>
          </w:p>
        </w:tc>
      </w:tr>
      <w:tr>
        <w:trPr>
          <w:cantSplit/>
        </w:trPr>
        <w:tc>
          <w:tcPr/>
          <w:p>
            <w:pPr>
              <w:pStyle w:val="Compact"/>
              <w:keepNext/>
              <w:jc w:val="left"/>
            </w:pPr>
            <w:r>
              <w:t xml:space="preserve">Cùng cấp phối ở 7 và 28 ngày</w:t>
            </w:r>
          </w:p>
        </w:tc>
        <w:tc>
          <w:tcPr/>
          <w:p>
            <w:pPr>
              <w:pStyle w:val="Compact"/>
              <w:keepNext/>
              <w:jc w:val="left"/>
            </w:pPr>
            <w:r>
              <w:t xml:space="preserve">109 cặp; tăng trung bình 13,10 MPa, KTC 95% [12,00; 14,20]; p &lt; 0,001</w:t>
            </w:r>
          </w:p>
        </w:tc>
        <w:tc>
          <w:tcPr/>
          <w:p>
            <w:pPr>
              <w:pStyle w:val="Compact"/>
              <w:keepNext/>
              <w:jc w:val="left"/>
            </w:pPr>
            <w:r>
              <w:t xml:space="preserve">Tham khảo mức tăng trong các công thức có cặp tuổi; không áp dụng một hệ số cố định cho mọi bê tông.</w:t>
            </w:r>
          </w:p>
        </w:tc>
      </w:tr>
      <w:tr>
        <w:trPr>
          <w:cantSplit/>
        </w:trPr>
        <w:tc>
          <w:tcPr/>
          <w:p>
            <w:pPr>
              <w:pStyle w:val="Compact"/>
              <w:keepNext/>
              <w:jc w:val="left"/>
            </w:pPr>
            <w:r>
              <w:t xml:space="preserve">Bốn kiểu SCM ở 28 ngày</w:t>
            </w:r>
          </w:p>
        </w:tc>
        <w:tc>
          <w:tcPr/>
          <w:p>
            <w:pPr>
              <w:pStyle w:val="Compact"/>
              <w:keepNext/>
              <w:jc w:val="left"/>
            </w:pPr>
            <w:r>
              <w:t xml:space="preserve">Welch F(3; 161,47) = 6,88; p &lt; 0,001</w:t>
            </w:r>
          </w:p>
        </w:tc>
        <w:tc>
          <w:tcPr/>
          <w:p>
            <w:pPr>
              <w:pStyle w:val="Compact"/>
              <w:keepNext/>
              <w:jc w:val="left"/>
            </w:pPr>
            <w:r>
              <w:t xml:space="preserve">Có khác biệt cường độ quan sát được; cân nhắc lượng xi măng, nước và phụ gia trước khi diễn giải chất lượng vật liệu.</w:t>
            </w:r>
          </w:p>
        </w:tc>
      </w:tr>
      <w:tr>
        <w:trPr>
          <w:cantSplit/>
        </w:trPr>
        <w:tc>
          <w:tcPr/>
          <w:p>
            <w:pPr>
              <w:pStyle w:val="Compact"/>
              <w:jc w:val="left"/>
            </w:pPr>
            <w:r>
              <w:t xml:space="preserve">Thành phần cấp phối</w:t>
            </w:r>
          </w:p>
        </w:tc>
        <w:tc>
          <w:tcPr/>
          <w:p>
            <w:pPr>
              <w:pStyle w:val="Compact"/>
              <w:jc w:val="left"/>
            </w:pPr>
            <w:r>
              <w:t xml:space="preserve">Thứ hạng nhóm đổi khi xét vùng xi măng chung</w:t>
            </w:r>
          </w:p>
        </w:tc>
        <w:tc>
          <w:tcPr/>
          <w:p>
            <w:pPr>
              <w:pStyle w:val="Compact"/>
              <w:jc w:val="left"/>
            </w:pPr>
            <w:r>
              <w:t xml:space="preserve">Kỹ sư không nên chọn SCM dựa trên trung bình nhóm thô; cần so ở các cấp phối tương đương và thử nghiệm có kiểm soát.</w:t>
            </w:r>
          </w:p>
        </w:tc>
      </w:tr>
    </w:tbl>
    <w:p>
      <w:pPr>
        <w:pStyle w:val="BodyText"/>
      </w:pPr>
      <w:r>
        <w:t xml:space="preserve">Trong 109 công thức có cặp tuổi, mức tăng cường độ trung bình từ 7 đến 28 ngày là 13,10 MPa [12,00; 14,20]. Ở 28 ngày, bốn nhóm SCM có trung bình khác nhau theo Welch ANOVA; kết luận của từng cặp cần đọc cùng hậu kiểm và kiểm tra độ nhạy. Sự khác biệt lớn về xi măng và phụ gia khiến thứ hạng nhóm thay đổi khi giới hạn vùng xi măng. Các kết quả mô tả những cấp phối được ghi nhận trong bộ dữ liệu, không phải ước lượng tác động nhân quả của vật liệu.</w:t>
      </w:r>
    </w:p>
    <w:p>
      <w:pPr>
        <w:pStyle w:val="BodyText"/>
      </w:pPr>
      <w:r>
        <w:t xml:space="preserve">Các cấp phối có thể cùng nguồn hoặc cùng họ công thức dù đã gộp gần trùng; dữ liệu thiếu mã mẻ trộn và không được lấy ngẫu nhiên từ toàn bộ bê tông. Ngưỡng gộp 1 kg/m³ và khoảng xi măng chung là lựa chọn có thể ảnh hưởng kết luận. Báo cáo cuối cùng cần giữ nhất quán dữ liệu đã làm sạch giữa các chương.</w:t>
      </w:r>
    </w:p>
    <w:bookmarkEnd w:id="52"/>
    <w:bookmarkStart w:id="53" w:name="tài-liệu-tham-khảo-của-phần-3"/>
    <w:p>
      <w:pPr>
        <w:pStyle w:val="Heading2"/>
        <w:pageBreakBefore/>
      </w:pPr>
      <w:r>
        <w:t xml:space="preserve">Tài liệu tham khảo của phần 3</w:t>
      </w:r>
    </w:p>
    <w:p>
      <w:pPr>
        <w:pStyle w:val="FirstParagraph"/>
      </w:pPr>
      <w:r>
        <w:t xml:space="preserve">Yeh, I.-C. (1998). Modeling of strength of high-performance concrete using artificial neural networks. Cement and Concrete Research, 28(12), 1797–1808. DOI: 10.1016/S0008-8846(98)00165-3.</w:t>
      </w:r>
    </w:p>
    <w:p>
      <w:pPr>
        <w:pStyle w:val="BodyText"/>
      </w:pPr>
      <w:r>
        <w:t xml:space="preserve">Welch, B. L. (1951). On the comparison of several mean values: An alternative approach. Biometrika, 38(3–4), 330–336. DOI: 10.1093/biomet/38.3-4.330.</w:t>
      </w:r>
    </w:p>
    <w:p>
      <w:pPr>
        <w:pStyle w:val="BodyText"/>
      </w:pPr>
      <w:r>
        <w:t xml:space="preserve">Games, P. A., &amp; Howell, J. F. (1976). Pairwise multiple comparison procedures with unequal n’s and/or variances. Journal of Educational Statistics, 1(2), 113–125. DOI: 10.3102/10769986001002113.</w:t>
      </w:r>
    </w:p>
    <w:p>
      <w:pPr>
        <w:pStyle w:val="BodyText"/>
      </w:pPr>
      <w:r>
        <w:t xml:space="preserve">Cohen, J. (1988). Statistical Power Analysis for the Behavioral Sciences (2nd ed.). Lawrence Erlbaum Associates.</w:t>
      </w:r>
    </w:p>
    <w:bookmarkEnd w:id="53"/>
    <w:bookmarkEnd w:id="54"/>
    <w:sectPr>
      <w:pgMar w:top="1247" w:bottom="1134" w:left="1417" w:right="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olor w:val="000000"/>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color w:val="000000"/>
      <w:sz w:val="28"/>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 Id="rId29" Type="http://schemas.openxmlformats.org/officeDocument/2006/relationships/image" Target="media/rId29.png"/><Relationship Id="rId33" Type="http://schemas.openxmlformats.org/officeDocument/2006/relationships/image" Target="media/rId33.png"/><Relationship Id="rId36" Type="http://schemas.openxmlformats.org/officeDocument/2006/relationships/image" Target="media/rId36.png"/><Relationship Id="rId39" Type="http://schemas.openxmlformats.org/officeDocument/2006/relationships/image" Target="media/rId39.png"/><Relationship Id="rId44" Type="http://schemas.openxmlformats.org/officeDocument/2006/relationships/image" Target="media/rId44.png"/><Relationship Id="rId48" Type="http://schemas.openxmlformats.org/officeDocument/2006/relationships/image" Target="media/rId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2026-10-10T10:25:37Z</dcterms:created>
  <dcterms:modified xsi:type="dcterms:W3CDTF">2026-10-10T10:25:37Z</dcterms:modified>
</cp:coreProperties>
</file>

<file path=docProps/custom.xml><?xml version="1.0" encoding="utf-8"?>
<Properties xmlns="http://schemas.openxmlformats.org/officeDocument/2006/custom-properties" xmlns:vt="http://schemas.openxmlformats.org/officeDocument/2006/docPropsVTypes"/>
</file>