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24.png" ContentType="image/png"/>
  <Override PartName="/word/media/rId56.png" ContentType="image/png"/>
  <Override PartName="/word/media/rId62.png" ContentType="image/png"/>
  <Override PartName="/word/media/rId30.png" ContentType="image/png"/>
  <Override PartName="/word/media/rId72.png" ContentType="image/png"/>
  <Override PartName="/word/media/rId36.png" ContentType="image/png"/>
  <Override PartName="/word/media/rId82.png" ContentType="image/png"/>
  <Override PartName="/word/media/rId88.png" ContentType="image/png"/>
  <Override PartName="/word/media/rId94.png" ContentType="image/png"/>
  <Override PartName="/word/media/rId97.png" ContentType="image/png"/>
  <Override PartName="/word/media/rId21.png" ContentType="image/png"/>
  <Override PartName="/word/media/rId53.png" ContentType="image/png"/>
  <Override PartName="/word/media/rId59.png" ContentType="image/png"/>
  <Override PartName="/word/media/rId27.png" ContentType="image/png"/>
  <Override PartName="/word/media/rId69.png" ContentType="image/png"/>
  <Override PartName="/word/media/rId33.png" ContentType="image/png"/>
  <Override PartName="/word/media/rId79.png" ContentType="image/png"/>
  <Override PartName="/word/media/rId85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Сравнительный анализ методов определения режима течения газожидкостной смеси в трубе</w:t>
      </w:r>
    </w:p>
    <w:p>
      <w:pPr>
        <w:pStyle w:val="Subtitle"/>
      </w:pPr>
      <w:r>
        <w:t xml:space="preserve">Верификация корреляций Ансари и Беггса-Брилла по данным симулятора OLGA (Schlumberger) на 10 сценариях, сетка 100×100 (Vsl × Vsg)</w:t>
      </w:r>
    </w:p>
    <w:p>
      <w:pPr>
        <w:pStyle w:val="Date"/>
      </w:pPr>
      <w:r>
        <w:t xml:space="preserve">2026-09-18</w:t>
      </w:r>
    </w:p>
    <w:bookmarkStart w:id="9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Определение режима течения газожидкостной смеси в трубе — необходимый этап проектирования систем сбора и</w:t>
      </w:r>
      <w:r>
        <w:t xml:space="preserve"> </w:t>
      </w:r>
      <w:r>
        <w:t xml:space="preserve">транспорта углеводородов: от режима течения зависят потери давления, удержание жидкости (holdup), интенсивность</w:t>
      </w:r>
      <w:r>
        <w:t xml:space="preserve"> </w:t>
      </w:r>
      <w:r>
        <w:t xml:space="preserve">коррозии, тепловые потери и риск возникновения гидроударов при переходе к пробковому режиму. В работе выполнено</w:t>
      </w:r>
      <w:r>
        <w:t xml:space="preserve"> </w:t>
      </w:r>
      <w:r>
        <w:t xml:space="preserve">сопоставление классификации режимов течения, полученной двумя классическими корреляциями — механистической</w:t>
      </w:r>
      <w:r>
        <w:t xml:space="preserve"> </w:t>
      </w:r>
      <w:r>
        <w:t xml:space="preserve">моделью Ансари и др. (Ansari et al., 1994) для восходящего наклонно-вертикального потока и полуэмпирической</w:t>
      </w:r>
      <w:r>
        <w:t xml:space="preserve"> </w:t>
      </w:r>
      <w:r>
        <w:t xml:space="preserve">моделью Беггса-Брилла (Beggs, Brill, 1973) для труб произвольного наклона, реализованными в авторском</w:t>
      </w:r>
      <w:r>
        <w:t xml:space="preserve"> </w:t>
      </w:r>
      <w:r>
        <w:t xml:space="preserve">программном обеспечении FlowMapUtility, — с результатами промышленного симулятора многофазного течения OLGA</w:t>
      </w:r>
      <w:r>
        <w:t xml:space="preserve"> </w:t>
      </w:r>
      <w:r>
        <w:t xml:space="preserve">(Schlumberger), принятого в работе за отраслевой референс. Сравнение выполнено на 10 сценариях (5 скважин и</w:t>
      </w:r>
      <w:r>
        <w:t xml:space="preserve"> </w:t>
      </w:r>
      <w:r>
        <w:t xml:space="preserve">5 трубопроводов) с углами наклона от 0° до 90°, на регулярной сетке 100×100 точек по приведённым скоростям</w:t>
      </w:r>
      <w:r>
        <w:t xml:space="preserve"> </w:t>
      </w:r>
      <w:r>
        <w:t xml:space="preserve">жидкости и газа (10 000 точек на кейс, 100 000 точек всего). Показано, что для около-вертикальных скважин</w:t>
      </w:r>
      <w:r>
        <w:t xml:space="preserve"> </w:t>
      </w:r>
      <w:r>
        <w:t xml:space="preserve">(модель Ансари) совпадение классификации с OLGA составляет 68–77%, тогда как для горизонтальных и наклонных</w:t>
      </w:r>
      <w:r>
        <w:t xml:space="preserve"> </w:t>
      </w:r>
      <w:r>
        <w:t xml:space="preserve">трубопроводов (модель Беггса-Брилла) — 38–60%, причём точность в целом снижается с ростом угла наклона.</w:t>
      </w:r>
      <w:r>
        <w:t xml:space="preserve"> </w:t>
      </w:r>
      <w:r>
        <w:t xml:space="preserve">Установлено, что основной источник расхождений — структурные ограничения самих классических корреляций</w:t>
      </w:r>
      <w:r>
        <w:t xml:space="preserve"> </w:t>
      </w:r>
      <w:r>
        <w:t xml:space="preserve">(независимость порога перехода в кольцевой режим от скорости жидкости у модели Ансари; полное отсутствие угла</w:t>
      </w:r>
      <w:r>
        <w:t xml:space="preserve"> </w:t>
      </w:r>
      <w:r>
        <w:t xml:space="preserve">наклона в классификации режима у модели Беггса-Брилла; заниженная по сравнению с OLGA площадь расслоенного</w:t>
      </w:r>
      <w:r>
        <w:t xml:space="preserve"> </w:t>
      </w:r>
      <w:r>
        <w:t xml:space="preserve">режима у модели Беггса-Брилла), а не ошибки программной реализации. Результаты показывают, что использование</w:t>
      </w:r>
      <w:r>
        <w:t xml:space="preserve"> </w:t>
      </w:r>
      <w:r>
        <w:t xml:space="preserve">классических корреляций для построения карт режимов течения без модификаций требует осторожности, особенно для</w:t>
      </w:r>
      <w:r>
        <w:t xml:space="preserve"> </w:t>
      </w:r>
      <w:r>
        <w:t xml:space="preserve">наклонных трубопроводов с углом наклона более 30°.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многофазный поток, режим течения, карта режимов течения, корреляция Ансари, корреляция</w:t>
      </w:r>
      <w:r>
        <w:t xml:space="preserve"> </w:t>
      </w:r>
      <w:r>
        <w:t xml:space="preserve">Беггса-Брилла, OLGA, верификация расчётных моделей, приведённая скорость</w:t>
      </w:r>
    </w:p>
    <w:bookmarkEnd w:id="9"/>
    <w:bookmarkStart w:id="10" w:name="введение"/>
    <w:p>
      <w:pPr>
        <w:pStyle w:val="Heading2"/>
      </w:pPr>
      <w:r>
        <w:t xml:space="preserve">1. Введение</w:t>
      </w:r>
    </w:p>
    <w:p>
      <w:pPr>
        <w:pStyle w:val="FirstParagraph"/>
      </w:pPr>
      <w:r>
        <w:t xml:space="preserve">Совместное течение газа и жидкости в трубе может принимать качественно разные пространственные конфигурации</w:t>
      </w:r>
      <w:r>
        <w:t xml:space="preserve"> </w:t>
      </w:r>
      <w:r>
        <w:t xml:space="preserve">(пузырьковую, пробковую, дисперсно-пузырьковую, расслоённую, кольцевую и др.), объединяемые понятием</w:t>
      </w:r>
      <w:r>
        <w:t xml:space="preserve"> </w:t>
      </w:r>
      <w:r>
        <w:rPr>
          <w:i/>
          <w:iCs/>
        </w:rPr>
        <w:t xml:space="preserve">режим</w:t>
      </w:r>
      <w:r>
        <w:rPr>
          <w:i/>
          <w:iCs/>
        </w:rPr>
        <w:t xml:space="preserve"> </w:t>
      </w:r>
      <w:r>
        <w:rPr>
          <w:i/>
          <w:iCs/>
        </w:rPr>
        <w:t xml:space="preserve">течения</w:t>
      </w:r>
      <w:r>
        <w:t xml:space="preserve"> </w:t>
      </w:r>
      <w:r>
        <w:t xml:space="preserve">(flow pattern / flow regime). Режим течения — не второстепенная деталь, а определяющий фактор для</w:t>
      </w:r>
      <w:r>
        <w:t xml:space="preserve"> </w:t>
      </w:r>
      <w:r>
        <w:t xml:space="preserve">инженерного расчёта многофазного потока: от него зависят применяемая корреляция для градиента давления и</w:t>
      </w:r>
      <w:r>
        <w:t xml:space="preserve"> </w:t>
      </w:r>
      <w:r>
        <w:t xml:space="preserve">удержания жидкости, интенсивность коррозии и эрозии, эффективность теплообмена, а также риск возникновения</w:t>
      </w:r>
      <w:r>
        <w:t xml:space="preserve"> </w:t>
      </w:r>
      <w:r>
        <w:t xml:space="preserve">гидроударов и переполнения сепараторов при пробковом (slug) режиме. Ошибка в определении режима течения</w:t>
      </w:r>
      <w:r>
        <w:t xml:space="preserve"> </w:t>
      </w:r>
      <w:r>
        <w:t xml:space="preserve">приводит к системной ошибке во всех последующих гидравлических расчётах, поэтому точность карт режимов течения</w:t>
      </w:r>
      <w:r>
        <w:t xml:space="preserve"> </w:t>
      </w:r>
      <w:r>
        <w:t xml:space="preserve">— предмет постоянных исследований в трубопроводной гидравлике с 1950-х годов.</w:t>
      </w:r>
    </w:p>
    <w:p>
      <w:pPr>
        <w:pStyle w:val="BodyText"/>
      </w:pPr>
      <w:r>
        <w:t xml:space="preserve">Исторически сложилось два подхода к построению карт режимов: (1) классические корреляции — эмпирические и</w:t>
      </w:r>
      <w:r>
        <w:t xml:space="preserve"> </w:t>
      </w:r>
      <w:r>
        <w:t xml:space="preserve">полуэмпирические зависимости, полученные аппроксимацией лабораторных данных на трубах малого диаметра, и</w:t>
      </w:r>
      <w:r>
        <w:t xml:space="preserve"> </w:t>
      </w:r>
      <w:r>
        <w:t xml:space="preserve">(2) коммерческие механистические симуляторы многофазного потока (OLGA, PIPESIM, LedaFlow и др.), использующие</w:t>
      </w:r>
      <w:r>
        <w:t xml:space="preserve"> </w:t>
      </w:r>
      <w:r>
        <w:t xml:space="preserve">более сложные, часто проприетарные модели с большим числом эмпирических замыканий. Классические корреляции</w:t>
      </w:r>
      <w:r>
        <w:t xml:space="preserve"> </w:t>
      </w:r>
      <w:r>
        <w:t xml:space="preserve">остаются массово востребованными из-за простоты реализации и вычислительной дешевизны, но их применимость за</w:t>
      </w:r>
      <w:r>
        <w:t xml:space="preserve"> </w:t>
      </w:r>
      <w:r>
        <w:t xml:space="preserve">пределами условий, на которых они были откалиброваны, заранее не гарантирована.</w:t>
      </w:r>
    </w:p>
    <w:p>
      <w:pPr>
        <w:pStyle w:val="BodyText"/>
      </w:pPr>
      <w:r>
        <w:t xml:space="preserve">Настоящая работа посвящена количественной верификации двух классических корреляций — модели Ансари (Ansari et</w:t>
      </w:r>
      <w:r>
        <w:t xml:space="preserve"> </w:t>
      </w:r>
      <w:r>
        <w:t xml:space="preserve">al., 1994) для восходящего наклонно-вертикального потока и модели Беггса-Брилла (Beggs, Brill, 1973) для труб</w:t>
      </w:r>
      <w:r>
        <w:t xml:space="preserve"> </w:t>
      </w:r>
      <w:r>
        <w:t xml:space="preserve">произвольного наклона, — реализованных в открытом программном обеспечении FlowMapUtility, против карт режимов</w:t>
      </w:r>
      <w:r>
        <w:t xml:space="preserve"> </w:t>
      </w:r>
      <w:r>
        <w:t xml:space="preserve">течения, построенных промышленным симулятором OLGA (Schlumberger) для тех же условий. Целью работы является</w:t>
      </w:r>
      <w:r>
        <w:t xml:space="preserve"> </w:t>
      </w:r>
      <w:r>
        <w:t xml:space="preserve">не столько подтверждение или опровержение корректности реализации корреляций (она заведомо соответствует</w:t>
      </w:r>
      <w:r>
        <w:t xml:space="preserve"> </w:t>
      </w:r>
      <w:r>
        <w:t xml:space="preserve">исходным публикациям, см. §3.1), сколько количественная оценка</w:t>
      </w:r>
      <w:r>
        <w:t xml:space="preserve"> </w:t>
      </w:r>
      <w:r>
        <w:rPr>
          <w:i/>
          <w:iCs/>
        </w:rPr>
        <w:t xml:space="preserve">расхождения самих корреляций с промышленным</w:t>
      </w:r>
      <w:r>
        <w:rPr>
          <w:i/>
          <w:iCs/>
        </w:rPr>
        <w:t xml:space="preserve"> </w:t>
      </w:r>
      <w:r>
        <w:rPr>
          <w:i/>
          <w:iCs/>
        </w:rPr>
        <w:t xml:space="preserve">эталоном</w:t>
      </w:r>
      <w:r>
        <w:t xml:space="preserve"> </w:t>
      </w:r>
      <w:r>
        <w:t xml:space="preserve">и объяснение природы этого расхождения через структурные особенности исходных моделей.</w:t>
      </w:r>
    </w:p>
    <w:p>
      <w:pPr>
        <w:pStyle w:val="BodyText"/>
      </w:pPr>
      <w:r>
        <w:t xml:space="preserve">Задачи работы:</w:t>
      </w:r>
    </w:p>
    <w:p>
      <w:pPr>
        <w:pStyle w:val="Compact"/>
        <w:numPr>
          <w:ilvl w:val="0"/>
          <w:numId w:val="1001"/>
        </w:numPr>
      </w:pPr>
      <w:r>
        <w:t xml:space="preserve">Провести обзор существующих подходов к определению режима течения — от ранних эмпирических карт до</w:t>
      </w:r>
      <w:r>
        <w:t xml:space="preserve"> </w:t>
      </w:r>
      <w:r>
        <w:t xml:space="preserve">механистических моделей и коммерческих симуляторов (§2).</w:t>
      </w:r>
    </w:p>
    <w:p>
      <w:pPr>
        <w:pStyle w:val="Compact"/>
        <w:numPr>
          <w:ilvl w:val="0"/>
          <w:numId w:val="1001"/>
        </w:numPr>
      </w:pPr>
      <w:r>
        <w:t xml:space="preserve">Описать методику сопоставления двух классификаций режимов на сетке приведённых скоростей и официальное</w:t>
      </w:r>
      <w:r>
        <w:t xml:space="preserve"> </w:t>
      </w:r>
      <w:r>
        <w:t xml:space="preserve">соответствие кодов режимов FlowMapUtility и OLGA (§3).</w:t>
      </w:r>
    </w:p>
    <w:p>
      <w:pPr>
        <w:pStyle w:val="Compact"/>
        <w:numPr>
          <w:ilvl w:val="0"/>
          <w:numId w:val="1001"/>
        </w:numPr>
      </w:pPr>
      <w:r>
        <w:t xml:space="preserve">Количественно оценить долю совпадения классификации для 10 представительных сценариев скважин и</w:t>
      </w:r>
      <w:r>
        <w:t xml:space="preserve"> </w:t>
      </w:r>
      <w:r>
        <w:t xml:space="preserve">трубопроводов (§4).</w:t>
      </w:r>
    </w:p>
    <w:p>
      <w:pPr>
        <w:pStyle w:val="Compact"/>
        <w:numPr>
          <w:ilvl w:val="0"/>
          <w:numId w:val="1001"/>
        </w:numPr>
      </w:pPr>
      <w:r>
        <w:t xml:space="preserve">Объяснить наблюдаемые расхождения через структурные особенности корреляций и сформулировать практические</w:t>
      </w:r>
      <w:r>
        <w:t xml:space="preserve"> </w:t>
      </w:r>
      <w:r>
        <w:t xml:space="preserve">рекомендации (§5–§6).</w:t>
      </w:r>
    </w:p>
    <w:bookmarkEnd w:id="10"/>
    <w:bookmarkStart w:id="14" w:name="обзор-методов-определения-режима-течения"/>
    <w:p>
      <w:pPr>
        <w:pStyle w:val="Heading2"/>
      </w:pPr>
      <w:r>
        <w:t xml:space="preserve">2. Обзор методов определения режима течения</w:t>
      </w:r>
    </w:p>
    <w:bookmarkStart w:id="11" w:name="эмпирические-карты-режимов"/>
    <w:p>
      <w:pPr>
        <w:pStyle w:val="Heading3"/>
      </w:pPr>
      <w:r>
        <w:t xml:space="preserve">2.1 Эмпирические карты режимов</w:t>
      </w:r>
    </w:p>
    <w:p>
      <w:pPr>
        <w:pStyle w:val="FirstParagraph"/>
      </w:pPr>
      <w:r>
        <w:t xml:space="preserve">Первые карты режимов течения строились как эмпирические диаграммы в координатах, связанных с массовыми или</w:t>
      </w:r>
      <w:r>
        <w:t xml:space="preserve"> </w:t>
      </w:r>
      <w:r>
        <w:t xml:space="preserve">объёмными расходами фаз, без явной физической модели перехода между режимами. Наиболее известна ранняя карта</w:t>
      </w:r>
      <w:r>
        <w:t xml:space="preserve"> </w:t>
      </w:r>
      <w:r>
        <w:t xml:space="preserve">Бейкера (Baker, 1954) для горизонтальных труб, построенная по данным на трубах малого диаметра и до сих пор</w:t>
      </w:r>
      <w:r>
        <w:t xml:space="preserve"> </w:t>
      </w:r>
      <w:r>
        <w:t xml:space="preserve">встречающаяся в инженерных справочниках, несмотря на ограниченную применимость к современным диаметрам труб и</w:t>
      </w:r>
      <w:r>
        <w:t xml:space="preserve"> </w:t>
      </w:r>
      <w:r>
        <w:t xml:space="preserve">свойствам флюидов. Позднее Мандхейн с соавторами (Mandhane, Gregory, Aziz, 1974) предложили карту в координатах</w:t>
      </w:r>
      <w:r>
        <w:t xml:space="preserve"> </w:t>
      </w:r>
      <w:r>
        <w:t xml:space="preserve">приведённых скоростей газа и жидкости (Vsg–Vsl) — именно этот формат координат стал стандартом де-факто и</w:t>
      </w:r>
      <w:r>
        <w:t xml:space="preserve"> </w:t>
      </w:r>
      <w:r>
        <w:t xml:space="preserve">используется в настоящей работе. Эмпирические карты просты в применении, но их границы режимов являются</w:t>
      </w:r>
      <w:r>
        <w:t xml:space="preserve"> </w:t>
      </w:r>
      <w:r>
        <w:t xml:space="preserve">статическими линиями на плоскости и не учитывают явно диаметр трубы, свойства флюидов и угол наклона, что</w:t>
      </w:r>
      <w:r>
        <w:t xml:space="preserve"> </w:t>
      </w:r>
      <w:r>
        <w:t xml:space="preserve">ограничивает их точность за пределами условий калибровки.</w:t>
      </w:r>
    </w:p>
    <w:bookmarkEnd w:id="11"/>
    <w:bookmarkStart w:id="12" w:name="Xc196a4b72d33ee694cbad163a08ba0637614dc0"/>
    <w:p>
      <w:pPr>
        <w:pStyle w:val="Heading3"/>
      </w:pPr>
      <w:r>
        <w:t xml:space="preserve">2.2 Механистические и полуэмпирические модели</w:t>
      </w:r>
    </w:p>
    <w:p>
      <w:pPr>
        <w:pStyle w:val="FirstParagraph"/>
      </w:pPr>
      <w:r>
        <w:t xml:space="preserve">Механистические модели, в отличие от чисто эмпирических карт, выводят границы режимов из физических критериев</w:t>
      </w:r>
      <w:r>
        <w:t xml:space="preserve"> </w:t>
      </w:r>
      <w:r>
        <w:t xml:space="preserve">устойчивости (например, устойчивость расслоённого течения по Кельвину-Гельмгольцу, критическая скорость</w:t>
      </w:r>
      <w:r>
        <w:t xml:space="preserve"> </w:t>
      </w:r>
      <w:r>
        <w:t xml:space="preserve">дробления пузырьков и т.п.), откалиброванных по экспериментальным константам. Основополагающей работой стала</w:t>
      </w:r>
      <w:r>
        <w:t xml:space="preserve"> </w:t>
      </w:r>
      <w:r>
        <w:t xml:space="preserve">модель Тайтела-Даклера (Taitel, Dukler, 1976) для горизонтальных и слабонаклонных труб, впоследствии обобщённая</w:t>
      </w:r>
      <w:r>
        <w:t xml:space="preserve"> </w:t>
      </w:r>
      <w:r>
        <w:t xml:space="preserve">Барнеа (Barnea, 1987) в единую модель, применимую при произвольном угле наклона трубы от -90° до +90°.</w:t>
      </w:r>
    </w:p>
    <w:p>
      <w:pPr>
        <w:pStyle w:val="BodyText"/>
      </w:pPr>
      <w:r>
        <w:t xml:space="preserve">Для восходящего течения в наклонно-вертикальных скважинах отдельное направление развития механистических</w:t>
      </w:r>
      <w:r>
        <w:t xml:space="preserve"> </w:t>
      </w:r>
      <w:r>
        <w:t xml:space="preserve">моделей представлено работой Ансари и др. (Ansari et al., 1994) — составной (composite) моделью, объединяющей</w:t>
      </w:r>
      <w:r>
        <w:t xml:space="preserve"> </w:t>
      </w:r>
      <w:r>
        <w:t xml:space="preserve">критерии перехода между пузырьковым, пробковым, дисперсно-пузырьковым и кольцевым режимами специально для</w:t>
      </w:r>
      <w:r>
        <w:t xml:space="preserve"> </w:t>
      </w:r>
      <w:r>
        <w:t xml:space="preserve">условий добывающих скважин. Именно эта модель реализована в FlowMapUtility как</w:t>
      </w:r>
      <w:r>
        <w:t xml:space="preserve"> </w:t>
      </w:r>
      <w:r>
        <w:rPr>
          <w:rStyle w:val="VerbatimChar"/>
        </w:rPr>
        <w:t xml:space="preserve">AnsariModel</w:t>
      </w:r>
      <w:r>
        <w:t xml:space="preserve"> </w:t>
      </w:r>
      <w:r>
        <w:t xml:space="preserve">(см. §3.1) и</w:t>
      </w:r>
      <w:r>
        <w:t xml:space="preserve"> </w:t>
      </w:r>
      <w:r>
        <w:t xml:space="preserve">используется в настоящей работе для сценариев скважин (кейсы 1, 2, 3, 7, 10, угол 75–90°).</w:t>
      </w:r>
    </w:p>
    <w:p>
      <w:pPr>
        <w:pStyle w:val="BodyText"/>
      </w:pPr>
      <w:r>
        <w:t xml:space="preserve">Отдельную нишу занимает полуэмпирическая корреляция Беггса-Брилла (Beggs, Brill, 1973), полученная по</w:t>
      </w:r>
      <w:r>
        <w:t xml:space="preserve"> </w:t>
      </w:r>
      <w:r>
        <w:t xml:space="preserve">результатам экспериментов на прозрачной трубе диаметром 1–1.5 дюйма с изменяемым углом наклона от -90° до +90°.</w:t>
      </w:r>
      <w:r>
        <w:t xml:space="preserve"> </w:t>
      </w:r>
      <w:r>
        <w:t xml:space="preserve">Важная особенность оригинальной методики Беггса-Брилла — классификация режима (segregated / intermittent /</w:t>
      </w:r>
      <w:r>
        <w:t xml:space="preserve"> </w:t>
      </w:r>
      <w:r>
        <w:t xml:space="preserve">distributed, с переходной зоной transition) определяется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числом Фруда смеси и объёмным расходным</w:t>
      </w:r>
      <w:r>
        <w:t xml:space="preserve"> </w:t>
      </w:r>
      <w:r>
        <w:t xml:space="preserve">содержанием жидкости без учёта угла наклона трубы; угол наклона в оригинальной работе 1973 года используется</w:t>
      </w:r>
      <w:r>
        <w:t xml:space="preserve"> </w:t>
      </w:r>
      <w:r>
        <w:t xml:space="preserve">лишь для последующей поправки удержания жидкости внутри уже определённого режима, а не для самой границы</w:t>
      </w:r>
      <w:r>
        <w:t xml:space="preserve"> </w:t>
      </w:r>
      <w:r>
        <w:t xml:space="preserve">режима. Это структурное свойство исходной модели, а не упрощение при программной реализации — оно подробно</w:t>
      </w:r>
      <w:r>
        <w:t xml:space="preserve"> </w:t>
      </w:r>
      <w:r>
        <w:t xml:space="preserve">разбирается в §5 как одна из основных причин расхождений с OLGA.</w:t>
      </w:r>
    </w:p>
    <w:bookmarkEnd w:id="12"/>
    <w:bookmarkStart w:id="13" w:name="Xb4fd6db94110a2a271c8f33bf866275209bb931"/>
    <w:p>
      <w:pPr>
        <w:pStyle w:val="Heading3"/>
      </w:pPr>
      <w:r>
        <w:t xml:space="preserve">2.3 Коммерческие симуляторы многофазного течения</w:t>
      </w:r>
    </w:p>
    <w:p>
      <w:pPr>
        <w:pStyle w:val="FirstParagraph"/>
      </w:pPr>
      <w:r>
        <w:t xml:space="preserve">Коммерческие транзиентные симуляторы многофазного потока, из которых наиболее распространён OLGA (Schlumberger/</w:t>
      </w:r>
      <w:r>
        <w:t xml:space="preserve"> </w:t>
      </w:r>
      <w:r>
        <w:t xml:space="preserve">SLB), используют собственный, проприетарный набор замыкающих корреляций для перехода между режимами, не</w:t>
      </w:r>
      <w:r>
        <w:t xml:space="preserve"> </w:t>
      </w:r>
      <w:r>
        <w:t xml:space="preserve">публикуемый в полном объёме в открытой печати. Поэтому в настоящей работе OLGA рассматривается исключительно</w:t>
      </w:r>
      <w:r>
        <w:t xml:space="preserve"> </w:t>
      </w:r>
      <w:r>
        <w:t xml:space="preserve">как источник эталонных карт режимов (</w:t>
      </w:r>
      <w:r>
        <w:t xml:space="preserve">“чёрный ящик”</w:t>
      </w:r>
      <w:r>
        <w:t xml:space="preserve">) для сравнения, без попытки воспроизвести или объяснить</w:t>
      </w:r>
      <w:r>
        <w:t xml:space="preserve"> </w:t>
      </w:r>
      <w:r>
        <w:t xml:space="preserve">внутреннюю логику самого симулятора. Официальная легенда кодов режимов на экспортируемой карте OLGA (см. §3.3)</w:t>
      </w:r>
      <w:r>
        <w:t xml:space="preserve"> </w:t>
      </w:r>
      <w:r>
        <w:t xml:space="preserve">при этом документирована и однозначна.</w:t>
      </w:r>
    </w:p>
    <w:bookmarkEnd w:id="13"/>
    <w:bookmarkEnd w:id="14"/>
    <w:bookmarkStart w:id="19" w:name="материалы-и-методы"/>
    <w:p>
      <w:pPr>
        <w:pStyle w:val="Heading2"/>
      </w:pPr>
      <w:r>
        <w:t xml:space="preserve">3. Материалы и методы</w:t>
      </w:r>
    </w:p>
    <w:bookmarkStart w:id="15" w:name="программная-реализация-корреляций"/>
    <w:p>
      <w:pPr>
        <w:pStyle w:val="Heading3"/>
      </w:pPr>
      <w:r>
        <w:t xml:space="preserve">3.1 Программная реализация корреляций</w:t>
      </w:r>
    </w:p>
    <w:p>
      <w:pPr>
        <w:pStyle w:val="FirstParagraph"/>
      </w:pPr>
      <w:r>
        <w:t xml:space="preserve">Обе корреляции реализованы в модулях</w:t>
      </w:r>
      <w:r>
        <w:t xml:space="preserve"> </w:t>
      </w:r>
      <w:r>
        <w:rPr>
          <w:rStyle w:val="VerbatimChar"/>
        </w:rPr>
        <w:t xml:space="preserve">src/flowmaputility/correlations/ansari.py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src/flowmaputility/correlations/beggs_brill.py</w:t>
      </w:r>
      <w:r>
        <w:t xml:space="preserve"> </w:t>
      </w:r>
      <w:r>
        <w:t xml:space="preserve">пакета FlowMapUtility. Классификация режима возвращается в виде</w:t>
      </w:r>
      <w:r>
        <w:t xml:space="preserve"> </w:t>
      </w:r>
      <w:r>
        <w:t xml:space="preserve">кода</w:t>
      </w:r>
      <w:r>
        <w:t xml:space="preserve"> </w:t>
      </w:r>
      <w:r>
        <w:rPr>
          <w:rStyle w:val="VerbatimChar"/>
        </w:rPr>
        <w:t xml:space="preserve">FlowPatternCode</w:t>
      </w:r>
      <w:r>
        <w:t xml:space="preserve"> </w:t>
      </w:r>
      <w:r>
        <w:t xml:space="preserve">(перечисление в</w:t>
      </w:r>
      <w:r>
        <w:t xml:space="preserve"> </w:t>
      </w:r>
      <w:r>
        <w:rPr>
          <w:rStyle w:val="VerbatimChar"/>
        </w:rPr>
        <w:t xml:space="preserve">src/flowmaputility/correlations/base.py</w:t>
      </w:r>
      <w:r>
        <w:t xml:space="preserve">, см. легенду в §3.3).</w:t>
      </w:r>
    </w:p>
    <w:p>
      <w:pPr>
        <w:pStyle w:val="BodyText"/>
      </w:pPr>
      <w:r>
        <w:t xml:space="preserve">Модель Ансари (</w:t>
      </w:r>
      <w:r>
        <w:rPr>
          <w:rStyle w:val="VerbatimChar"/>
        </w:rPr>
        <w:t xml:space="preserve">AnsariModel._fpup</w:t>
      </w:r>
      <w:r>
        <w:t xml:space="preserve">) для восходящего потока (75° ≤ угол ≤ 90°) определяет режим через три</w:t>
      </w:r>
      <w:r>
        <w:t xml:space="preserve"> </w:t>
      </w:r>
      <w:r>
        <w:t xml:space="preserve">граничные скорости газа</w:t>
      </w:r>
      <w:r>
        <w:t xml:space="preserve"> </w:t>
      </w:r>
      <w:r>
        <w:rPr>
          <w:rStyle w:val="VerbatimChar"/>
        </w:rPr>
        <w:t xml:space="preserve">vsg1</w:t>
      </w:r>
      <w:r>
        <w:t xml:space="preserve">,</w:t>
      </w:r>
      <w:r>
        <w:t xml:space="preserve"> </w:t>
      </w:r>
      <w:r>
        <w:rPr>
          <w:rStyle w:val="VerbatimChar"/>
        </w:rPr>
        <w:t xml:space="preserve">vsg2</w:t>
      </w:r>
      <w:r>
        <w:t xml:space="preserve">,</w:t>
      </w:r>
      <w:r>
        <w:t xml:space="preserve"> </w:t>
      </w:r>
      <w:r>
        <w:rPr>
          <w:rStyle w:val="VerbatimChar"/>
        </w:rPr>
        <w:t xml:space="preserve">vsg3</w:t>
      </w:r>
      <w:r>
        <w:t xml:space="preserve">, рассчитываемые итерационно (</w:t>
      </w:r>
      <w:r>
        <w:rPr>
          <w:rStyle w:val="VerbatimChar"/>
        </w:rPr>
        <w:t xml:space="preserve">_mpoint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_dbtran</w:t>
      </w:r>
      <w:r>
        <w:t xml:space="preserve">) с учётом</w:t>
      </w:r>
      <w:r>
        <w:t xml:space="preserve"> </w:t>
      </w:r>
      <w:r>
        <w:t xml:space="preserve">диаметра трубы, шероховатости, плотностей, вязкостей фаз и поверхностного натяжения. Ключевая для дальнейшего</w:t>
      </w:r>
      <w:r>
        <w:t xml:space="preserve"> </w:t>
      </w:r>
      <w:r>
        <w:t xml:space="preserve">анализа деталь — порог перехода в кольцевой режим: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t> </m:t>
              </m:r>
              <m:r>
                <m:t>g</m:t>
              </m:r>
              <m:r>
                <m:rPr>
                  <m:sty m:val="p"/>
                </m:rPr>
                <m:t>sin</m:t>
              </m:r>
              <m:r>
                <m:t>α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ρ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0.25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не зависит от приведённой скорости жидкости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l</m:t>
            </m:r>
          </m:sub>
        </m:sSub>
      </m:oMath>
      <w:r>
        <w:t xml:space="preserve"> </w:t>
      </w:r>
      <w:r>
        <w:t xml:space="preserve">— это прямое следствие формулы из оригинальной работы</w:t>
      </w:r>
      <w:r>
        <w:t xml:space="preserve"> </w:t>
      </w:r>
      <w:r>
        <w:t xml:space="preserve">Ансари и др. (1994), а не артефакт реализации.</w:t>
      </w:r>
    </w:p>
    <w:p>
      <w:pPr>
        <w:pStyle w:val="BodyText"/>
      </w:pPr>
      <w:r>
        <w:t xml:space="preserve">Модель Беггса-Брилла (</w:t>
      </w:r>
      <w:r>
        <w:rPr>
          <w:rStyle w:val="VerbatimChar"/>
        </w:rPr>
        <w:t xml:space="preserve">BeggsBrillModel._flow_pattern</w:t>
      </w:r>
      <w:r>
        <w:t xml:space="preserve">, диапазон углов 0°–75°) классифицирует режим по</w:t>
      </w:r>
      <w:r>
        <w:t xml:space="preserve"> </w:t>
      </w:r>
      <w:r>
        <w:t xml:space="preserve">безразмерному объёмному содержанию жидкости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s</m:t>
            </m:r>
            <m:r>
              <m:t>l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s</m:t>
            </m:r>
            <m:r>
              <m:t>l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s</m:t>
            </m:r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и числу Фруда смеси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s</m:t>
            </m:r>
            <m:r>
              <m:t>l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s</m:t>
            </m:r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по системе пороговых неравенств: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Stratified: </m:t>
          </m:r>
          <m:sSub>
            <m:e>
              <m:r>
                <m:t>N</m:t>
              </m:r>
            </m:e>
            <m:sub>
              <m:r>
                <m:t>F</m:t>
              </m:r>
              <m:r>
                <m:t>r</m:t>
              </m:r>
            </m:sub>
          </m:sSub>
          <m:r>
            <m:rPr>
              <m:sty m:val="p"/>
            </m:rPr>
            <m:t>≤</m:t>
          </m:r>
          <m:r>
            <m:t>0.000925</m:t>
          </m:r>
          <m:r>
            <m:t> </m:t>
          </m:r>
          <m:sSubSup>
            <m:e>
              <m:r>
                <m:t>λ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−</m:t>
              </m:r>
              <m:r>
                <m:t>2.468</m:t>
              </m:r>
            </m:sup>
          </m:sSubSup>
          <m:r>
            <m:rPr>
              <m:sty m:val="p"/>
            </m:rPr>
            <m:t>;</m:t>
          </m:r>
          <m:r>
            <m:t>  </m:t>
          </m:r>
          <m:r>
            <m:rPr>
              <m:nor/>
              <m:sty m:val="p"/>
            </m:rPr>
            <m:t>Distributed: </m:t>
          </m:r>
          <m:sSub>
            <m:e>
              <m:r>
                <m:t>N</m:t>
              </m:r>
            </m:e>
            <m:sub>
              <m:r>
                <m:t>F</m:t>
              </m:r>
              <m:r>
                <m:t>r</m:t>
              </m:r>
            </m:sub>
          </m:sSub>
          <m:r>
            <m:rPr>
              <m:sty m:val="p"/>
            </m:rPr>
            <m:t>≥</m:t>
          </m:r>
          <m:r>
            <m:t>316</m:t>
          </m:r>
          <m:r>
            <m:t> </m:t>
          </m:r>
          <m:sSubSup>
            <m:e>
              <m:r>
                <m:t>λ</m:t>
              </m:r>
            </m:e>
            <m:sub>
              <m:r>
                <m:t>l</m:t>
              </m:r>
            </m:sub>
            <m:sup>
              <m:r>
                <m:t>0.302</m:t>
              </m:r>
            </m:sup>
          </m:sSubSup>
          <m:r>
            <m:t> </m:t>
          </m:r>
          <m:r>
            <m:rPr>
              <m:nor/>
              <m:sty m:val="p"/>
            </m:rPr>
            <m:t>или</m:t>
          </m:r>
          <m:r>
            <m:t> </m:t>
          </m:r>
          <m:sSub>
            <m:e>
              <m:r>
                <m:t>N</m:t>
              </m:r>
            </m:e>
            <m:sub>
              <m:r>
                <m:t>F</m:t>
              </m:r>
              <m:r>
                <m:t>r</m:t>
              </m:r>
            </m:sub>
          </m:sSub>
          <m:r>
            <m:rPr>
              <m:sty m:val="p"/>
            </m:rPr>
            <m:t>≥</m:t>
          </m:r>
          <m:r>
            <m:t>0.5</m:t>
          </m:r>
          <m:r>
            <m:t> </m:t>
          </m:r>
          <m:sSubSup>
            <m:e>
              <m:r>
                <m:t>λ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−</m:t>
              </m:r>
              <m:r>
                <m:t>6.738</m:t>
              </m:r>
            </m:sup>
          </m:sSubSup>
          <m:r>
            <m:rPr>
              <m:sty m:val="p"/>
            </m:rPr>
            <m:t>;</m:t>
          </m:r>
        </m:oMath>
      </m:oMathPara>
    </w:p>
    <w:p>
      <w:pPr>
        <w:pStyle w:val="FirstParagraph"/>
      </w:pPr>
      <w:r>
        <w:t xml:space="preserve">промежуточные значения классифицируются как Transition или Intermittent (в выводе приложения оба объединены в</w:t>
      </w:r>
      <w:r>
        <w:t xml:space="preserve"> </w:t>
      </w:r>
      <w:r>
        <w:t xml:space="preserve">код SLUG, см. §3.3). Ни в одном из этих неравенств угол наклона трубы не участвует — см. обсуждение в §5.</w:t>
      </w:r>
    </w:p>
    <w:bookmarkEnd w:id="15"/>
    <w:bookmarkStart w:id="16" w:name="тестовые-сценарии"/>
    <w:p>
      <w:pPr>
        <w:pStyle w:val="Heading3"/>
      </w:pPr>
      <w:r>
        <w:t xml:space="preserve">3.2 Тестовые сценарии</w:t>
      </w:r>
    </w:p>
    <w:p>
      <w:pPr>
        <w:pStyle w:val="FirstParagraph"/>
      </w:pPr>
      <w:r>
        <w:t xml:space="preserve">Для сопоставления с OLGA подготовлено 10 сценариев, охватывающих диапазон углов наклона от 0° (горизонтальный</w:t>
      </w:r>
      <w:r>
        <w:t xml:space="preserve"> </w:t>
      </w:r>
      <w:r>
        <w:t xml:space="preserve">трубопровод) до 90° (вертикальная скважина), с различными диаметрами труб, свойствами флюидов и давлениями —</w:t>
      </w:r>
      <w:r>
        <w:t xml:space="preserve"> </w:t>
      </w:r>
      <w:r>
        <w:t xml:space="preserve">5 сценариев рассчитаны моделью Ансари (скважины) и 5 — моделью Беггса-Брилла (трубопроводы). Таблица широкая —</w:t>
      </w:r>
      <w:r>
        <w:t xml:space="preserve"> </w:t>
      </w:r>
      <w:r>
        <w:t xml:space="preserve">её можно прокрутить по горизонтали: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3"/>
        <w:gridCol w:w="1320"/>
        <w:gridCol w:w="476"/>
        <w:gridCol w:w="256"/>
        <w:gridCol w:w="330"/>
        <w:gridCol w:w="403"/>
        <w:gridCol w:w="550"/>
        <w:gridCol w:w="550"/>
        <w:gridCol w:w="476"/>
        <w:gridCol w:w="476"/>
        <w:gridCol w:w="476"/>
        <w:gridCol w:w="330"/>
        <w:gridCol w:w="256"/>
        <w:gridCol w:w="403"/>
        <w:gridCol w:w="403"/>
        <w:gridCol w:w="403"/>
        <w:gridCol w:w="40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case_id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D,м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k,м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angle,°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rho_l,кг/м3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rho_g,кг/м3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mu_l,Па*с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mu_g,Па*с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sigma,Н/м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P,Па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T,K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Vsl_min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Vsl_max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Vsg_min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Vsg_max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Верт. газоконд. скважина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ansari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Наклонная скважина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ansari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Верт. водогазовая скважина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ansari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Горизонтальный трубопровод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beggs_brill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Трубопровод холмистый рельеф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beggs_brill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Крутой наклон граница моделей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beggs_brill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Тяжелая нефть верт. скважина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ansari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Слабо наклонный трубопровод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beggs_brill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Морской трубопровод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beggs_brill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Верт. газовая скважина высокий GLR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ansari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Сценарии подобраны так, чтобы охватить и типичные условия (вертикальная газоконденсатная скважина, морской</w:t>
      </w:r>
      <w:r>
        <w:t xml:space="preserve"> </w:t>
      </w:r>
      <w:r>
        <w:t xml:space="preserve">трубопровод), и граничные случаи (тяжёлая нефть с вязкостью 50 сПз, крутой наклон 60° — на стыке диапазонов</w:t>
      </w:r>
      <w:r>
        <w:t xml:space="preserve"> </w:t>
      </w:r>
      <w:r>
        <w:t xml:space="preserve">применимости двух моделей, высокий газовый фактор). Для каждого сценария на область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l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s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s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g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s</m:t>
            </m:r>
            <m:r>
              <m:t>g</m:t>
            </m:r>
            <m:r>
              <m:rPr>
                <m:sty m:val="p"/>
              </m:rPr>
              <m:t>,</m:t>
            </m:r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s</m:t>
            </m:r>
            <m:r>
              <m:t>g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строится логарифмически равномерная сетка</w:t>
      </w:r>
      <w:r>
        <w:t xml:space="preserve"> </w:t>
      </w:r>
      <w:r>
        <w:t xml:space="preserve">100×100 точек (10 000 точек на кейс), для каждой точки рассчитывается код режима течения в FlowMapUtility и</w:t>
      </w:r>
      <w:r>
        <w:t xml:space="preserve"> </w:t>
      </w:r>
      <w:r>
        <w:t xml:space="preserve">экспортируется эквивалентная карта из OLGA (Case Setup, Flow Regime Map, тот же диапазон Vsl/Vsg).</w:t>
      </w:r>
    </w:p>
    <w:bookmarkEnd w:id="16"/>
    <w:bookmarkStart w:id="17" w:name="легенда-кодов-режимов-и-их-сопоставление"/>
    <w:p>
      <w:pPr>
        <w:pStyle w:val="Heading3"/>
      </w:pPr>
      <w:r>
        <w:t xml:space="preserve">3.3 Легенда кодов режимов и их сопоставление</w:t>
      </w:r>
    </w:p>
    <w:p>
      <w:pPr>
        <w:pStyle w:val="FirstParagraph"/>
      </w:pPr>
      <w:r>
        <w:t xml:space="preserve">Коды режимов FlowMapUtility (</w:t>
      </w:r>
      <w:r>
        <w:rPr>
          <w:rStyle w:val="VerbatimChar"/>
        </w:rPr>
        <w:t xml:space="preserve">FlowPatternCode</w:t>
      </w:r>
      <w:r>
        <w:t xml:space="preserve">, из</w:t>
      </w:r>
      <w:r>
        <w:t xml:space="preserve"> </w:t>
      </w:r>
      <w:r>
        <w:rPr>
          <w:rStyle w:val="VerbatimChar"/>
        </w:rPr>
        <w:t xml:space="preserve">src/flowmaputility/correlations/base.py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Модель, где встречается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Однофазная жидкость (SINGLE_LIQUID)</w:t>
            </w:r>
          </w:p>
        </w:tc>
        <w:tc>
          <w:tcPr/>
          <w:p>
            <w:pPr>
              <w:pStyle w:val="Compact"/>
            </w:pPr>
            <w:r>
              <w:t xml:space="preserve">обе (Vsl&gt;0, Vsg≈0)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Однофазный газ (SINGLE_GAS)</w:t>
            </w:r>
          </w:p>
        </w:tc>
        <w:tc>
          <w:tcPr/>
          <w:p>
            <w:pPr>
              <w:pStyle w:val="Compact"/>
            </w:pPr>
            <w:r>
              <w:t xml:space="preserve">обе (Vsg&gt;0, Vsl≈0)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Пузырьковый (BUBBLE)</w:t>
            </w:r>
          </w:p>
        </w:tc>
        <w:tc>
          <w:tcPr/>
          <w:p>
            <w:pPr>
              <w:pStyle w:val="Compact"/>
            </w:pPr>
            <w:r>
              <w:t xml:space="preserve">только Ansari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Пробковый (SLUG)</w:t>
            </w:r>
          </w:p>
        </w:tc>
        <w:tc>
          <w:tcPr/>
          <w:p>
            <w:pPr>
              <w:pStyle w:val="Compact"/>
            </w:pPr>
            <w:r>
              <w:t xml:space="preserve">обе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Дисперг. пузырьковый (DISPERSED_BUBBLE)</w:t>
            </w:r>
          </w:p>
        </w:tc>
        <w:tc>
          <w:tcPr/>
          <w:p>
            <w:pPr>
              <w:pStyle w:val="Compact"/>
            </w:pPr>
            <w:r>
              <w:t xml:space="preserve">обе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Кольцевой (ANNULAR)</w:t>
            </w:r>
          </w:p>
        </w:tc>
        <w:tc>
          <w:tcPr/>
          <w:p>
            <w:pPr>
              <w:pStyle w:val="Compact"/>
            </w:pPr>
            <w:r>
              <w:t xml:space="preserve">только Ansari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Стратифицированный (STRATIFIED)</w:t>
            </w:r>
          </w:p>
        </w:tc>
        <w:tc>
          <w:tcPr/>
          <w:p>
            <w:pPr>
              <w:pStyle w:val="Compact"/>
            </w:pPr>
            <w:r>
              <w:t xml:space="preserve">только Beggs-Brill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Неизвестно (UNKNOWN)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Коды режимов OLGA (</w:t>
      </w:r>
      <w:r>
        <w:rPr>
          <w:rStyle w:val="VerbatimChar"/>
        </w:rPr>
        <w:t xml:space="preserve">Flow Regimes, Gas/Liquid</w:t>
      </w:r>
      <w:r>
        <w:t xml:space="preserve">) — официальная легенда симулятора: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 OLGA</w:t>
            </w:r>
          </w:p>
        </w:tc>
        <w:tc>
          <w:tcPr/>
          <w:p>
            <w:pPr>
              <w:pStyle w:val="Compact"/>
            </w:pPr>
            <w:r>
              <w:t xml:space="preserve">Название (англ.)</w:t>
            </w:r>
          </w:p>
        </w:tc>
        <w:tc>
          <w:tcPr/>
          <w:p>
            <w:pPr>
              <w:pStyle w:val="Compact"/>
            </w:pPr>
            <w:r>
              <w:t xml:space="preserve">Название (рус.)</w:t>
            </w:r>
          </w:p>
        </w:tc>
        <w:tc>
          <w:tcPr/>
          <w:p>
            <w:pPr>
              <w:pStyle w:val="Compact"/>
            </w:pPr>
            <w:r>
              <w:t xml:space="preserve">В каких кейсах встречается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Stratified smooth</w:t>
            </w:r>
          </w:p>
        </w:tc>
        <w:tc>
          <w:tcPr/>
          <w:p>
            <w:pPr>
              <w:pStyle w:val="Compact"/>
            </w:pPr>
            <w:r>
              <w:t xml:space="preserve">Расслоенный гладкий</w:t>
            </w:r>
          </w:p>
        </w:tc>
        <w:tc>
          <w:tcPr/>
          <w:p>
            <w:pPr>
              <w:pStyle w:val="Compact"/>
            </w:pPr>
            <w:r>
              <w:t xml:space="preserve">кейс 4 (угол 0°)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Stratified wavy</w:t>
            </w:r>
          </w:p>
        </w:tc>
        <w:tc>
          <w:tcPr/>
          <w:p>
            <w:pPr>
              <w:pStyle w:val="Compact"/>
            </w:pPr>
            <w:r>
              <w:t xml:space="preserve">Расслоенный волновой</w:t>
            </w:r>
          </w:p>
        </w:tc>
        <w:tc>
          <w:tcPr/>
          <w:p>
            <w:pPr>
              <w:pStyle w:val="Compact"/>
            </w:pPr>
            <w:r>
              <w:t xml:space="preserve">Beggs-Brill кейсы (4, 5, 6, 8,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Annular</w:t>
            </w:r>
          </w:p>
        </w:tc>
        <w:tc>
          <w:tcPr/>
          <w:p>
            <w:pPr>
              <w:pStyle w:val="Compact"/>
            </w:pPr>
            <w:r>
              <w:t xml:space="preserve">Кольцевой</w:t>
            </w:r>
          </w:p>
        </w:tc>
        <w:tc>
          <w:tcPr/>
          <w:p>
            <w:pPr>
              <w:pStyle w:val="Compact"/>
            </w:pPr>
            <w:r>
              <w:t xml:space="preserve">Ansari кейсы (1, 2, 3, 7,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</w:pPr>
            <w:r>
              <w:t xml:space="preserve">во всех кейсах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Bubble</w:t>
            </w:r>
          </w:p>
        </w:tc>
        <w:tc>
          <w:tcPr/>
          <w:p>
            <w:pPr>
              <w:pStyle w:val="Compact"/>
            </w:pPr>
            <w:r>
              <w:t xml:space="preserve">Пузырьковый (OLGA не различает Bubble и Dispersed Bubble)</w:t>
            </w:r>
          </w:p>
        </w:tc>
        <w:tc>
          <w:tcPr/>
          <w:p>
            <w:pPr>
              <w:pStyle w:val="Compact"/>
            </w:pPr>
            <w:r>
              <w:t xml:space="preserve">во всех кейсах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</w:t>
            </w:r>
          </w:p>
        </w:tc>
        <w:tc>
          <w:tcPr/>
          <w:p>
            <w:pPr>
              <w:pStyle w:val="Compact"/>
            </w:pPr>
            <w:r>
              <w:t xml:space="preserve">(не используются в легенде OLGA / не встретились в данных)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Single phase oil</w:t>
            </w:r>
          </w:p>
        </w:tc>
        <w:tc>
          <w:tcPr/>
          <w:p>
            <w:pPr>
              <w:pStyle w:val="Compact"/>
            </w:pPr>
            <w:r>
              <w:t xml:space="preserve">Однофазная жидкость (краевая точка сетки)</w:t>
            </w:r>
          </w:p>
        </w:tc>
        <w:tc>
          <w:tcPr/>
          <w:p>
            <w:pPr>
              <w:pStyle w:val="Compact"/>
            </w:pPr>
            <w:r>
              <w:t xml:space="preserve">кейс 8, 1 точка из 10000</w:t>
            </w:r>
          </w:p>
        </w:tc>
      </w:tr>
    </w:tbl>
    <w:p>
      <w:pPr>
        <w:pStyle w:val="BodyText"/>
      </w:pPr>
      <w:r>
        <w:t xml:space="preserve">Совпадением засчитывается пара кодов, соответствующая одному физическому режиму: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Ansari:</w:t>
      </w:r>
      <w:r>
        <w:t xml:space="preserve"> </w:t>
      </w:r>
      <w:r>
        <w:t xml:space="preserve">Пузырьковый/Дисперг. пузырьковый (FlowMapUtility) ↔ Bubble, код 4 (OLGA); Пробковый ↔ Slug, код 3;</w:t>
      </w:r>
      <w:r>
        <w:t xml:space="preserve"> </w:t>
      </w:r>
      <w:r>
        <w:t xml:space="preserve">Кольцевой ↔ Annular, код 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Beggs-Brill:</w:t>
      </w:r>
      <w:r>
        <w:t xml:space="preserve"> </w:t>
      </w:r>
      <w:r>
        <w:t xml:space="preserve">Стратифицированный (FlowMapUtility) ↔ Stratified smooth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Stratified wavy, коды 0 и 1</w:t>
      </w:r>
      <w:r>
        <w:t xml:space="preserve"> </w:t>
      </w:r>
      <w:r>
        <w:t xml:space="preserve">(OLGA) — оба кода относятся к одному физическому режиму (расслоённое течение, различающееся лишь формой</w:t>
      </w:r>
      <w:r>
        <w:t xml:space="preserve"> </w:t>
      </w:r>
      <w:r>
        <w:t xml:space="preserve">границы раздела фаз); Пробковый ↔ Slug, код 3; Дисперг. пузырьковый ↔ Bubble, код 4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(код 1 —</w:t>
      </w:r>
      <w:r>
        <w:t xml:space="preserve"> </w:t>
      </w:r>
      <w:r>
        <w:t xml:space="preserve">Stratified wavy — к дисперсно-пузырьковому режиму отношения не имеет).</w:t>
      </w:r>
    </w:p>
    <w:bookmarkEnd w:id="17"/>
    <w:bookmarkStart w:id="18" w:name="Xcddcc797f48dacd91b3ed50c18399357b13b96c"/>
    <w:p>
      <w:pPr>
        <w:pStyle w:val="Heading3"/>
      </w:pPr>
      <w:r>
        <w:t xml:space="preserve">3.4 Методика сопоставления и воспроизводимость</w:t>
      </w:r>
    </w:p>
    <w:p>
      <w:pPr>
        <w:pStyle w:val="FirstParagraph"/>
      </w:pPr>
      <w:r>
        <w:t xml:space="preserve">Все числовые результаты в данной работе посчитаны кодом ниже (языковой движок Quarto/Jupyter; при рендеринге</w:t>
      </w:r>
      <w:r>
        <w:t xml:space="preserve"> </w:t>
      </w:r>
      <w:r>
        <w:t xml:space="preserve">пересчитывает заново из исходных файлов</w:t>
      </w:r>
      <w:r>
        <w:t xml:space="preserve"> </w:t>
      </w:r>
      <w:r>
        <w:rPr>
          <w:rStyle w:val="VerbatimChar"/>
        </w:rPr>
        <w:t xml:space="preserve">flow_pattern_test_cases_2.csv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map_case/python/2/*.csv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map_case/olga/2/*.xls</w:t>
      </w:r>
      <w:r>
        <w:t xml:space="preserve">) с применением легенды кодов из §3.3. Если Quarto не установлен — файл читается как</w:t>
      </w:r>
      <w:r>
        <w:t xml:space="preserve"> </w:t>
      </w:r>
      <w:r>
        <w:t xml:space="preserve">обычный markdown, все таблицы и числа уже посчитаны и приведены ниже как текст.</w:t>
      </w:r>
    </w:p>
    <w:p>
      <w:pPr>
        <w:pStyle w:val="BodyText"/>
      </w:pPr>
      <w:r>
        <w:t xml:space="preserve">Поскольку внутренние корреляции OLGA закрыты (см. §2.3), в работе не ставится задача объяснить,</w:t>
      </w:r>
      <w:r>
        <w:t xml:space="preserve"> </w:t>
      </w:r>
      <w:r>
        <w:rPr>
          <w:i/>
          <w:iCs/>
        </w:rPr>
        <w:t xml:space="preserve">почему</w:t>
      </w:r>
      <w:r>
        <w:t xml:space="preserve"> </w:t>
      </w:r>
      <w:r>
        <w:t xml:space="preserve">OLGA</w:t>
      </w:r>
      <w:r>
        <w:t xml:space="preserve"> </w:t>
      </w:r>
      <w:r>
        <w:t xml:space="preserve">проводит границу режима именно там, где она проходит — OLGA используется только как источник эталонных данных</w:t>
      </w:r>
      <w:r>
        <w:t xml:space="preserve"> </w:t>
      </w:r>
      <w:r>
        <w:t xml:space="preserve">для количественной оценки расхождения с классическими корреляциями. Единственное используемое допущение —</w:t>
      </w:r>
      <w:r>
        <w:t xml:space="preserve"> </w:t>
      </w:r>
      <w:r>
        <w:t xml:space="preserve">соответствие физических режимов из §3.3, которое теперь основано на официальной легенде симулятора, а не на</w:t>
      </w:r>
      <w:r>
        <w:t xml:space="preserve"> </w:t>
      </w:r>
      <w:r>
        <w:t xml:space="preserve">эмпирической расшифровке.</w:t>
      </w:r>
    </w:p>
    <w:bookmarkEnd w:id="18"/>
    <w:bookmarkEnd w:id="19"/>
    <w:bookmarkStart w:id="44" w:name="результаты"/>
    <w:p>
      <w:pPr>
        <w:pStyle w:val="Heading2"/>
      </w:pPr>
      <w:r>
        <w:t xml:space="preserve">4. Результаты</w:t>
      </w:r>
    </w:p>
    <w:bookmarkStart w:id="20" w:name="Xb28716480c8ba0d7556e4f4fc8899129c5050f6"/>
    <w:p>
      <w:pPr>
        <w:pStyle w:val="Heading3"/>
      </w:pPr>
      <w:r>
        <w:t xml:space="preserve">4.1 Площадь режимов на карте (100×100 = 10000 точек на кейс)</w:t>
      </w:r>
    </w:p>
    <w:p>
      <w:pPr>
        <w:pStyle w:val="FirstParagraph"/>
      </w:pPr>
      <w:r>
        <w:rPr>
          <w:b/>
          <w:bCs/>
        </w:rPr>
        <w:t xml:space="preserve">OLGA</w:t>
      </w:r>
      <w:r>
        <w:t xml:space="preserve"> </w:t>
      </w:r>
      <w:r>
        <w:t xml:space="preserve">(коды режимов — см. §3.3):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Расслоенный гладкий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Расслоенный гладкий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Расслоенный волновой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Расслоенный волновой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Кольцевой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Кольцевой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Однофазная жидк.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Однофазная жидк. (%)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FlowMapUtility: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"/>
        <w:gridCol w:w="676"/>
        <w:gridCol w:w="676"/>
        <w:gridCol w:w="579"/>
        <w:gridCol w:w="579"/>
        <w:gridCol w:w="917"/>
        <w:gridCol w:w="917"/>
        <w:gridCol w:w="724"/>
        <w:gridCol w:w="724"/>
        <w:gridCol w:w="869"/>
        <w:gridCol w:w="869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Дисперг. пузырьковый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Дисперг. пузырьковый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Кольцевой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Кольцевой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Стратифицированный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Стратифицированный (%)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Уже на уровне суммарных площадей режимов заметны две закономерности. Во-первых, для кейсов Ansari доля Кольцевого</w:t>
      </w:r>
      <w:r>
        <w:t xml:space="preserve"> </w:t>
      </w:r>
      <w:r>
        <w:t xml:space="preserve">режима у FlowMapUtility систематически выше, чем доля Annular у OLGA (57% против 34% в кейсе 1) — признак того,</w:t>
      </w:r>
      <w:r>
        <w:t xml:space="preserve"> </w:t>
      </w:r>
      <w:r>
        <w:t xml:space="preserve">что порог начала кольцевого режима у FlowMapUtility занижен относительно OLGA (подтверждается в §4.6). Во-вторых,</w:t>
      </w:r>
      <w:r>
        <w:t xml:space="preserve"> </w:t>
      </w:r>
      <w:r>
        <w:t xml:space="preserve">для кейсов Beggs-Brill суммарная площадь расслоённого семейства у OLGA (Расслоенный гладкий + Расслоенный</w:t>
      </w:r>
      <w:r>
        <w:t xml:space="preserve"> </w:t>
      </w:r>
      <w:r>
        <w:t xml:space="preserve">волновой) систематически</w:t>
      </w:r>
      <w:r>
        <w:t xml:space="preserve"> </w:t>
      </w:r>
      <w:r>
        <w:rPr>
          <w:b/>
          <w:bCs/>
        </w:rPr>
        <w:t xml:space="preserve">больше</w:t>
      </w:r>
      <w:r>
        <w:t xml:space="preserve">, чем площадь Стратифицированного режима у FlowMapUtility: например, в кейсе 4</w:t>
      </w:r>
      <w:r>
        <w:t xml:space="preserve"> </w:t>
      </w:r>
      <w:r>
        <w:t xml:space="preserve">(горизонтальная труба) OLGA относит к расслоённому течению 55.28% карты (1414+4114 точек), а FlowMapUtility —</w:t>
      </w:r>
      <w:r>
        <w:t xml:space="preserve"> </w:t>
      </w:r>
      <w:r>
        <w:t xml:space="preserve">только 27.24%. Это прямо противоположно интуитивному предположению о том, что классическая граница Беггса-Брилла</w:t>
      </w:r>
      <w:r>
        <w:t xml:space="preserve"> </w:t>
      </w:r>
      <w:r>
        <w:t xml:space="preserve">слишком долго удерживает поток в расслоённом режиме — на деле она, по сравнению с OLGA, отдаёт часть расслоённой</w:t>
      </w:r>
      <w:r>
        <w:t xml:space="preserve"> </w:t>
      </w:r>
      <w:r>
        <w:t xml:space="preserve">области в пробковый и дисперсно-пузырьковый режимы раньше, чем это делает OLGA (см. §4.6, §5).</w:t>
      </w:r>
    </w:p>
    <w:bookmarkEnd w:id="20"/>
    <w:bookmarkStart w:id="39" w:name="визуальное-сопоставление-карт-режимов"/>
    <w:p>
      <w:pPr>
        <w:pStyle w:val="Heading3"/>
      </w:pPr>
      <w:r>
        <w:t xml:space="preserve">4.2 Визуальное сопоставление карт режимов</w:t>
      </w:r>
    </w:p>
    <w:p>
      <w:pPr>
        <w:pStyle w:val="FirstParagraph"/>
      </w:pPr>
      <w:r>
        <w:t xml:space="preserve">Ниже приведены карты режимов течения для трёх представительных кейсов: кейс 1 (вертикальная газоконденсатная</w:t>
      </w:r>
      <w:r>
        <w:t xml:space="preserve"> </w:t>
      </w:r>
      <w:r>
        <w:t xml:space="preserve">скважина, модель Ансари — лучшее совпадение среди кейсов Ansari), кейс 4 (горизонтальный трубопровод, модель</w:t>
      </w:r>
      <w:r>
        <w:t xml:space="preserve"> </w:t>
      </w:r>
      <w:r>
        <w:t xml:space="preserve">Беггса-Брилла — базовый случай без влияния угла) и кейс 6 (трубопровод с углом наклона 60°, модель</w:t>
      </w:r>
      <w:r>
        <w:t xml:space="preserve"> </w:t>
      </w:r>
      <w:r>
        <w:t xml:space="preserve">Беггса-Брилла — худшее совпадение среди всех 10 кейсов). Оси на картах OLGA — Vsg (X) и Vsl (Y) в м/с,</w:t>
      </w:r>
      <w:r>
        <w:t xml:space="preserve"> </w:t>
      </w:r>
      <w:r>
        <w:t xml:space="preserve">логарифмическая шкала; легенда режимов встроена в изображение (соответствие цветов кодам — см. §3.3).</w:t>
      </w:r>
    </w:p>
    <w:p>
      <w:pPr>
        <w:pStyle w:val="BodyText"/>
      </w:pPr>
      <w:r>
        <w:rPr>
          <w:b/>
          <w:bCs/>
        </w:rPr>
        <w:t xml:space="preserve">Кейс 1</w:t>
      </w:r>
      <w:r>
        <w:t xml:space="preserve"> </w:t>
      </w:r>
      <w:r>
        <w:t xml:space="preserve">(ansari, угол 90°, «Верт. газоконд. скважина»):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FlowMapUtility</w:t>
            </w:r>
          </w:p>
        </w:tc>
        <w:tc>
          <w:tcPr/>
          <w:p>
            <w:pPr>
              <w:pStyle w:val="Compact"/>
            </w:pPr>
            <w:r>
              <w:t xml:space="preserve">OLGA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63052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ap_case/python/2/map_case_1_invert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498379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map_case/olga/2/map_case_1_olga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8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4</w:t>
      </w:r>
      <w:r>
        <w:t xml:space="preserve"> </w:t>
      </w:r>
      <w:r>
        <w:t xml:space="preserve">(beggs_brill, угол 0°, «Горизонтальный трубопровод»):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FlowMapUtility</w:t>
            </w:r>
          </w:p>
        </w:tc>
        <w:tc>
          <w:tcPr/>
          <w:p>
            <w:pPr>
              <w:pStyle w:val="Compact"/>
            </w:pPr>
            <w:r>
              <w:t xml:space="preserve">OLGA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63052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map_case/python/2/map_case_4_inver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49837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map_case/olga/2/map_case_4_olga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8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6</w:t>
      </w:r>
      <w:r>
        <w:t xml:space="preserve"> </w:t>
      </w:r>
      <w:r>
        <w:t xml:space="preserve">(beggs_brill, угол 60°, «Крутой наклон — граница моделей»):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FlowMapUtility</w:t>
            </w:r>
          </w:p>
        </w:tc>
        <w:tc>
          <w:tcPr/>
          <w:p>
            <w:pPr>
              <w:pStyle w:val="Compact"/>
            </w:pPr>
            <w:r>
              <w:t xml:space="preserve">OLGA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63052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map_case/python/2/map_case_6_inver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49837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map_case/olga/2/map_case_6_olga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8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Визуально хорошо видно то, что количественно подтверждается матрицами сопряжения (§4.3): граница</w:t>
      </w:r>
      <w:r>
        <w:t xml:space="preserve"> </w:t>
      </w:r>
      <w:r>
        <w:t xml:space="preserve">кольцевого/пузырькового режима у FlowMapUtility в кейсе 1 представляет собой почти вертикальную линию (порог</w:t>
      </w:r>
      <w:r>
        <w:t xml:space="preserve"> </w:t>
      </w:r>
      <w:r>
        <w:t xml:space="preserve">не зависит от Vsl), тогда как у OLGA эта граница явно наклонная и растёт с Vsl. В кейсе 6 карта FlowMapUtility</w:t>
      </w:r>
      <w:r>
        <w:t xml:space="preserve"> </w:t>
      </w:r>
      <w:r>
        <w:t xml:space="preserve">визуально почти не отличается от карты кейса 4 (0°) — угол наклона не входит в классификацию режима у</w:t>
      </w:r>
      <w:r>
        <w:t xml:space="preserve"> </w:t>
      </w:r>
      <w:r>
        <w:t xml:space="preserve">Беггса-Брилла (см. §3.1, §5), тогда как у OLGA область расслоённого режима (гладкого и волнового суммарно)</w:t>
      </w:r>
      <w:r>
        <w:t xml:space="preserve"> </w:t>
      </w:r>
      <w:r>
        <w:t xml:space="preserve">в кейсе 6 занимает 74.33% карты — заметно больше, чем в кейсе 4.</w:t>
      </w:r>
    </w:p>
    <w:bookmarkEnd w:id="39"/>
    <w:bookmarkStart w:id="40" w:name="матрицы-сопряжения-по-каждому-кейсу"/>
    <w:p>
      <w:pPr>
        <w:pStyle w:val="Heading3"/>
      </w:pPr>
      <w:r>
        <w:t xml:space="preserve">4.3 Матрицы сопряжения по каждому кейсу</w:t>
      </w:r>
    </w:p>
    <w:p>
      <w:pPr>
        <w:pStyle w:val="FirstParagraph"/>
      </w:pPr>
      <w:r>
        <w:t xml:space="preserve">Строки и столбцы каждой матрицы — это</w:t>
      </w:r>
      <w:r>
        <w:t xml:space="preserve"> </w:t>
      </w:r>
      <w:r>
        <w:rPr>
          <w:b/>
          <w:bCs/>
        </w:rPr>
        <w:t xml:space="preserve">один и тот же</w:t>
      </w:r>
      <w:r>
        <w:t xml:space="preserve"> </w:t>
      </w:r>
      <w:r>
        <w:t xml:space="preserve">набор из трёх физических режимов, поэтому матрица</w:t>
      </w:r>
      <w:r>
        <w:t xml:space="preserve"> </w:t>
      </w:r>
      <w:r>
        <w:t xml:space="preserve">квадратная 3×3, а диагональ (выделена в описании как</w:t>
      </w:r>
      <w:r>
        <w:t xml:space="preserve"> </w:t>
      </w:r>
      <w:r>
        <w:t xml:space="preserve">“ok”</w:t>
      </w:r>
      <w:r>
        <w:t xml:space="preserve">) — это точное совпадение классификаций FlowMapUtility</w:t>
      </w:r>
      <w:r>
        <w:t xml:space="preserve"> </w:t>
      </w:r>
      <w:r>
        <w:t xml:space="preserve">и OLGA. Значения — число точек сетки (из 10000).</w:t>
      </w:r>
    </w:p>
    <w:p>
      <w:pPr>
        <w:pStyle w:val="BodyText"/>
      </w:pPr>
      <w:r>
        <w:t xml:space="preserve">Чтобы получить квадратную матрицу, категории, которые различает только одна из двух моделей, объединены:</w:t>
      </w:r>
      <w:r>
        <w:t xml:space="preserve"> </w:t>
      </w:r>
      <w:r>
        <w:t xml:space="preserve">у FlowMapUtility — Пузырьковый и Дисперг. пузырьковый (OLGA возвращает для обоих один код Bubble, см. §3.3);</w:t>
      </w:r>
      <w:r>
        <w:t xml:space="preserve"> </w:t>
      </w:r>
      <w:r>
        <w:t xml:space="preserve">у OLGA — Расслоенный гладкий и Расслоенный волновой (FlowMapUtility возвращает для обоих один код</w:t>
      </w:r>
      <w:r>
        <w:t xml:space="preserve"> </w:t>
      </w:r>
      <w:r>
        <w:t xml:space="preserve">Stratified). Более детальная, не объединённая разбивка по всем кодам приведена в таблицах площадей §4.1.</w:t>
      </w:r>
    </w:p>
    <w:p>
      <w:pPr>
        <w:pStyle w:val="BodyText"/>
      </w:pPr>
      <w:r>
        <w:rPr>
          <w:b/>
          <w:bCs/>
        </w:rPr>
        <w:t xml:space="preserve">Кейс 1: ansari, угол 90°, «Верт. газоконд. скважина»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FlowMapUtility  OLGA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Кольцевой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Пузырьковый / Дисперг. 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Кольцевой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2: ansari, угол 80°, «Наклонная скважина»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FlowMapUtility  OLGA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Кольцевой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Пузырьковый / Дисперг. 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Кольцевой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3: ansari, угол 75°, «Верт. водогазовая скважина»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FlowMapUtility  OLGA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Кольцевой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Пузырьковый / Дисперг. 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Кольцевой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4: beggs_brill, угол 0°, «Горизонтальный трубопровод»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FlowMapUtility  OLGA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Расслоенный (гладкий+волновой)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Стратифицированный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Дисперг. 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5: beggs_brill, угол 30°, «Трубопровод холмистый рельеф»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FlowMapUtility  OLGA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Расслоенный (гладкий+волновой)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Стратифицированный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Дисперг. 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6: beggs_brill, угол 60°, «Крутой наклон граница моделей»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FlowMapUtility  OLGA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Расслоенный (гладкий+волновой)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Стратифицированный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Дисперг. 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7: ansari, угол 90°, «Тяжелая нефть верт. скважина»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FlowMapUtility  OLGA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Кольцевой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Пузырьковый / Дисперг. 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Кольцевой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8: beggs_brill, угол 10°, «Слабо наклонный трубопровод»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FlowMapUtility  OLGA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Расслоенный (гладкий+волновой)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Стратифицированный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4847*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Дисперг. 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</w:tr>
    </w:tbl>
    <w:p>
      <w:pPr>
        <w:pStyle w:val="BodyText"/>
      </w:pPr>
      <w:r>
        <w:t xml:space="preserve">* В строке</w:t>
      </w:r>
      <w:r>
        <w:t xml:space="preserve"> </w:t>
      </w:r>
      <w:r>
        <w:t xml:space="preserve">“Пробковый”</w:t>
      </w:r>
      <w:r>
        <w:t xml:space="preserve"> </w:t>
      </w:r>
      <w:r>
        <w:t xml:space="preserve">ещё 1 точка (0.01%) — код OLGA</w:t>
      </w:r>
      <w:r>
        <w:t xml:space="preserve"> </w:t>
      </w:r>
      <w:r>
        <w:t xml:space="preserve">“Однофазная жидкость”</w:t>
      </w:r>
      <w:r>
        <w:t xml:space="preserve"> </w:t>
      </w:r>
      <w:r>
        <w:t xml:space="preserve">(7), не показан отдельным</w:t>
      </w:r>
      <w:r>
        <w:t xml:space="preserve"> </w:t>
      </w:r>
      <w:r>
        <w:t xml:space="preserve">столбцом ради квадратной формы матрицы; см. примечание к коду 7 в §3.3.</w:t>
      </w:r>
    </w:p>
    <w:p>
      <w:pPr>
        <w:pStyle w:val="BodyText"/>
      </w:pPr>
      <w:r>
        <w:rPr>
          <w:b/>
          <w:bCs/>
        </w:rPr>
        <w:t xml:space="preserve">Кейс 9: beggs_brill, угол 5°, «Морской трубопровод»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FlowMapUtility  OLGA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Расслоенный (гладкий+волновой)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Стратифицированный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Дисперг. 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10: ansari, угол 90°, «Верт. газовая скважина высокий GLR»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FlowMapUtility  OLGA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Кольцевой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Пузырьковый / Дисперг. 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Кольцевой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</w:tr>
    </w:tbl>
    <w:bookmarkEnd w:id="40"/>
    <w:bookmarkStart w:id="41" w:name="X33bc2f38fe38dee863a068a2ad3b30d7f51c760"/>
    <w:p>
      <w:pPr>
        <w:pStyle w:val="Heading3"/>
      </w:pPr>
      <w:r>
        <w:t xml:space="preserve">4.4 Агрегированные результаты по семействам моделей</w:t>
      </w:r>
    </w:p>
    <w:p>
      <w:pPr>
        <w:pStyle w:val="FirstParagraph"/>
      </w:pPr>
      <w:r>
        <w:t xml:space="preserve">Как и в §4.3, категории объединены до трёх физических режимов, общих для обеих моделей, чтобы получить</w:t>
      </w:r>
      <w:r>
        <w:t xml:space="preserve"> </w:t>
      </w:r>
      <w:r>
        <w:t xml:space="preserve">квадратную матрицу с содержательной диагональю.</w:t>
      </w:r>
    </w:p>
    <w:p>
      <w:pPr>
        <w:pStyle w:val="BodyText"/>
      </w:pPr>
      <w:r>
        <w:rPr>
          <w:b/>
          <w:bCs/>
        </w:rPr>
        <w:t xml:space="preserve">Ansari (кейсы 1, 2, 3, 7, 10) — всего 50000 точек</w:t>
      </w:r>
    </w:p>
    <w:p>
      <w:pPr>
        <w:pStyle w:val="BodyText"/>
      </w:pPr>
      <w:r>
        <w:t xml:space="preserve">Число точек: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FlowMapUtility  OLGA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Кольцевой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Пузырьковый / Дисперг. 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Кольцевой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</w:tr>
    </w:tbl>
    <w:p>
      <w:pPr>
        <w:pStyle w:val="BodyText"/>
      </w:pPr>
      <w:r>
        <w:t xml:space="preserve">Доля по строке, %: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FlowMapUtility  OLGA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Кольцевой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Пузырьковый / Дисперг. 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Кольцевой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61.1</w:t>
            </w:r>
          </w:p>
        </w:tc>
      </w:tr>
    </w:tbl>
    <w:p>
      <w:pPr>
        <w:pStyle w:val="BodyText"/>
      </w:pPr>
      <w:r>
        <w:rPr>
          <w:b/>
          <w:bCs/>
        </w:rPr>
        <w:t xml:space="preserve">Beggs-Brill (кейсы 4, 5, 6, 8, 9) — всего 50000 точек</w:t>
      </w:r>
    </w:p>
    <w:p>
      <w:pPr>
        <w:pStyle w:val="BodyText"/>
      </w:pPr>
      <w:r>
        <w:t xml:space="preserve">Число точек: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FlowMapUtility  OLGA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Расслоенный (гладкий+волновой)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Стратифицированный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23788*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Дисперг. 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50000*</w:t>
            </w:r>
          </w:p>
        </w:tc>
      </w:tr>
    </w:tbl>
    <w:p>
      <w:pPr>
        <w:pStyle w:val="BodyText"/>
      </w:pPr>
      <w:r>
        <w:t xml:space="preserve">* Без учёта 1 точки (0.002% от 50000) с кодом OLGA</w:t>
      </w:r>
      <w:r>
        <w:t xml:space="preserve"> </w:t>
      </w:r>
      <w:r>
        <w:t xml:space="preserve">“Однофазная жидкость”</w:t>
      </w:r>
      <w:r>
        <w:t xml:space="preserve"> </w:t>
      </w:r>
      <w:r>
        <w:t xml:space="preserve">(7) в кейсе 8, см. примечание в §4.3.</w:t>
      </w:r>
    </w:p>
    <w:p>
      <w:pPr>
        <w:pStyle w:val="BodyText"/>
      </w:pPr>
      <w:r>
        <w:t xml:space="preserve">Доля по строке, %: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FlowMapUtility  OLGA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Расслоенный (гладкий+волновой)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Пузырьковый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Стратифицированный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Дисперг. пузырьковый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34.5</w:t>
            </w:r>
          </w:p>
        </w:tc>
      </w:tr>
    </w:tbl>
    <w:p>
      <w:pPr>
        <w:pStyle w:val="BodyText"/>
      </w:pPr>
      <w:r>
        <w:t xml:space="preserve">Из таблицы для Beggs-Brill хорошо видно источник расхождения: 56.6% точек, которые FlowMapUtility относит к</w:t>
      </w:r>
      <w:r>
        <w:t xml:space="preserve"> </w:t>
      </w:r>
      <w:r>
        <w:t xml:space="preserve">Дисперг. пузырьковому режиму, у OLGA попадают в объединённый Расслоенный режим (в подавляющем большинстве —</w:t>
      </w:r>
      <w:r>
        <w:t xml:space="preserve"> </w:t>
      </w:r>
      <w:r>
        <w:t xml:space="preserve">именно Расслоенный волновой, код 1, см. §4.1) — то есть OLGA в этих точках всё ещё видит расслоённое течение</w:t>
      </w:r>
      <w:r>
        <w:t xml:space="preserve"> </w:t>
      </w:r>
      <w:r>
        <w:t xml:space="preserve">там, где классическая корреляция Беггса-Брилла уже считает поток достаточно турбулентным для</w:t>
      </w:r>
      <w:r>
        <w:t xml:space="preserve"> </w:t>
      </w:r>
      <w:r>
        <w:t xml:space="preserve">дисперсно-пузырькового режима (детальное обсуждение — §5).</w:t>
      </w:r>
    </w:p>
    <w:bookmarkEnd w:id="41"/>
    <w:bookmarkStart w:id="42" w:name="итоговое-совпадение-по-кейсам"/>
    <w:p>
      <w:pPr>
        <w:pStyle w:val="Heading3"/>
      </w:pPr>
      <w:r>
        <w:t xml:space="preserve">4.5 Итоговое совпадение по кейсам</w:t>
      </w:r>
    </w:p>
    <w:p>
      <w:pPr>
        <w:pStyle w:val="FirstParagraph"/>
      </w:pPr>
      <w:r>
        <w:t xml:space="preserve">Совпадением засчитывается пара кодов, соответствующая одному физическому режиму (определение см. §3.3):</w:t>
      </w:r>
      <w:r>
        <w:t xml:space="preserve"> </w:t>
      </w:r>
      <w:r>
        <w:t xml:space="preserve">Пузырьковый/Дисперг. пузырьковый ↔ Пузырьковый (OLGA), Пробковый ↔ Пробковый (OLGA), Кольцевой ↔ Кольцевой</w:t>
      </w:r>
      <w:r>
        <w:t xml:space="preserve"> </w:t>
      </w:r>
      <w:r>
        <w:t xml:space="preserve">(OLGA) (для Ансари); Стратифицированный ↔ Расслоенный гладкий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Расслоенный волновой (OLGA), Пробковый ↔</w:t>
      </w:r>
      <w:r>
        <w:t xml:space="preserve"> </w:t>
      </w:r>
      <w:r>
        <w:t xml:space="preserve">Пробковый (OLGA), Дисперг. пузырьковый ↔ Пузырьковый (OLGA) (для Беггс-Брилл).</w:t>
      </w:r>
    </w:p>
    <w:p>
      <w:pPr>
        <w:pStyle w:val="BodyText"/>
      </w:pPr>
      <w:r>
        <w:rPr>
          <w:b/>
          <w:bCs/>
        </w:rPr>
        <w:t xml:space="preserve">Ансари (75–90°)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3"/>
        <w:gridCol w:w="816"/>
        <w:gridCol w:w="653"/>
        <w:gridCol w:w="1061"/>
        <w:gridCol w:w="1632"/>
        <w:gridCol w:w="1551"/>
        <w:gridCol w:w="155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Кейс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Угол, 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Совпадение,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Пузырьковый (совпадение)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Пробковый (совпадение)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Кольцевой (совпадение)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Ансари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1260/1260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2373/3040 (78.1%)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3369/5700 (59.1%)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Ансари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1287/1287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2718/3413 (79.6%)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3072/5300 (58.0%)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Ансари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1303/1303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2466/3297 (74.8%)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3265/5400 (60.5%)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Ансари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1235/1235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1909/2965 (64.4%)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3631/5800 (62.6%)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Ансари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1263/1265 (99.8%)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2791/3135 (89.0%)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3660/5600 (65.4%)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Беггс-Брилл (0–60°)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0"/>
        <w:gridCol w:w="1040"/>
        <w:gridCol w:w="640"/>
        <w:gridCol w:w="1040"/>
        <w:gridCol w:w="1520"/>
        <w:gridCol w:w="1520"/>
        <w:gridCol w:w="15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Кейс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Угол, 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Совпадение,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Стратифицированный (совпадение)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Пробковый (совпадение)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Дисперг. пузырьковый (совпадение)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Беггс-Брилл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2724/2724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3008/4784 (62.9%)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319/2492 (12.8%)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Беггс-Брилл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1009/2478 (40.7%)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2515/4708 (53.4%)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1232/2814 (43.8%)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Беггс-Брилл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2154/2154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428/4556 (9.4%)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1193/3290 (36.3%)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Беггс-Брилл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94/2917 (3.2%)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4155/4847 (85.7%)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939/2236 (42.0%)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Беггс-Брилл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740/3080 (24.0%)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3616/4893 (73.9%)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748/2027 (36.9%)</w:t>
            </w:r>
          </w:p>
        </w:tc>
      </w:tr>
    </w:tbl>
    <w:p>
      <w:pPr>
        <w:pStyle w:val="BodyText"/>
      </w:pPr>
      <w:r>
        <w:t xml:space="preserve">Суммарное (взвешенное по всем точкам) совпадение:</w:t>
      </w:r>
      <w:r>
        <w:t xml:space="preserve"> </w:t>
      </w:r>
      <w:r>
        <w:rPr>
          <w:b/>
          <w:bCs/>
        </w:rPr>
        <w:t xml:space="preserve">71.2%</w:t>
      </w:r>
      <w:r>
        <w:t xml:space="preserve"> </w:t>
      </w:r>
      <w:r>
        <w:t xml:space="preserve">для семейства Ансари (50000 точек) и</w:t>
      </w:r>
      <w:r>
        <w:t xml:space="preserve"> </w:t>
      </w:r>
      <w:r>
        <w:rPr>
          <w:b/>
          <w:bCs/>
        </w:rPr>
        <w:t xml:space="preserve">49.7%</w:t>
      </w:r>
      <w:r>
        <w:t xml:space="preserve"> </w:t>
      </w:r>
      <w:r>
        <w:t xml:space="preserve">для</w:t>
      </w:r>
      <w:r>
        <w:t xml:space="preserve"> </w:t>
      </w:r>
      <w:r>
        <w:t xml:space="preserve">семейства Беггс-Брилл (50000 точек); по всем 10 кейсам вместе —</w:t>
      </w:r>
      <w:r>
        <w:t xml:space="preserve"> </w:t>
      </w:r>
      <w:r>
        <w:rPr>
          <w:b/>
          <w:bCs/>
        </w:rPr>
        <w:t xml:space="preserve">60.5%</w:t>
      </w:r>
      <w:r>
        <w:t xml:space="preserve"> </w:t>
      </w:r>
      <w:r>
        <w:t xml:space="preserve">(60476 из 100000 точек). Столбец</w:t>
      </w:r>
      <w:r>
        <w:t xml:space="preserve"> </w:t>
      </w:r>
      <w:r>
        <w:t xml:space="preserve">“Стратифицированный (совпадение)”</w:t>
      </w:r>
      <w:r>
        <w:t xml:space="preserve"> </w:t>
      </w:r>
      <w:r>
        <w:t xml:space="preserve">для Беггс-Брилла демонстрирует неоднородную, но местами очень высокую точность (100% в кейсах 4 и 6 — там, где у FlowMapUtility стратифицированный</w:t>
      </w:r>
      <w:r>
        <w:t xml:space="preserve"> </w:t>
      </w:r>
      <w:r>
        <w:t xml:space="preserve">режим ни разу не попадает в Пробковый/Пузырьковый код OLGA), тогда как столбец</w:t>
      </w:r>
      <w:r>
        <w:t xml:space="preserve"> </w:t>
      </w:r>
      <w:r>
        <w:t xml:space="preserve">“Дисперг. пузырьковый</w:t>
      </w:r>
      <w:r>
        <w:t xml:space="preserve"> </w:t>
      </w:r>
      <w:r>
        <w:t xml:space="preserve">(совпадение)”</w:t>
      </w:r>
      <w:r>
        <w:t xml:space="preserve"> </w:t>
      </w:r>
      <w:r>
        <w:t xml:space="preserve">показывает низкую и умеренную точность (12.8–43.8%) — именно дисперсно-пузырьковый режим является</w:t>
      </w:r>
      <w:r>
        <w:t xml:space="preserve"> </w:t>
      </w:r>
      <w:r>
        <w:t xml:space="preserve">главным источником расхождения для семейства Беггс-Брилл (см. §5).</w:t>
      </w:r>
    </w:p>
    <w:bookmarkEnd w:id="42"/>
    <w:bookmarkStart w:id="43" w:name="сравнение-границ-режимов"/>
    <w:p>
      <w:pPr>
        <w:pStyle w:val="Heading3"/>
      </w:pPr>
      <w:r>
        <w:t xml:space="preserve">4.6 Сравнение границ режимов</w:t>
      </w:r>
    </w:p>
    <w:p>
      <w:pPr>
        <w:pStyle w:val="FirstParagraph"/>
      </w:pPr>
      <w:r>
        <w:rPr>
          <w:b/>
          <w:bCs/>
        </w:rPr>
        <w:t xml:space="preserve">Граница начала Кольцевого режима (кейсы Ансари), по срезам Vsl.</w:t>
      </w:r>
      <w:r>
        <w:t xml:space="preserve"> </w:t>
      </w:r>
      <w:r>
        <w:t xml:space="preserve">Важное наблюдение: у модели Ансари порог</w:t>
      </w:r>
      <w:r>
        <w:t xml:space="preserve"> </w:t>
      </w:r>
      <w:r>
        <w:t xml:space="preserve">начала кольцевого режима (</w:t>
      </w:r>
      <w:r>
        <w:rPr>
          <w:rStyle w:val="VerbatimChar"/>
        </w:rPr>
        <w:t xml:space="preserve">vsg3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ansari.py</w:t>
      </w:r>
      <w:r>
        <w:t xml:space="preserve">, см. формулу §3.1)</w:t>
      </w:r>
      <w:r>
        <w:t xml:space="preserve"> </w:t>
      </w:r>
      <w:r>
        <w:rPr>
          <w:b/>
          <w:bCs/>
        </w:rPr>
        <w:t xml:space="preserve">не зависит от Vsl</w:t>
      </w:r>
      <w:r>
        <w:t xml:space="preserve"> </w:t>
      </w:r>
      <w:r>
        <w:t xml:space="preserve">— это константа. У OLGA</w:t>
      </w:r>
      <w:r>
        <w:t xml:space="preserve"> </w:t>
      </w:r>
      <w:r>
        <w:t xml:space="preserve">граница явно растёт с Vsl. Из-за этого на малых Vsl FlowMapUtility и OLGA близки, а на больших Vsl расхождение</w:t>
      </w:r>
      <w:r>
        <w:t xml:space="preserve"> </w:t>
      </w:r>
      <w:r>
        <w:t xml:space="preserve">доходит до 10+ м/с.</w:t>
      </w:r>
    </w:p>
    <w:p>
      <w:pPr>
        <w:pStyle w:val="BodyText"/>
      </w:pPr>
      <w:r>
        <w:rPr>
          <w:b/>
          <w:bCs/>
        </w:rPr>
        <w:t xml:space="preserve">Кейс 1</w:t>
      </w:r>
      <w:r>
        <w:t xml:space="preserve"> </w:t>
      </w:r>
      <w:r>
        <w:t xml:space="preserve">(угол 90°, «Верт. газоконд. скважина»):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7"/>
        <w:gridCol w:w="2758"/>
        <w:gridCol w:w="2847"/>
        <w:gridCol w:w="124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Vsl,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Vsg нач. Кольцевого (FlowMapUtility),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Vsg нач. Кольцевого (OLGA),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Δ, м/с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-4.452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-8.849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-9.444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-9.444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2</w:t>
      </w:r>
      <w:r>
        <w:t xml:space="preserve"> </w:t>
      </w:r>
      <w:r>
        <w:t xml:space="preserve">(угол 80°, «Наклонная скважина»):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7"/>
        <w:gridCol w:w="2758"/>
        <w:gridCol w:w="2847"/>
        <w:gridCol w:w="124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Vsl,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Vsg нач. Кольцевого (FlowMapUtility),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Vsg нач. Кольцевого (OLGA),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Δ, м/с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-3.827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-5.606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-9.766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-11.142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-11.142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3</w:t>
      </w:r>
      <w:r>
        <w:t xml:space="preserve"> </w:t>
      </w:r>
      <w:r>
        <w:t xml:space="preserve">(угол 75°, «Верт. водогазовая скважина»):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7"/>
        <w:gridCol w:w="2758"/>
        <w:gridCol w:w="2847"/>
        <w:gridCol w:w="124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Vsl,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Vsg нач. Кольцевого (FlowMapUtility),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Vsg нач. Кольцевого (OLGA),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Δ, м/с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-3.613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-4.227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-8.062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-8.062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7</w:t>
      </w:r>
      <w:r>
        <w:t xml:space="preserve"> </w:t>
      </w:r>
      <w:r>
        <w:t xml:space="preserve">(угол 90°, «Тяжелая нефть верт. скважина»):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7"/>
        <w:gridCol w:w="2758"/>
        <w:gridCol w:w="2847"/>
        <w:gridCol w:w="124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Vsl,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Vsg нач. Кольцевого (FlowMapUtility),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Vsg нач. Кольцевого (OLGA),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Δ, м/с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-5.208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-15.738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-18.919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10</w:t>
      </w:r>
      <w:r>
        <w:t xml:space="preserve"> </w:t>
      </w:r>
      <w:r>
        <w:t xml:space="preserve">(угол 90°, «Верт. газовая скважина высокий GLR»):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7"/>
        <w:gridCol w:w="2758"/>
        <w:gridCol w:w="2847"/>
        <w:gridCol w:w="124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Vsl,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Vsg нач. Кольцевого (FlowMapUtility),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Vsg нач. Кольцевого (OLGA), м/с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Δ, м/с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-4.716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-11.38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Площадь расслоённого режима (кейс 4, угол 0° — горизонталь, без влияния угла).</w:t>
      </w:r>
      <w:r>
        <w:t xml:space="preserve"> </w:t>
      </w:r>
      <w:r>
        <w:t xml:space="preserve">В отличие от Ансари, для</w:t>
      </w:r>
      <w:r>
        <w:t xml:space="preserve"> </w:t>
      </w:r>
      <w:r>
        <w:t xml:space="preserve">Беггс-Брилл протестировать границу расслоённого режима одной линией</w:t>
      </w:r>
      <w:r>
        <w:t xml:space="preserve"> </w:t>
      </w:r>
      <w:r>
        <w:t xml:space="preserve">“Vsg(Vsl)”</w:t>
      </w:r>
      <w:r>
        <w:t xml:space="preserve"> </w:t>
      </w:r>
      <w:r>
        <w:t xml:space="preserve">некорректно: в экспортированной</w:t>
      </w:r>
      <w:r>
        <w:t xml:space="preserve"> </w:t>
      </w:r>
      <w:r>
        <w:t xml:space="preserve">карте OLGA код</w:t>
      </w:r>
      <w:r>
        <w:t xml:space="preserve"> </w:t>
      </w:r>
      <w:r>
        <w:t xml:space="preserve">“Расслоенный волновой”</w:t>
      </w:r>
      <w:r>
        <w:t xml:space="preserve"> </w:t>
      </w:r>
      <w:r>
        <w:t xml:space="preserve">(1) для горизонтальной трубы встречается не только сразу после кода</w:t>
      </w:r>
      <w:r>
        <w:t xml:space="preserve"> </w:t>
      </w:r>
      <w:r>
        <w:t xml:space="preserve">“Расслоенный гладкий”</w:t>
      </w:r>
      <w:r>
        <w:t xml:space="preserve"> </w:t>
      </w:r>
      <w:r>
        <w:t xml:space="preserve">(0), но и повторно на самых высоких значениях Vsg при умеренных Vsl (после зоны</w:t>
      </w:r>
      <w:r>
        <w:t xml:space="preserve"> </w:t>
      </w:r>
      <w:r>
        <w:t xml:space="preserve">Пробкового режима) — то есть граница расслоённого режима у OLGA в этом кейсе не монотонна по Vsg, поскольку</w:t>
      </w:r>
      <w:r>
        <w:t xml:space="preserve"> </w:t>
      </w:r>
      <w:r>
        <w:t xml:space="preserve">для истинно горизонтальной трубы в экспортируемой карте OLGA нет отдельной категории</w:t>
      </w:r>
      <w:r>
        <w:t xml:space="preserve"> </w:t>
      </w:r>
      <w:r>
        <w:t xml:space="preserve">“кольцевой/дисперсный”</w:t>
      </w:r>
      <w:r>
        <w:t xml:space="preserve">,</w:t>
      </w:r>
      <w:r>
        <w:t xml:space="preserve"> </w:t>
      </w:r>
      <w:r>
        <w:t xml:space="preserve">и часть высокоскоростных точек по газу возвращается в категорию</w:t>
      </w:r>
      <w:r>
        <w:t xml:space="preserve"> </w:t>
      </w:r>
      <w:r>
        <w:t xml:space="preserve">“расслоённый волновой”</w:t>
      </w:r>
      <w:r>
        <w:t xml:space="preserve">. Поэтому для честного</w:t>
      </w:r>
      <w:r>
        <w:t xml:space="preserve"> </w:t>
      </w:r>
      <w:r>
        <w:t xml:space="preserve">сравнения используется не граница, а суммарная площадь:</w:t>
      </w:r>
      <w:r>
        <w:t xml:space="preserve"> </w:t>
      </w:r>
      <w:r>
        <w:rPr>
          <w:b/>
          <w:bCs/>
        </w:rPr>
        <w:t xml:space="preserve">OLGA относит к расслоённому семейству (коды 0+1)</w:t>
      </w:r>
      <w:r>
        <w:rPr>
          <w:b/>
          <w:bCs/>
        </w:rPr>
        <w:t xml:space="preserve"> </w:t>
      </w:r>
      <w:r>
        <w:rPr>
          <w:b/>
          <w:bCs/>
        </w:rPr>
        <w:t xml:space="preserve">55.28% карты кейса 4, тогда как FlowMapUtility — только 27.24%</w:t>
      </w:r>
      <w:r>
        <w:t xml:space="preserve"> </w:t>
      </w:r>
      <w:r>
        <w:t xml:space="preserve">(см. §4.1). Иными словами, классическая</w:t>
      </w:r>
      <w:r>
        <w:t xml:space="preserve"> </w:t>
      </w:r>
      <w:r>
        <w:t xml:space="preserve">граница Беггса-Брилла (</w:t>
      </w:r>
      <m:oMath>
        <m:sSub>
          <m:e>
            <m:r>
              <m:t>N</m:t>
            </m:r>
          </m:e>
          <m:sub>
            <m:r>
              <m:t>F</m:t>
            </m:r>
            <m:r>
              <m:t>r</m:t>
            </m:r>
          </m:sub>
        </m:sSub>
        <m:r>
          <m:rPr>
            <m:sty m:val="p"/>
          </m:rPr>
          <m:t>≤</m:t>
        </m:r>
        <m:r>
          <m:t>0.000925</m:t>
        </m:r>
        <m:r>
          <m:t> </m:t>
        </m:r>
        <m:sSubSup>
          <m:e>
            <m:r>
              <m:t>λ</m:t>
            </m:r>
          </m:e>
          <m:sub>
            <m:r>
              <m:t>l</m:t>
            </m:r>
          </m:sub>
          <m:sup>
            <m:r>
              <m:rPr>
                <m:sty m:val="p"/>
              </m:rPr>
              <m:t>−</m:t>
            </m:r>
            <m:r>
              <m:t>2.468</m:t>
            </m:r>
          </m:sup>
        </m:sSubSup>
      </m:oMath>
      <w:r>
        <w:t xml:space="preserve">) отдаёт в пробковый и дисперсно-пузырьковый</w:t>
      </w:r>
      <w:r>
        <w:t xml:space="preserve"> </w:t>
      </w:r>
      <w:r>
        <w:t xml:space="preserve">режимы почти вдвое большую долю карты, чем показывает OLGA.</w:t>
      </w:r>
    </w:p>
    <w:bookmarkEnd w:id="43"/>
    <w:bookmarkEnd w:id="44"/>
    <w:bookmarkStart w:id="45" w:name="обсуждение"/>
    <w:p>
      <w:pPr>
        <w:pStyle w:val="Heading2"/>
      </w:pPr>
      <w:r>
        <w:t xml:space="preserve">5. Обсуждение</w:t>
      </w:r>
    </w:p>
    <w:p>
      <w:pPr>
        <w:pStyle w:val="FirstParagraph"/>
      </w:pPr>
      <w:r>
        <w:rPr>
          <w:b/>
          <w:bCs/>
        </w:rPr>
        <w:t xml:space="preserve">Кейсы Ансари (вертикальные/сильно наклонные скважины, 75–90°) — совпадение 68–77%, лучшее среди всех.</w:t>
      </w:r>
      <w:r>
        <w:t xml:space="preserve"> </w:t>
      </w:r>
      <w:r>
        <w:t xml:space="preserve">Режимы</w:t>
      </w:r>
      <w:r>
        <w:t xml:space="preserve"> </w:t>
      </w:r>
      <w:r>
        <w:t xml:space="preserve">Пузырьковый и Дисперг. пузырьковый у FlowMapUtility в 99.8–100% случаев попадают в код OLGA «Пузырьковый» (OLGA</w:t>
      </w:r>
      <w:r>
        <w:t xml:space="preserve"> </w:t>
      </w:r>
      <w:r>
        <w:t xml:space="preserve">их вообще не различает). Пробковый режим совпадает на 64–89%. Главный источник расхождения — Кольцевой режим:</w:t>
      </w:r>
      <w:r>
        <w:t xml:space="preserve"> </w:t>
      </w:r>
      <w:r>
        <w:t xml:space="preserve">совпадает только 58–65%, потому что порог начала кольцевого режима у модели Ансари — константа по Vsg, не</w:t>
      </w:r>
      <w:r>
        <w:t xml:space="preserve"> </w:t>
      </w:r>
      <w:r>
        <w:t xml:space="preserve">зависящая от Vsl (см. формулу в §3.1), а у OLGA граница явно растёт с Vsl (§4.6). На малых Vsl расхождение по</w:t>
      </w:r>
      <w:r>
        <w:t xml:space="preserve"> </w:t>
      </w:r>
      <w:r>
        <w:t xml:space="preserve">границе — доли м/с, на больших Vsl (2.5–5 м/с) — 9–19 м/с.</w:t>
      </w:r>
    </w:p>
    <w:p>
      <w:pPr>
        <w:pStyle w:val="BodyText"/>
      </w:pPr>
      <w:r>
        <w:rPr>
          <w:b/>
          <w:bCs/>
        </w:rPr>
        <w:t xml:space="preserve">Кейсы Беггс-Брилл (горизонталь/наклон, 0–60°) — совпадение 38–60%, заметно хуже.</w:t>
      </w:r>
      <w:r>
        <w:t xml:space="preserve"> </w:t>
      </w:r>
      <w:r>
        <w:t xml:space="preserve">Столбец «Стратифицированный</w:t>
      </w:r>
      <w:r>
        <w:t xml:space="preserve"> </w:t>
      </w:r>
      <w:r>
        <w:t xml:space="preserve">(совпадение)» показывает 100% в кейсах 4 и 6, но не потому, что классическая граница расслоённого режима точна —</w:t>
      </w:r>
      <w:r>
        <w:t xml:space="preserve"> </w:t>
      </w:r>
      <w:r>
        <w:t xml:space="preserve">а потому,</w:t>
      </w:r>
      <w:r>
        <w:t xml:space="preserve"> </w:t>
      </w:r>
      <w:r>
        <w:t xml:space="preserve">что</w:t>
      </w:r>
      <w:r>
        <w:t xml:space="preserve"> </w:t>
      </w:r>
      <w:r>
        <w:rPr>
          <w:i/>
          <w:iCs/>
        </w:rPr>
        <w:t xml:space="preserve">все</w:t>
      </w:r>
      <w:r>
        <w:t xml:space="preserve"> </w:t>
      </w:r>
      <w:r>
        <w:t xml:space="preserve">точки, где FlowMapUtility ставит Стратифицированный режим, попадают либо в код 0, либо в код 1 OLGA</w:t>
      </w:r>
      <w:r>
        <w:t xml:space="preserve"> </w:t>
      </w:r>
      <w:r>
        <w:t xml:space="preserve">(оба физически — расслоённое течение), то есть FlowMapUtility никогда не ошибается</w:t>
      </w:r>
      <w:r>
        <w:t xml:space="preserve"> </w:t>
      </w:r>
      <w:r>
        <w:t xml:space="preserve">“в другую сторону”</w:t>
      </w:r>
      <w:r>
        <w:t xml:space="preserve"> </w:t>
      </w:r>
      <w:r>
        <w:t xml:space="preserve">в этих</w:t>
      </w:r>
      <w:r>
        <w:t xml:space="preserve"> </w:t>
      </w:r>
      <w:r>
        <w:t xml:space="preserve">точках. Настоящая проблема — противоположная:</w:t>
      </w:r>
      <w:r>
        <w:t xml:space="preserve"> </w:t>
      </w:r>
      <w:r>
        <w:rPr>
          <w:b/>
          <w:bCs/>
        </w:rPr>
        <w:t xml:space="preserve">FlowMapUtility относит к расслоённому режиму значительно меньшую</w:t>
      </w:r>
      <w:r>
        <w:rPr>
          <w:b/>
          <w:bCs/>
        </w:rPr>
        <w:t xml:space="preserve"> </w:t>
      </w:r>
      <w:r>
        <w:rPr>
          <w:b/>
          <w:bCs/>
        </w:rPr>
        <w:t xml:space="preserve">площадь карты, чем OLGA</w:t>
      </w:r>
      <w:r>
        <w:t xml:space="preserve"> </w:t>
      </w:r>
      <w:r>
        <w:t xml:space="preserve">(27.24% против 55.28% в кейсе 4, см. §4.6), а недостающая площадь у FlowMapUtility</w:t>
      </w:r>
      <w:r>
        <w:t xml:space="preserve"> </w:t>
      </w:r>
      <w:r>
        <w:t xml:space="preserve">уходит в Пробковый и особенно в Дисперг. пузырьковый режим. Именно поэтому точность распознавания Дисперг.</w:t>
      </w:r>
      <w:r>
        <w:t xml:space="preserve"> </w:t>
      </w:r>
      <w:r>
        <w:t xml:space="preserve">пузырькового режима низкая (12.8–43.8%, §4.5) — 34.5–56.6% точек, отмеченных FlowMapUtility как дисперсно-</w:t>
      </w:r>
      <w:r>
        <w:t xml:space="preserve"> </w:t>
      </w:r>
      <w:r>
        <w:t xml:space="preserve">пузырьковые, OLGA классифицирует как расслоённый волновой (§4.4). Структурная причина — сама формула</w:t>
      </w:r>
      <w:r>
        <w:t xml:space="preserve"> </w:t>
      </w:r>
      <w:r>
        <w:t xml:space="preserve">Беггса-Брилла для верхней границы расслоённого режима (</w:t>
      </w:r>
      <m:oMath>
        <m:sSub>
          <m:e>
            <m:r>
              <m:t>N</m:t>
            </m:r>
          </m:e>
          <m:sub>
            <m:r>
              <m:t>F</m:t>
            </m:r>
            <m:r>
              <m:t>r</m:t>
            </m:r>
          </m:sub>
        </m:sSub>
        <m:r>
          <m:rPr>
            <m:sty m:val="p"/>
          </m:rPr>
          <m:t>≤</m:t>
        </m:r>
        <m:r>
          <m:t>0.000925</m:t>
        </m:r>
        <m:r>
          <m:t> </m:t>
        </m:r>
        <m:sSubSup>
          <m:e>
            <m:r>
              <m:t>λ</m:t>
            </m:r>
          </m:e>
          <m:sub>
            <m:r>
              <m:t>l</m:t>
            </m:r>
          </m:sub>
          <m:sup>
            <m:r>
              <m:rPr>
                <m:sty m:val="p"/>
              </m:rPr>
              <m:t>−</m:t>
            </m:r>
            <m:r>
              <m:t>2.468</m:t>
            </m:r>
          </m:sup>
        </m:sSubSup>
      </m:oMath>
      <w:r>
        <w:t xml:space="preserve">) при малом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(малая доля жидкости) быстро формально</w:t>
      </w:r>
      <w:r>
        <w:t xml:space="preserve"> </w:t>
      </w:r>
      <w:r>
        <w:t xml:space="preserve">“выпускает”</w:t>
      </w:r>
      <w:r>
        <w:t xml:space="preserve"> </w:t>
      </w:r>
      <w:r>
        <w:t xml:space="preserve">поток из расслоённого режима, что не соответствует более</w:t>
      </w:r>
      <w:r>
        <w:t xml:space="preserve"> </w:t>
      </w:r>
      <w:r>
        <w:t xml:space="preserve">консервативной (в терминах сохранения расслоённого течения при высоких Vsg) классификации OLGA. Кроме того,</w:t>
      </w:r>
      <w:r>
        <w:t xml:space="preserve"> </w:t>
      </w:r>
      <w:r>
        <w:t xml:space="preserve">классификация режима у Беггса-Брилла вообще не учитывает угол наклона трубы (это точное следование</w:t>
      </w:r>
      <w:r>
        <w:t xml:space="preserve"> </w:t>
      </w:r>
      <w:r>
        <w:t xml:space="preserve">оригинальной статье 1973 года: там угол используется только в расчёте удержания жидкости, см. §2.2), поэтому</w:t>
      </w:r>
      <w:r>
        <w:t xml:space="preserve"> </w:t>
      </w:r>
      <w:r>
        <w:t xml:space="preserve">карта режимов у FlowMapUtility для кейса 4 (0°) и кейса 6 (60°) идентичны по форме, тогда как у OLGA площадь</w:t>
      </w:r>
      <w:r>
        <w:t xml:space="preserve"> </w:t>
      </w:r>
      <w:r>
        <w:t xml:space="preserve">расслоённого семейства растёт с 55.28% (0°) до 74.33% (60°). Кейс 6 (угол 60° — на стыке диапазонов</w:t>
      </w:r>
      <w:r>
        <w:t xml:space="preserve"> </w:t>
      </w:r>
      <w:r>
        <w:t xml:space="preserve">применимости моделей Ансари и Беггса-Брилла) закономерно показывает одно из наихудших совпадений по Пробковому</w:t>
      </w:r>
      <w:r>
        <w:t xml:space="preserve"> </w:t>
      </w:r>
      <w:r>
        <w:t xml:space="preserve">режиму (9.4%): классическая карта Беггса-Брилла не предназначена для крутых углов, для которых в литературе</w:t>
      </w:r>
      <w:r>
        <w:t xml:space="preserve"> </w:t>
      </w:r>
      <w:r>
        <w:t xml:space="preserve">рекомендуется единая модель Барнеа (Barnea, 1987), явно учитывающая угол наклона в критериях перехода между</w:t>
      </w:r>
      <w:r>
        <w:t xml:space="preserve"> </w:t>
      </w:r>
      <w:r>
        <w:t xml:space="preserve">режимами.</w:t>
      </w:r>
    </w:p>
    <w:p>
      <w:pPr>
        <w:pStyle w:val="BodyText"/>
      </w:pPr>
      <w:r>
        <w:t xml:space="preserve">В совокупности результаты показывают, что расхождения между классическими корреляциями и промышленным</w:t>
      </w:r>
      <w:r>
        <w:t xml:space="preserve"> </w:t>
      </w:r>
      <w:r>
        <w:t xml:space="preserve">симулятором носят не случайный, а систематический характер, напрямую выводимый из структуры исходных уравнений</w:t>
      </w:r>
      <w:r>
        <w:t xml:space="preserve"> </w:t>
      </w:r>
      <w:r>
        <w:t xml:space="preserve">1973 и 1994 годов. Это согласуется с общей тенденцией в литературе по многофазному потоку: модели, разработанные</w:t>
      </w:r>
      <w:r>
        <w:t xml:space="preserve"> </w:t>
      </w:r>
      <w:r>
        <w:t xml:space="preserve">для узкого диапазона условий (углы наклона, диаметры труб, свойства флюидов лабораторных экспериментов),</w:t>
      </w:r>
      <w:r>
        <w:t xml:space="preserve"> </w:t>
      </w:r>
      <w:r>
        <w:t xml:space="preserve">сохраняют топологию границ режимов за пределами калибровочного диапазона, даже когда реальная физика перехода</w:t>
      </w:r>
      <w:r>
        <w:t xml:space="preserve"> </w:t>
      </w:r>
      <w:r>
        <w:t xml:space="preserve">меняется. Поскольку внутренние корреляции OLGA закрыты (§2.3), дальнейшая детализация причин расхождения со</w:t>
      </w:r>
      <w:r>
        <w:t xml:space="preserve"> </w:t>
      </w:r>
      <w:r>
        <w:t xml:space="preserve">стороны OLGA невозможна — все объяснения в данном разделе относятся к структуре именно классических корреляций,</w:t>
      </w:r>
      <w:r>
        <w:t xml:space="preserve"> </w:t>
      </w:r>
      <w:r>
        <w:t xml:space="preserve">что и было целью работы.</w:t>
      </w:r>
    </w:p>
    <w:bookmarkEnd w:id="45"/>
    <w:bookmarkStart w:id="46" w:name="заключение"/>
    <w:p>
      <w:pPr>
        <w:pStyle w:val="Heading2"/>
      </w:pPr>
      <w:r>
        <w:t xml:space="preserve">6. Заключение</w:t>
      </w:r>
    </w:p>
    <w:p>
      <w:pPr>
        <w:pStyle w:val="FirstParagraph"/>
      </w:pPr>
      <w:r>
        <w:t xml:space="preserve">Выполнено количественное сопоставление классификации режимов течения, полученной классическими корреляциями</w:t>
      </w:r>
      <w:r>
        <w:t xml:space="preserve"> </w:t>
      </w:r>
      <w:r>
        <w:t xml:space="preserve">Ансари (1994) и Беггса-Брилла (1973), реализованными в FlowMapUtility, с результатами промышленного симулятора</w:t>
      </w:r>
      <w:r>
        <w:t xml:space="preserve"> </w:t>
      </w:r>
      <w:r>
        <w:t xml:space="preserve">OLGA (Schlumberger) на 10 представительных сценариях скважин и трубопроводов (100 000 точек сравнения), с</w:t>
      </w:r>
      <w:r>
        <w:t xml:space="preserve"> </w:t>
      </w:r>
      <w:r>
        <w:t xml:space="preserve">использованием официальной легенды кодов режимов OLGA. Показано, что:</w:t>
      </w:r>
    </w:p>
    <w:p>
      <w:pPr>
        <w:pStyle w:val="Compact"/>
        <w:numPr>
          <w:ilvl w:val="0"/>
          <w:numId w:val="1003"/>
        </w:numPr>
      </w:pPr>
      <w:r>
        <w:t xml:space="preserve">Для около-вертикальных скважин (модель Ансари, углы 75–90°) совпадение классификации с OLGA составляет</w:t>
      </w:r>
      <w:r>
        <w:t xml:space="preserve"> </w:t>
      </w:r>
      <w:r>
        <w:t xml:space="preserve">68–77%, при этом пузырьковый и дисперсно-пузырьковый режимы распознаются практически безошибочно (99.8–100%),</w:t>
      </w:r>
      <w:r>
        <w:t xml:space="preserve"> </w:t>
      </w:r>
      <w:r>
        <w:t xml:space="preserve">а основные расхождения сосредоточены на границе кольцевого режима, порог которой у модели Ансари не зависит</w:t>
      </w:r>
      <w:r>
        <w:t xml:space="preserve"> </w:t>
      </w:r>
      <w:r>
        <w:t xml:space="preserve">от скорости жидкости.</w:t>
      </w:r>
    </w:p>
    <w:p>
      <w:pPr>
        <w:pStyle w:val="Compact"/>
        <w:numPr>
          <w:ilvl w:val="0"/>
          <w:numId w:val="1003"/>
        </w:numPr>
      </w:pPr>
      <w:r>
        <w:t xml:space="preserve">Для горизонтальных и наклонных трубопроводов (модель Беггса-Брилла, углы 0–60°) совпадение заметно ниже</w:t>
      </w:r>
      <w:r>
        <w:t xml:space="preserve"> </w:t>
      </w:r>
      <w:r>
        <w:t xml:space="preserve">(38–60%). Основная причина — модель Беггса-Брилла отдаёт в пробковый и дисперсно-пузырьковый режимы</w:t>
      </w:r>
      <w:r>
        <w:t xml:space="preserve"> </w:t>
      </w:r>
      <w:r>
        <w:t xml:space="preserve">существенно большую долю карты, чем OLGA относит к расслоённому течению (в кейсе 4: 27.24% против 55.28%), а</w:t>
      </w:r>
      <w:r>
        <w:t xml:space="preserve"> </w:t>
      </w:r>
      <w:r>
        <w:t xml:space="preserve">не наоборот, как можно было бы предположить по внешнему виду классической границы расслоённого режима.</w:t>
      </w:r>
    </w:p>
    <w:p>
      <w:pPr>
        <w:pStyle w:val="Compact"/>
        <w:numPr>
          <w:ilvl w:val="0"/>
          <w:numId w:val="1003"/>
        </w:numPr>
      </w:pPr>
      <w:r>
        <w:t xml:space="preserve">Классификация режима у модели Беггса-Брилла вообще не зависит от угла наклона трубы — прямое следствие</w:t>
      </w:r>
      <w:r>
        <w:t xml:space="preserve"> </w:t>
      </w:r>
      <w:r>
        <w:t xml:space="preserve">исходной работы 1973 года, — тогда как у OLGA доля расслоённого режима заметно растёт с углом наклона</w:t>
      </w:r>
      <w:r>
        <w:t xml:space="preserve"> </w:t>
      </w:r>
      <w:r>
        <w:t xml:space="preserve">(55.28% при 0° → 74.33% при 60°), что дополнительно увеличивает расхождение на больших углах.</w:t>
      </w:r>
    </w:p>
    <w:p>
      <w:pPr>
        <w:pStyle w:val="Compact"/>
        <w:numPr>
          <w:ilvl w:val="0"/>
          <w:numId w:val="1003"/>
        </w:numPr>
      </w:pPr>
      <w:r>
        <w:t xml:space="preserve">Оба расхождения носят структурный, а не случайный характер и напрямую выводятся из математической формы</w:t>
      </w:r>
      <w:r>
        <w:t xml:space="preserve"> </w:t>
      </w:r>
      <w:r>
        <w:t xml:space="preserve">исходных корреляций, а не являются ошибками программной реализации.</w:t>
      </w:r>
    </w:p>
    <w:p>
      <w:pPr>
        <w:pStyle w:val="Compact"/>
        <w:numPr>
          <w:ilvl w:val="0"/>
          <w:numId w:val="1003"/>
        </w:numPr>
      </w:pPr>
      <w:r>
        <w:t xml:space="preserve">Использование классических корреляций Ансари и Беггса-Брилла для построения карт режимов течения без</w:t>
      </w:r>
      <w:r>
        <w:t xml:space="preserve"> </w:t>
      </w:r>
      <w:r>
        <w:t xml:space="preserve">модификаций даёт приемлемую точность (≥68%) только для около-вертикальных скважин; для наклонных</w:t>
      </w:r>
      <w:r>
        <w:t xml:space="preserve"> </w:t>
      </w:r>
      <w:r>
        <w:t xml:space="preserve">трубопроводов точность составляет 38–60%, что требует осторожности при практическом применении и указывает</w:t>
      </w:r>
      <w:r>
        <w:t xml:space="preserve"> </w:t>
      </w:r>
      <w:r>
        <w:t xml:space="preserve">на целесообразность перехода к более современным механистическим моделям (например, единой модели Барнеа)</w:t>
      </w:r>
      <w:r>
        <w:t xml:space="preserve"> </w:t>
      </w:r>
      <w:r>
        <w:t xml:space="preserve">для таких условий.</w:t>
      </w:r>
    </w:p>
    <w:bookmarkEnd w:id="46"/>
    <w:bookmarkStart w:id="47" w:name="направления-дальнейших-исследований"/>
    <w:p>
      <w:pPr>
        <w:pStyle w:val="Heading2"/>
      </w:pPr>
      <w:r>
        <w:t xml:space="preserve">7. Направления дальнейших исследований</w:t>
      </w:r>
    </w:p>
    <w:p>
      <w:pPr>
        <w:pStyle w:val="Compact"/>
        <w:numPr>
          <w:ilvl w:val="0"/>
          <w:numId w:val="1004"/>
        </w:numPr>
      </w:pPr>
      <w:r>
        <w:t xml:space="preserve">Для модели Ансари: оценить целесообразность модификации порога начала кольцевого режима (</w:t>
      </w:r>
      <w:r>
        <w:rPr>
          <w:rStyle w:val="VerbatimChar"/>
        </w:rPr>
        <w:t xml:space="preserve">vsg3</w:t>
      </w:r>
      <w:r>
        <w:t xml:space="preserve">), сделав его</w:t>
      </w:r>
      <w:r>
        <w:t xml:space="preserve"> </w:t>
      </w:r>
      <w:r>
        <w:t xml:space="preserve">зависимым от Vsl, если сопоставление с OLGA принимается как целевой бенчмарк.</w:t>
      </w:r>
    </w:p>
    <w:p>
      <w:pPr>
        <w:pStyle w:val="Compact"/>
        <w:numPr>
          <w:ilvl w:val="0"/>
          <w:numId w:val="1004"/>
        </w:numPr>
      </w:pPr>
      <w:r>
        <w:t xml:space="preserve">Для модели Беггса-Брилла: пересмотреть верхнюю границу расслоённого режима</w:t>
      </w:r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t>F</m:t>
            </m:r>
            <m:r>
              <m:t>r</m:t>
            </m:r>
          </m:sub>
        </m:sSub>
        <m:r>
          <m:rPr>
            <m:sty m:val="p"/>
          </m:rPr>
          <m:t>≤</m:t>
        </m:r>
        <m:r>
          <m:t>0.000925</m:t>
        </m:r>
        <m:r>
          <m:t> </m:t>
        </m:r>
        <m:sSubSup>
          <m:e>
            <m:r>
              <m:t>λ</m:t>
            </m:r>
          </m:e>
          <m:sub>
            <m:r>
              <m:t>l</m:t>
            </m:r>
          </m:sub>
          <m:sup>
            <m:r>
              <m:rPr>
                <m:sty m:val="p"/>
              </m:rPr>
              <m:t>−</m:t>
            </m:r>
            <m:r>
              <m:t>2.468</m:t>
            </m:r>
          </m:sup>
        </m:sSubSup>
      </m:oMath>
      <w:r>
        <w:t xml:space="preserve">) в сторону более консервативного (по площади расслоённого режима)</w:t>
      </w:r>
      <w:r>
        <w:t xml:space="preserve"> </w:t>
      </w:r>
      <w:r>
        <w:t xml:space="preserve">критерия, и рассмотреть переход на модель с явным учётом угла наклона в границах режима (например, единую</w:t>
      </w:r>
      <w:r>
        <w:t xml:space="preserve"> </w:t>
      </w:r>
      <w:r>
        <w:t xml:space="preserve">модель Барнеа (Barnea, 1987) или Taitel-Dukler (1976) с поправкой Barnea) для сценариев с углом наклона более</w:t>
      </w:r>
      <w:r>
        <w:t xml:space="preserve"> </w:t>
      </w:r>
      <w:r>
        <w:t xml:space="preserve">30°.</w:t>
      </w:r>
    </w:p>
    <w:p>
      <w:pPr>
        <w:pStyle w:val="Compact"/>
        <w:numPr>
          <w:ilvl w:val="0"/>
          <w:numId w:val="1004"/>
        </w:numPr>
      </w:pPr>
      <w:r>
        <w:t xml:space="preserve">Расширение набора корреляций: добавить в сравнение другие классические и механистические модели (например,</w:t>
      </w:r>
      <w:r>
        <w:t xml:space="preserve"> </w:t>
      </w:r>
      <w:r>
        <w:t xml:space="preserve">Тайтела-Даклера, единую модель Барнеа), чтобы оценить, насколько общей является наблюдаемая картина</w:t>
      </w:r>
      <w:r>
        <w:t xml:space="preserve"> </w:t>
      </w:r>
      <w:r>
        <w:t xml:space="preserve">расхождений с OLGA, а не ограничиваться только моделями Ансари и Беггса-Брилла.</w:t>
      </w:r>
    </w:p>
    <w:bookmarkEnd w:id="47"/>
    <w:bookmarkStart w:id="48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Ansari, A.M., Sylvester, N.D., Sarica, C., Shoham, O., Brill, J.P. A Comprehensive Mechanistic Model for</w:t>
      </w:r>
      <w:r>
        <w:t xml:space="preserve"> </w:t>
      </w:r>
      <w:r>
        <w:t xml:space="preserve">Upward Two-Phase Flow in Wellbores // SPE Production &amp; Facilities. — 1994. — Vol. 9, No. 2. — P. 143–151.</w:t>
      </w:r>
    </w:p>
    <w:p>
      <w:pPr>
        <w:pStyle w:val="Compact"/>
        <w:numPr>
          <w:ilvl w:val="0"/>
          <w:numId w:val="1005"/>
        </w:numPr>
      </w:pPr>
      <w:r>
        <w:t xml:space="preserve">Beggs, H.D., Brill, J.P. A Study of Two-Phase Flow in Inclined Pipes // Journal of Petroleum Technology. —</w:t>
      </w:r>
    </w:p>
    <w:p>
      <w:pPr>
        <w:pStyle w:val="Compact"/>
        <w:numPr>
          <w:ilvl w:val="1"/>
          <w:numId w:val="1006"/>
        </w:numPr>
      </w:pPr>
      <w:r>
        <w:t xml:space="preserve">— Vol. 25, No. 5. — P. 607–617.</w:t>
      </w:r>
    </w:p>
    <w:p>
      <w:pPr>
        <w:pStyle w:val="Compact"/>
        <w:numPr>
          <w:ilvl w:val="0"/>
          <w:numId w:val="1005"/>
        </w:numPr>
      </w:pPr>
      <w:r>
        <w:t xml:space="preserve">Taitel, Y., Dukler, A.E. A Model for Predicting Flow Regime Transitions in Horizontal and Near Horizontal</w:t>
      </w:r>
      <w:r>
        <w:t xml:space="preserve"> </w:t>
      </w:r>
      <w:r>
        <w:t xml:space="preserve">Gas-Liquid Flow // AIChE Journal. — 1976. — Vol. 22, No. 1. — P. 47–55.</w:t>
      </w:r>
    </w:p>
    <w:p>
      <w:pPr>
        <w:pStyle w:val="Compact"/>
        <w:numPr>
          <w:ilvl w:val="0"/>
          <w:numId w:val="1005"/>
        </w:numPr>
      </w:pPr>
      <w:r>
        <w:t xml:space="preserve">Barnea, D. A Unified Model for Predicting Flow-Pattern Transitions for the Whole Range of Pipe</w:t>
      </w:r>
      <w:r>
        <w:t xml:space="preserve"> </w:t>
      </w:r>
      <w:r>
        <w:t xml:space="preserve">Inclinations // International Journal of Multiphase Flow. — 1987. — Vol. 13, No. 1. — P. 1–12.</w:t>
      </w:r>
    </w:p>
    <w:p>
      <w:pPr>
        <w:pStyle w:val="Compact"/>
        <w:numPr>
          <w:ilvl w:val="0"/>
          <w:numId w:val="1005"/>
        </w:numPr>
      </w:pPr>
      <w:r>
        <w:t xml:space="preserve">Mandhane, J.M., Gregory, G.A., Aziz, K. A Flow Pattern Map for Gas-Liquid Flow in Horizontal Pipes //</w:t>
      </w:r>
      <w:r>
        <w:t xml:space="preserve"> </w:t>
      </w:r>
      <w:r>
        <w:t xml:space="preserve">International Journal of Multiphase Flow. — 1974. — Vol. 1, No. 4. — P. 537–553.</w:t>
      </w:r>
    </w:p>
    <w:p>
      <w:pPr>
        <w:pStyle w:val="Compact"/>
        <w:numPr>
          <w:ilvl w:val="0"/>
          <w:numId w:val="1005"/>
        </w:numPr>
      </w:pPr>
      <w:r>
        <w:t xml:space="preserve">Baker, O. Simultaneous Flow of Oil and Gas // Oil and Gas Journal. — 1954. — Vol. 53. — P. 185–195.</w:t>
      </w:r>
    </w:p>
    <w:bookmarkEnd w:id="48"/>
    <w:bookmarkStart w:id="103" w:name="X905cf3ed8c5b3eadd09eca9c0b7819d86875a4c"/>
    <w:p>
      <w:pPr>
        <w:pStyle w:val="Heading2"/>
      </w:pPr>
      <w:r>
        <w:t xml:space="preserve">Приложение А. Карты режимов течения для всех 10 кейсов</w:t>
      </w:r>
    </w:p>
    <w:p>
      <w:pPr>
        <w:pStyle w:val="FirstParagraph"/>
      </w:pPr>
      <w:r>
        <w:t xml:space="preserve">В §4.2 визуальное сопоставление карт приведено только для трёх представительных кейсов. Ниже — полный набор</w:t>
      </w:r>
      <w:r>
        <w:t xml:space="preserve"> </w:t>
      </w:r>
      <w:r>
        <w:t xml:space="preserve">карт режимов течения для всех 10 кейсов (параметры каждого кейса см. §3.2), в том же формате: слева —</w:t>
      </w:r>
      <w:r>
        <w:t xml:space="preserve"> </w:t>
      </w:r>
      <w:r>
        <w:t xml:space="preserve">FlowMapUtility, справа — OLGA. Оси на картах OLGA — Vsg (X) и Vsl (Y) в м/с, логарифмическая шкала; легенда</w:t>
      </w:r>
      <w:r>
        <w:t xml:space="preserve"> </w:t>
      </w:r>
      <w:r>
        <w:t xml:space="preserve">режимов встроена в изображение (соответствие кодов режимов — см. §3.3).</w:t>
      </w:r>
    </w:p>
    <w:p>
      <w:pPr>
        <w:pStyle w:val="BodyText"/>
      </w:pPr>
      <w:r>
        <w:rPr>
          <w:b/>
          <w:bCs/>
        </w:rPr>
        <w:t xml:space="preserve">Кейс 1</w:t>
      </w:r>
      <w:r>
        <w:t xml:space="preserve"> </w:t>
      </w:r>
      <w:r>
        <w:t xml:space="preserve">(ansari, угол 90°, «Верт. газоконд. скважина»):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FlowMapUtility</w:t>
            </w:r>
          </w:p>
        </w:tc>
        <w:tc>
          <w:tcPr/>
          <w:p>
            <w:pPr>
              <w:pStyle w:val="Compact"/>
            </w:pPr>
            <w:r>
              <w:t xml:space="preserve">OLGA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630524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map_case/python/2/map_case_1_invert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49837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ap_case/olga/2/map_case_1_olga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8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2</w:t>
      </w:r>
      <w:r>
        <w:t xml:space="preserve"> </w:t>
      </w:r>
      <w:r>
        <w:t xml:space="preserve">(ansari, угол 80°, «Наклонная скважина»):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FlowMapUtility</w:t>
            </w:r>
          </w:p>
        </w:tc>
        <w:tc>
          <w:tcPr/>
          <w:p>
            <w:pPr>
              <w:pStyle w:val="Compact"/>
            </w:pPr>
            <w:r>
              <w:t xml:space="preserve">OLGA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63052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map_case/python/2/map_case_2_inver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49837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map_case/olga/2/map_case_2_olga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8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3</w:t>
      </w:r>
      <w:r>
        <w:t xml:space="preserve"> </w:t>
      </w:r>
      <w:r>
        <w:t xml:space="preserve">(ansari, угол 75°, «Верт. водогазовая скважина»):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FlowMapUtility</w:t>
            </w:r>
          </w:p>
        </w:tc>
        <w:tc>
          <w:tcPr/>
          <w:p>
            <w:pPr>
              <w:pStyle w:val="Compact"/>
            </w:pPr>
            <w:r>
              <w:t xml:space="preserve">OLGA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63052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map_case/python/2/map_case_3_invert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49837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map_case/olga/2/map_case_3_olga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8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4</w:t>
      </w:r>
      <w:r>
        <w:t xml:space="preserve"> </w:t>
      </w:r>
      <w:r>
        <w:t xml:space="preserve">(beggs_brill, угол 0°, «Горизонтальный трубопровод»):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FlowMapUtility</w:t>
            </w:r>
          </w:p>
        </w:tc>
        <w:tc>
          <w:tcPr/>
          <w:p>
            <w:pPr>
              <w:pStyle w:val="Compact"/>
            </w:pPr>
            <w:r>
              <w:t xml:space="preserve">OLGA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630524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map_case/python/2/map_case_4_invert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49837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map_case/olga/2/map_case_4_olga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8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5</w:t>
      </w:r>
      <w:r>
        <w:t xml:space="preserve"> </w:t>
      </w:r>
      <w:r>
        <w:t xml:space="preserve">(beggs_brill, угол 30°, «Трубопровод холмистый рельеф»):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FlowMapUtility</w:t>
            </w:r>
          </w:p>
        </w:tc>
        <w:tc>
          <w:tcPr/>
          <w:p>
            <w:pPr>
              <w:pStyle w:val="Compact"/>
            </w:pPr>
            <w:r>
              <w:t xml:space="preserve">OLGA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630524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map_case/python/2/map_case_5_invert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49837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map_case/olga/2/map_case_5_olga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8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6</w:t>
      </w:r>
      <w:r>
        <w:t xml:space="preserve"> </w:t>
      </w:r>
      <w:r>
        <w:t xml:space="preserve">(beggs_brill, угол 60°, «Крутой наклон граница моделей»):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FlowMapUtility</w:t>
            </w:r>
          </w:p>
        </w:tc>
        <w:tc>
          <w:tcPr/>
          <w:p>
            <w:pPr>
              <w:pStyle w:val="Compact"/>
            </w:pPr>
            <w:r>
              <w:t xml:space="preserve">OLGA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63052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map_case/python/2/map_case_6_inver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498379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map_case/olga/2/map_case_6_olga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8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7</w:t>
      </w:r>
      <w:r>
        <w:t xml:space="preserve"> </w:t>
      </w:r>
      <w:r>
        <w:t xml:space="preserve">(ansari, угол 90°, «Тяжелая нефть верт. скважина»):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FlowMapUtility</w:t>
            </w:r>
          </w:p>
        </w:tc>
        <w:tc>
          <w:tcPr/>
          <w:p>
            <w:pPr>
              <w:pStyle w:val="Compact"/>
            </w:pPr>
            <w:r>
              <w:t xml:space="preserve">OLGA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63052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map_case/python/2/map_case_7_invert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49837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map_case/olga/2/map_case_7_olga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8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8</w:t>
      </w:r>
      <w:r>
        <w:t xml:space="preserve"> </w:t>
      </w:r>
      <w:r>
        <w:t xml:space="preserve">(beggs_brill, угол 10°, «Слабо наклонный трубопровод»):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FlowMapUtility</w:t>
            </w:r>
          </w:p>
        </w:tc>
        <w:tc>
          <w:tcPr/>
          <w:p>
            <w:pPr>
              <w:pStyle w:val="Compact"/>
            </w:pPr>
            <w:r>
              <w:t xml:space="preserve">OLGA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63052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map_case/python/2/map_case_8_invert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498379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map_case/olga/2/map_case_8_olga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8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9</w:t>
      </w:r>
      <w:r>
        <w:t xml:space="preserve"> </w:t>
      </w:r>
      <w:r>
        <w:t xml:space="preserve">(beggs_brill, угол 5°, «Морской трубопровод»):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FlowMapUtility</w:t>
            </w:r>
          </w:p>
        </w:tc>
        <w:tc>
          <w:tcPr/>
          <w:p>
            <w:pPr>
              <w:pStyle w:val="Compact"/>
            </w:pPr>
            <w:r>
              <w:t xml:space="preserve">OLGA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630524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map_case/python/2/map_case_9_invert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49837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map_case/olga/2/map_case_9_olga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8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/>
          <w:bCs/>
        </w:rPr>
        <w:t xml:space="preserve">Кейс 10</w:t>
      </w:r>
      <w:r>
        <w:t xml:space="preserve"> </w:t>
      </w:r>
      <w:r>
        <w:t xml:space="preserve">(ansari, угол 90°, «Верт. газовая скважина высокий GLR»):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FlowMapUtility</w:t>
            </w:r>
          </w:p>
        </w:tc>
        <w:tc>
          <w:tcPr/>
          <w:p>
            <w:pPr>
              <w:pStyle w:val="Compact"/>
            </w:pPr>
            <w:r>
              <w:t xml:space="preserve">OLGA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630524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map_case/python/2/map_case_10_invert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498379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ap_case/olga/2/map_case_10_olga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8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973">
    <w:nsid w:val="A99411973"/>
    <w:multiLevelType w:val="multilevel"/>
    <w:lvl w:ilvl="0">
      <w:start w:val="1973"/>
      <w:numFmt w:val="decimal"/>
      <w:lvlText w:val="%1."/>
      <w:lvlJc w:val="left"/>
      <w:pPr>
        <w:ind w:left="720" w:hanging="360"/>
      </w:pPr>
    </w:lvl>
    <w:lvl w:ilvl="1">
      <w:start w:val="1973"/>
      <w:numFmt w:val="decimal"/>
      <w:lvlText w:val="%2."/>
      <w:lvlJc w:val="left"/>
      <w:pPr>
        <w:ind w:left="1440" w:hanging="360"/>
      </w:pPr>
    </w:lvl>
    <w:lvl w:ilvl="2">
      <w:start w:val="1973"/>
      <w:numFmt w:val="decimal"/>
      <w:lvlText w:val="%3."/>
      <w:lvlJc w:val="left"/>
      <w:pPr>
        <w:ind w:left="2160" w:hanging="360"/>
      </w:pPr>
    </w:lvl>
    <w:lvl w:ilvl="3">
      <w:start w:val="1973"/>
      <w:numFmt w:val="decimal"/>
      <w:lvlText w:val="%4."/>
      <w:lvlJc w:val="left"/>
      <w:pPr>
        <w:ind w:left="2880" w:hanging="360"/>
      </w:pPr>
    </w:lvl>
    <w:lvl w:ilvl="4">
      <w:start w:val="1973"/>
      <w:numFmt w:val="decimal"/>
      <w:lvlText w:val="%5."/>
      <w:lvlJc w:val="left"/>
      <w:pPr>
        <w:ind w:left="3600" w:hanging="360"/>
      </w:pPr>
    </w:lvl>
    <w:lvl w:ilvl="5">
      <w:start w:val="1973"/>
      <w:numFmt w:val="decimal"/>
      <w:lvlText w:val="%6."/>
      <w:lvlJc w:val="left"/>
      <w:pPr>
        <w:ind w:left="4320" w:hanging="360"/>
      </w:pPr>
    </w:lvl>
    <w:lvl w:ilvl="6">
      <w:start w:val="1973"/>
      <w:numFmt w:val="decimal"/>
      <w:lvlText w:val="%7."/>
      <w:lvlJc w:val="left"/>
      <w:pPr>
        <w:ind w:left="5040" w:hanging="360"/>
      </w:pPr>
    </w:lvl>
    <w:lvl w:ilvl="7">
      <w:start w:val="1973"/>
      <w:numFmt w:val="decimal"/>
      <w:lvlText w:val="%8."/>
      <w:lvlJc w:val="left"/>
      <w:pPr>
        <w:ind w:left="5760" w:hanging="360"/>
      </w:pPr>
    </w:lvl>
    <w:lvl w:ilvl="8">
      <w:start w:val="197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973"/>
    <w:lvlOverride w:ilvl="0">
      <w:startOverride w:val="1973"/>
    </w:lvlOverride>
    <w:lvlOverride w:ilvl="1">
      <w:startOverride w:val="1973"/>
    </w:lvlOverride>
    <w:lvlOverride w:ilvl="2">
      <w:startOverride w:val="1973"/>
    </w:lvlOverride>
    <w:lvlOverride w:ilvl="3">
      <w:startOverride w:val="1973"/>
    </w:lvlOverride>
    <w:lvlOverride w:ilvl="4">
      <w:startOverride w:val="1973"/>
    </w:lvlOverride>
    <w:lvlOverride w:ilvl="5">
      <w:startOverride w:val="1973"/>
    </w:lvlOverride>
    <w:lvlOverride w:ilvl="6">
      <w:startOverride w:val="1973"/>
    </w:lvlOverride>
    <w:lvlOverride w:ilvl="7">
      <w:startOverride w:val="1973"/>
    </w:lvlOverride>
    <w:lvlOverride w:ilvl="8">
      <w:startOverride w:val="197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24" Target="media/rId24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30" Target="media/rId30.png" /><Relationship Type="http://schemas.openxmlformats.org/officeDocument/2006/relationships/image" Id="rId72" Target="media/rId72.png" /><Relationship Type="http://schemas.openxmlformats.org/officeDocument/2006/relationships/image" Id="rId36" Target="media/rId36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21" Target="media/rId21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27" Target="media/rId27.png" /><Relationship Type="http://schemas.openxmlformats.org/officeDocument/2006/relationships/image" Id="rId69" Target="media/rId69.png" /><Relationship Type="http://schemas.openxmlformats.org/officeDocument/2006/relationships/image" Id="rId33" Target="media/rId3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Сравнительный анализ методов определения режима течения газожидкостной смеси в трубе</dc:title>
  <dc:creator/>
  <dc:language>ru</dc:language>
  <cp:keywords/>
  <dcterms:created xsi:type="dcterms:W3CDTF">2026-09-18T10:29:30Z</dcterms:created>
  <dcterms:modified xsi:type="dcterms:W3CDTF">2026-09-18T10:29:30Z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2026-09-18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Верификация корреляций Ансари и Беггса-Брилла по данным симулятора OLGA (Schlumberger) на 10 сценариях, сетка 100×100 (Vsl × Vsg)</vt:lpwstr>
  </property>
  <property fmtid="{D5CDD505-2E9C-101B-9397-08002B2CF9AE}" pid="10" name="toc-title">
    <vt:lpwstr>Содержание</vt:lpwstr>
  </property>
</Properties>
</file>