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616C85"/>
          <w:sz w:val="18"/>
        </w:rPr>
        <w:t>EST323 · INGENIERÍA DE SOFTWARE II · SESIÓN 4</w:t>
      </w:r>
    </w:p>
    <w:p>
      <w:pPr>
        <w:spacing w:before="0"/>
      </w:pPr>
      <w:r>
        <w:rPr>
          <w:b/>
          <w:i w:val="0"/>
          <w:color w:val="131A2B"/>
          <w:sz w:val="32"/>
        </w:rPr>
        <w:t>Hoja del taller · Modelado del análisis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rPr>
          <w:trHeight w:val="510"/>
        </w:trPr>
        <w:tc>
          <w:tcPr>
            <w:tcW w:type="dxa" w:w="2835"/>
          </w:tcPr>
          <w:p>
            <w:r>
              <w:rPr>
                <w:b/>
                <w:sz w:val="18"/>
              </w:rPr>
              <w:t>Equipo (tres integrantes)</w:t>
            </w:r>
          </w:p>
        </w:tc>
        <w:tc>
          <w:tcPr>
            <w:tcW w:type="dxa" w:w="7257"/>
          </w:tcPr>
          <w:p>
            <w:r>
              <w:rPr>
                <w:sz w:val="18"/>
              </w:rPr>
            </w:r>
          </w:p>
        </w:tc>
      </w:tr>
      <w:tr>
        <w:trPr>
          <w:trHeight w:val="510"/>
        </w:trPr>
        <w:tc>
          <w:tcPr>
            <w:tcW w:type="dxa" w:w="2835"/>
          </w:tcPr>
          <w:p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7257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 w:val="0"/>
          <w:i/>
          <w:color w:val="616C85"/>
          <w:sz w:val="19"/>
        </w:rPr>
        <w:t>Se llena a mano durante la clase y se copia tal cual a la plantilla en la Práctica 3.</w:t>
      </w:r>
    </w:p>
    <w:p>
      <w:pPr>
        <w:spacing w:before="120"/>
      </w:pPr>
      <w:r>
        <w:rPr>
          <w:b/>
          <w:i w:val="0"/>
          <w:color w:val="D24E1C"/>
          <w:sz w:val="24"/>
        </w:rPr>
        <w:t>Taller 1 · Modelo de contenido</w:t>
      </w:r>
    </w:p>
    <w:p>
      <w:r>
        <w:rPr>
          <w:b w:val="0"/>
          <w:i/>
          <w:color w:val="616C85"/>
          <w:sz w:val="19"/>
        </w:rPr>
        <w:t>Veinte minutos. Cinco objetos de su catálogo. Sustantivos, no acciones, con tres atributos y sus valores posibles.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454"/>
          </w:tcPr>
          <w:p>
            <w:r>
              <w:rPr>
                <w:b/>
                <w:color w:val="131A2B"/>
                <w:sz w:val="18"/>
              </w:rPr>
              <w:t>#</w:t>
            </w:r>
          </w:p>
        </w:tc>
        <w:tc>
          <w:tcPr>
            <w:tcW w:type="dxa" w:w="1814"/>
          </w:tcPr>
          <w:p>
            <w:r>
              <w:rPr>
                <w:b/>
                <w:color w:val="131A2B"/>
                <w:sz w:val="18"/>
              </w:rPr>
              <w:t>Objeto</w:t>
            </w:r>
          </w:p>
        </w:tc>
        <w:tc>
          <w:tcPr>
            <w:tcW w:type="dxa" w:w="3969"/>
          </w:tcPr>
          <w:p>
            <w:r>
              <w:rPr>
                <w:b/>
                <w:color w:val="131A2B"/>
                <w:sz w:val="18"/>
              </w:rPr>
              <w:t>Tres atributos (y sus valores posibles)</w:t>
            </w:r>
          </w:p>
        </w:tc>
        <w:tc>
          <w:tcPr>
            <w:tcW w:type="dxa" w:w="2041"/>
          </w:tcPr>
          <w:p>
            <w:r>
              <w:rPr>
                <w:b/>
                <w:color w:val="131A2B"/>
                <w:sz w:val="18"/>
              </w:rPr>
              <w:t>Se relaciona con…</w:t>
            </w:r>
          </w:p>
        </w:tc>
        <w:tc>
          <w:tcPr>
            <w:tcW w:type="dxa" w:w="1814"/>
          </w:tcPr>
          <w:p>
            <w:r>
              <w:rPr>
                <w:b/>
                <w:color w:val="131A2B"/>
                <w:sz w:val="18"/>
              </w:rPr>
              <w:t>Sale del requisito</w:t>
            </w:r>
          </w:p>
        </w:tc>
      </w:tr>
      <w:tr>
        <w:trPr>
          <w:trHeight w:val="595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95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95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95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95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5</w:t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3969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</w:tr>
    </w:tbl>
    <w:p>
      <w:pPr>
        <w:spacing w:before="120"/>
      </w:pPr>
      <w:r>
        <w:rPr>
          <w:b/>
          <w:i w:val="0"/>
          <w:color w:val="D24E1C"/>
          <w:sz w:val="24"/>
        </w:rPr>
        <w:t>Taller 2 · Un caso de uso y su secuencia</w:t>
      </w:r>
    </w:p>
    <w:p>
      <w:r>
        <w:rPr>
          <w:b w:val="0"/>
          <w:i/>
          <w:color w:val="616C85"/>
          <w:sz w:val="19"/>
        </w:rPr>
        <w:t>Catorce minutos. Una intención, no una pantalla. El flujo alterno es obligatorio: qué pasa cuando algo no se encuentra o falla.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041"/>
          </w:tcPr>
          <w:p>
            <w:r>
              <w:rPr>
                <w:b/>
                <w:color w:val="131A2B"/>
                <w:sz w:val="18"/>
              </w:rPr>
              <w:t>Campo</w:t>
            </w:r>
          </w:p>
        </w:tc>
        <w:tc>
          <w:tcPr>
            <w:tcW w:type="dxa" w:w="8050"/>
          </w:tcPr>
          <w:p>
            <w:r>
              <w:rPr>
                <w:b/>
                <w:color w:val="131A2B"/>
                <w:sz w:val="18"/>
              </w:rPr>
              <w:t>Lo que escriben</w:t>
            </w:r>
          </w:p>
        </w:tc>
      </w:tr>
      <w:tr>
        <w:trPr>
          <w:trHeight w:val="465"/>
        </w:trPr>
        <w:tc>
          <w:tcPr>
            <w:tcW w:type="dxa" w:w="2041"/>
          </w:tcPr>
          <w:p>
            <w:r>
              <w:rPr>
                <w:color w:val="616C85"/>
                <w:sz w:val="18"/>
              </w:rPr>
              <w:t>Nombre del caso</w:t>
            </w:r>
          </w:p>
        </w:tc>
        <w:tc>
          <w:tcPr>
            <w:tcW w:type="dxa" w:w="8050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65"/>
        </w:trPr>
        <w:tc>
          <w:tcPr>
            <w:tcW w:type="dxa" w:w="2041"/>
          </w:tcPr>
          <w:p>
            <w:r>
              <w:rPr>
                <w:color w:val="616C85"/>
                <w:sz w:val="18"/>
              </w:rPr>
              <w:t>Actor</w:t>
            </w:r>
          </w:p>
        </w:tc>
        <w:tc>
          <w:tcPr>
            <w:tcW w:type="dxa" w:w="8050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65"/>
        </w:trPr>
        <w:tc>
          <w:tcPr>
            <w:tcW w:type="dxa" w:w="2041"/>
          </w:tcPr>
          <w:p>
            <w:r>
              <w:rPr>
                <w:color w:val="616C85"/>
                <w:sz w:val="18"/>
              </w:rPr>
              <w:t>Precondición</w:t>
            </w:r>
          </w:p>
        </w:tc>
        <w:tc>
          <w:tcPr>
            <w:tcW w:type="dxa" w:w="8050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65"/>
        </w:trPr>
        <w:tc>
          <w:tcPr>
            <w:tcW w:type="dxa" w:w="2041"/>
          </w:tcPr>
          <w:p>
            <w:r>
              <w:rPr>
                <w:color w:val="616C85"/>
                <w:sz w:val="18"/>
              </w:rPr>
              <w:t>Flujo principal</w:t>
            </w:r>
          </w:p>
        </w:tc>
        <w:tc>
          <w:tcPr>
            <w:tcW w:type="dxa" w:w="8050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65"/>
        </w:trPr>
        <w:tc>
          <w:tcPr>
            <w:tcW w:type="dxa" w:w="2041"/>
          </w:tcPr>
          <w:p>
            <w:r>
              <w:rPr>
                <w:color w:val="616C85"/>
                <w:sz w:val="18"/>
              </w:rPr>
              <w:t>Flujo alterno</w:t>
            </w:r>
          </w:p>
        </w:tc>
        <w:tc>
          <w:tcPr>
            <w:tcW w:type="dxa" w:w="8050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65"/>
        </w:trPr>
        <w:tc>
          <w:tcPr>
            <w:tcW w:type="dxa" w:w="2041"/>
          </w:tcPr>
          <w:p>
            <w:r>
              <w:rPr>
                <w:color w:val="616C85"/>
                <w:sz w:val="18"/>
              </w:rPr>
              <w:t>Postcondición</w:t>
            </w:r>
          </w:p>
        </w:tc>
        <w:tc>
          <w:tcPr>
            <w:tcW w:type="dxa" w:w="8050"/>
          </w:tcPr>
          <w:p>
            <w:r>
              <w:rPr>
                <w:color w:val="616C85"/>
                <w:sz w:val="18"/>
              </w:rPr>
            </w:r>
          </w:p>
        </w:tc>
      </w:tr>
    </w:tbl>
    <w:p>
      <w:r>
        <w:rPr>
          <w:b w:val="0"/>
          <w:i/>
          <w:color w:val="616C85"/>
          <w:sz w:val="19"/>
        </w:rPr>
        <w:t>Y el mismo caso, como secuencia: quién le pide qué a quién, en orden.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454"/>
          </w:tcPr>
          <w:p>
            <w:r>
              <w:rPr>
                <w:b/>
                <w:color w:val="131A2B"/>
                <w:sz w:val="18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  <w:color w:val="131A2B"/>
                <w:sz w:val="18"/>
              </w:rPr>
              <w:t>Quién lo envía</w:t>
            </w:r>
          </w:p>
        </w:tc>
        <w:tc>
          <w:tcPr>
            <w:tcW w:type="dxa" w:w="2268"/>
          </w:tcPr>
          <w:p>
            <w:r>
              <w:rPr>
                <w:b/>
                <w:color w:val="131A2B"/>
                <w:sz w:val="18"/>
              </w:rPr>
              <w:t>Quién lo recibe</w:t>
            </w:r>
          </w:p>
        </w:tc>
        <w:tc>
          <w:tcPr>
            <w:tcW w:type="dxa" w:w="5102"/>
          </w:tcPr>
          <w:p>
            <w:r>
              <w:rPr>
                <w:b/>
                <w:color w:val="131A2B"/>
                <w:sz w:val="18"/>
              </w:rPr>
              <w:t>Mensaje</w:t>
            </w:r>
          </w:p>
        </w:tc>
      </w:tr>
      <w:tr>
        <w:trPr>
          <w:trHeight w:val="408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08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08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408"/>
        </w:trPr>
        <w:tc>
          <w:tcPr>
            <w:tcW w:type="dxa" w:w="454"/>
          </w:tcPr>
          <w:p>
            <w:r>
              <w:rPr>
                <w:color w:val="616C85"/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5102"/>
          </w:tcPr>
          <w:p>
            <w:r>
              <w:rPr>
                <w:color w:val="616C85"/>
                <w:sz w:val="18"/>
              </w:rPr>
            </w:r>
          </w:p>
        </w:tc>
      </w:tr>
    </w:tbl>
    <w:p>
      <w:r>
        <w:br w:type="page"/>
      </w:r>
    </w:p>
    <w:p>
      <w:pPr>
        <w:spacing w:before="0"/>
      </w:pPr>
      <w:r>
        <w:rPr>
          <w:b/>
          <w:i w:val="0"/>
          <w:color w:val="D24E1C"/>
          <w:sz w:val="24"/>
        </w:rPr>
        <w:t>Taller 3 · Modelo funcional</w:t>
      </w:r>
    </w:p>
    <w:p>
      <w:r>
        <w:rPr>
          <w:b w:val="0"/>
          <w:i/>
          <w:color w:val="616C85"/>
          <w:sz w:val="19"/>
        </w:rPr>
        <w:t>Diez minutos. Seis operaciones sobre los objetos del Taller 1. La última columna es la que importa: si una operación no sale de ningún requisito, la inventaron; si un requisito se quedó sin operación, se les pasó.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397"/>
          </w:tcPr>
          <w:p>
            <w:r>
              <w:rPr>
                <w:b/>
                <w:color w:val="131A2B"/>
                <w:sz w:val="18"/>
              </w:rPr>
              <w:t>#</w:t>
            </w:r>
          </w:p>
        </w:tc>
        <w:tc>
          <w:tcPr>
            <w:tcW w:type="dxa" w:w="1928"/>
          </w:tcPr>
          <w:p>
            <w:r>
              <w:rPr>
                <w:b/>
                <w:color w:val="131A2B"/>
                <w:sz w:val="18"/>
              </w:rPr>
              <w:t>Operación</w:t>
            </w:r>
          </w:p>
        </w:tc>
        <w:tc>
          <w:tcPr>
            <w:tcW w:type="dxa" w:w="1644"/>
          </w:tcPr>
          <w:p>
            <w:r>
              <w:rPr>
                <w:b/>
                <w:color w:val="131A2B"/>
                <w:sz w:val="18"/>
              </w:rPr>
              <w:t>Entrada</w:t>
            </w:r>
          </w:p>
        </w:tc>
        <w:tc>
          <w:tcPr>
            <w:tcW w:type="dxa" w:w="1814"/>
          </w:tcPr>
          <w:p>
            <w:r>
              <w:rPr>
                <w:b/>
                <w:color w:val="131A2B"/>
                <w:sz w:val="18"/>
              </w:rPr>
              <w:t>Salida</w:t>
            </w:r>
          </w:p>
        </w:tc>
        <w:tc>
          <w:tcPr>
            <w:tcW w:type="dxa" w:w="2041"/>
          </w:tcPr>
          <w:p>
            <w:r>
              <w:rPr>
                <w:b/>
                <w:color w:val="131A2B"/>
                <w:sz w:val="18"/>
              </w:rPr>
              <w:t>Qué cambia</w:t>
            </w:r>
          </w:p>
        </w:tc>
        <w:tc>
          <w:tcPr>
            <w:tcW w:type="dxa" w:w="1701"/>
          </w:tcPr>
          <w:p>
            <w:r>
              <w:rPr>
                <w:b/>
                <w:color w:val="131A2B"/>
                <w:sz w:val="18"/>
              </w:rPr>
              <w:t>Sale del requisito</w:t>
            </w:r>
          </w:p>
        </w:tc>
      </w:tr>
      <w:tr>
        <w:trPr>
          <w:trHeight w:val="539"/>
        </w:trPr>
        <w:tc>
          <w:tcPr>
            <w:tcW w:type="dxa" w:w="397"/>
          </w:tcPr>
          <w:p>
            <w:r>
              <w:rPr>
                <w:color w:val="616C85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64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97"/>
          </w:tcPr>
          <w:p>
            <w:r>
              <w:rPr>
                <w:color w:val="616C85"/>
                <w:sz w:val="18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64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97"/>
          </w:tcPr>
          <w:p>
            <w:r>
              <w:rPr>
                <w:color w:val="616C85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64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97"/>
          </w:tcPr>
          <w:p>
            <w:r>
              <w:rPr>
                <w:color w:val="616C85"/>
                <w:sz w:val="18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64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97"/>
          </w:tcPr>
          <w:p>
            <w:r>
              <w:rPr>
                <w:color w:val="616C85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64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color w:val="616C85"/>
                <w:sz w:val="18"/>
              </w:rPr>
            </w:r>
          </w:p>
        </w:tc>
      </w:tr>
      <w:tr>
        <w:trPr>
          <w:trHeight w:val="539"/>
        </w:trPr>
        <w:tc>
          <w:tcPr>
            <w:tcW w:type="dxa" w:w="397"/>
          </w:tcPr>
          <w:p>
            <w:r>
              <w:rPr>
                <w:color w:val="616C85"/>
                <w:sz w:val="18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64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814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2041"/>
          </w:tcPr>
          <w:p>
            <w:r>
              <w:rPr>
                <w:color w:val="616C85"/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color w:val="616C85"/>
                <w:sz w:val="18"/>
              </w:rPr>
            </w:r>
          </w:p>
        </w:tc>
      </w:tr>
    </w:tbl>
    <w:p>
      <w:pPr>
        <w:spacing w:before="120"/>
      </w:pPr>
      <w:r>
        <w:rPr>
          <w:b/>
          <w:i w:val="0"/>
          <w:color w:val="0E7A6C"/>
          <w:sz w:val="24"/>
        </w:rPr>
        <w:t>Modelo de configuración</w:t>
      </w:r>
    </w:p>
    <w:p>
      <w:r>
        <w:rPr>
          <w:b w:val="0"/>
          <w:i/>
          <w:color w:val="616C85"/>
          <w:sz w:val="19"/>
        </w:rPr>
        <w:t>Se comenta en clase y se escribe directamente en la plantilla: solo lo que les imponen. Si pueden cambiarlo mañana por su cuenta, no es configuración.</w:t>
      </w:r>
    </w:p>
    <w:p>
      <w:pPr>
        <w:spacing w:before="120"/>
      </w:pPr>
      <w:r>
        <w:rPr>
          <w:b/>
          <w:i w:val="0"/>
          <w:color w:val="616C85"/>
          <w:sz w:val="24"/>
        </w:rPr>
        <w:t>Antes de subir la entrega</w:t>
      </w:r>
    </w:p>
    <w:p>
      <w:r>
        <w:rPr>
          <w:sz w:val="19"/>
        </w:rPr>
        <w:t>☐  Los cinco objetos tienen atributos, y los atributos tienen valores posibles.</w:t>
      </w:r>
    </w:p>
    <w:p>
      <w:r>
        <w:rPr>
          <w:sz w:val="19"/>
        </w:rPr>
        <w:t>☐  El caso de uso describe una intención, no una pantalla ni un botón.</w:t>
      </w:r>
    </w:p>
    <w:p>
      <w:r>
        <w:rPr>
          <w:sz w:val="19"/>
        </w:rPr>
        <w:t>☐  Cada operación dice qué cambia. Si no cambia nada y no devuelve nada, sobra.</w:t>
      </w:r>
    </w:p>
    <w:p>
      <w:r>
        <w:rPr>
          <w:sz w:val="19"/>
        </w:rPr>
        <w:t>☐  La configuración son límites impuestos, no tecnologías elegidas por gusto.</w:t>
      </w:r>
    </w:p>
    <w:p>
      <w:r>
        <w:rPr>
          <w:sz w:val="19"/>
        </w:rPr>
        <w:t>☐  Están los cuatro modelos, cada uno con su título. No uno con anexos.</w:t>
      </w:r>
    </w:p>
    <w:p/>
    <w:p>
      <w:r>
        <w:rPr>
          <w:b w:val="0"/>
          <w:i w:val="0"/>
          <w:color w:val="616C85"/>
          <w:sz w:val="18"/>
        </w:rPr>
        <w:t>Firma del docente (se firma en clase, durante la Práctica 3): ______________________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