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ПВ 070-0003-2016. ОБЩИЕ ПРАВИЛА ОКАЗАНИЯ В ФБУ «М-Стандарт» КОНСУЛЬТАЦИОННО-МЕТОДИЧЕСКИХ УСЛУГ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Документ «Общие правила оказания в ФБУ «М-Стандарт» консультационно-методических услуг ПВ 070-0003-2016» утвержден Генеральным директором ФБУ «М-Стандарт» 06.06.2016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  <w:t>Настоящие правила не могут быть полностью или частично воспроизведены, тиражированы и распространены без разрешения ФБУ «М-Стандарт».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1. Введение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Настоящие Общие правила оказания в ФБУ «М-Стандарт» консультационно-методических услуг ПВ 070-0003-2016 (далее также «Правила консалтинга») разработаны в развитие р. 8  ГОСТ Р ИСО 9001 в целях установления общих положений для процесса оказания консультационно-методических услуг заказчикам в ФБУ «М-Стандарт».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2. Нормативные ссылки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Настоящие Правила разработаны на основании и с учетом положений следующих нормативных документов и документов по стандартизации: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ГОСТ Р ИСО 9001-2015 Системы менеджмента качества. Требования,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ГОСТ ISO/IEC 17000-2012 Оценка соответствия. Словарь и общие принципы;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а также имеет ссылки на внутренние нормативные документы ФБУ «М-Стандарт»: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ПП 070-001-2014 Положение об обеспечении соблюдения принципов беспристрастности, конфиденциальности и раскрытия информации, полученной от третьих лиц, при проведении работ по оценке соответствия в ФБУ «М-Стандарт»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СТО 070-005-2014 Управление персоналом,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СТО 070-002-2015 Удовлетворенность заказчиков. Управление претензиями,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СТО 070-006-2014 Управление документами, записями и данными.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При пользовании настоящим документом целесообразно проверить действие ссылочных документов в информационных системах общего пользования – на официальном сайте Федерального агентства по техническому регулированию и метрологии в сети Интернет или издаваемым информационным указателям; информационных системах органов государственного управления РФ. Если ссылочный документ заменен (изменен), то при пользовании настоящим документом следует руководствоваться заменяющим (измененным) документом.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3. Термины, определения и сокращения</w:t>
      </w:r>
    </w:p>
    <w:p>
      <w:pPr>
        <w:pStyle w:val="Normal"/>
        <w:rPr>
          <w:sz w:val="28"/>
          <w:szCs w:val="28"/>
        </w:rPr>
      </w:pPr>
      <w:r>
        <w:rPr/>
        <w:t>3.1 В настоящих Правилах консалтинга применены термины с соответст</w:t>
        <w:softHyphen/>
        <w:t>вующими определениями: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/>
        <w:t>3.1.1 оценка соответствия: Доказательство того, что заданные требования к продукции, процессу, системе, лицу или органу выполнены [ГОСТ ISO/IEC 17000 п. 2.1].</w:t>
      </w:r>
    </w:p>
    <w:p>
      <w:pPr>
        <w:pStyle w:val="Normal"/>
        <w:rPr>
          <w:rFonts w:ascii="Times New Roman" w:hAnsi="Times New Roman" w:eastAsia="Times New Roman" w:cs="Times New Roman"/>
          <w:spacing w:val="20"/>
          <w:sz w:val="24"/>
          <w:szCs w:val="24"/>
          <w:lang w:eastAsia="ru-RU"/>
        </w:rPr>
      </w:pPr>
      <w:r>
        <w:rPr/>
        <w:t>Примечания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>1 Оценка соответствия включает в себя такие виды деятельности, определяемые в настоящем стандарте, как испытание, контроль и сертификация, а также аккредитация органов по оценке соответствия.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>2 Выражение «объект оценки соответствия» или «объект» используется в настоящем стандарте для обозначения конкретного материала, продукции, установки, процесса, системы, лица или органа, к которым применима оценка соответствия. Термин "продукция" включает в свое определение также понятие «услуга» (см. примечание 1 к 3.3).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3.1.2 заданное требование: Заявленная потребность или ожидание [ГОСТ ISO/IEC 17000 п. 3.1].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Примечание - Заданные требования могут быть установлены нормативными документами, такими как регламенты, стандарты и технические условия. Требования, заданные заявителем, рассматриваются, как заявленные требования.</w:t>
      </w:r>
    </w:p>
    <w:p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>
        <w:rPr/>
        <w:t>3.1.3 консультационно-методические услуги (консалтинг): Деятельность по консультированию юридических, физических лиц и индивидуальных предпринимателей по кругу вопросов, связанных с техническим регулированием, обеспечением единства измерений (метрологией), стандартизацией, системами менеджмента и иных вопросов в сфере компетенции ФБУ «М-Стандарт», в т.ч. с применением различных исследований для целей консультирования, реализуемое</w:t>
      </w:r>
      <w:bookmarkStart w:id="0" w:name="_GoBack"/>
      <w:bookmarkEnd w:id="0"/>
      <w:r>
        <w:rPr/>
        <w:t xml:space="preserve"> также в форме проведения семинаров, лекций, «круглых столов», конференций и пр. для широкого круга слушателей (открытое мероприятие консалтинга)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Примечание – настоящее определение относится к деятельности по консалтингу в ФБУ «М-Стандарт».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3.1.4 консультант: Лицо, оказывающее услуги по консалтингу.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color w:val="00B050"/>
          <w:sz w:val="28"/>
          <w:szCs w:val="28"/>
        </w:rPr>
      </w:pPr>
      <w:r>
        <w:rPr/>
        <w:t>3.2 В настоящих Правилах консалтинга применены следующие сокращения:</w:t>
      </w:r>
    </w:p>
    <w:p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>
        <w:rPr/>
        <w:t>отдел 3100 – отдел метрологического обеспечения, стандартизации и экспертных работ;</w:t>
      </w:r>
    </w:p>
    <w:p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>
        <w:rPr/>
        <w:t>ЭТО – эксплуатационно-транспортный отдел;</w:t>
      </w:r>
    </w:p>
    <w:p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>
        <w:rPr/>
        <w:t>ПС ЭДО 1С – программное средство электронного документооборота программного комплекса 1С.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4. Общие положения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4.1 Деятельность по оказанию ФБУ «М-Стандарт» консультационно-методических услуг является процессом, формами реализации которого являются: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- разработка проектов документов в области компетентности                ФБУ «М-Стандарт»;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- проведение анализа состояния дел для определенного заказчиком объекта и представление результатов анализа, в т.ч. с выдачей рекомендаций по улучшению при необходимости;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- выдача разъяснений в форме документированной и недокументированной информации по вопросам разработки, оценки, применения заданных требований, а также иным техническим вопросам в области компетентности ФБУ «М-Стандарт»;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организация и проведение силами ФБУ «М-Стандарт» открытых семинаров, лекций, конференций, «круглых столов» и иных информационных мероприятий по запросам подразделений ФБУ «М-Стандарт» или сторонних организаций.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При оказании консультационно-методических услуг должны быть соблюдены принципы беспристрастности, положения о конфиденциальности информации при проведении оценки соответствия согласно ПП 070-001, в т.ч. специалист (специалисты), оказывающие консультационно-методические услуги, не должны участвовать в работах по оценке соответствия объектов, в отношении которых их оказывали (за исключением выдачи разъяснений в форме писем).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Объект консалтинга определяется исходя из запроса заказчика, поданного в устной или письменной форме (в форме информации в электронном виде или письменного запроса) руководителю подразделения - исполнителя работ или запроса заказчика, принятого в виде входящей корреспонденции. 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Преимущественными направлениями оказания услуг по консалтингу являются сферы: обеспечение единства измерений, стандартизация.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Подразделениями, на базе которых функционируют органы по сертификации, не предлагаются и не проводятся работы по консалтингу в сфере разработки и внедрения систем менеджмента, разработки продукции и услуг в рамках заявляемой для подтверждения соответствия области (сферы деятельности, продукции, услуги и пр.).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Обобщенный порядок проведения работ по консалтингу отражен в схемах: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согласно приложению А (схема проведения работ по консалтингу по индивидуальному запросу);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согласно приложению Б (схема проведения открытых мероприятий по по консалтингу по запросам сторонних организаций);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согласно приложению В (схема проведения открытых мероприятий по по консалтингу по инициативе подразделений ФБУ «М-Стандарт»).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4.2 Основным аспектом качества консалтинговых услуг является профессионализм консультантов. Консалтинг должны проводить специалисты, компетентные в сфере консультирования.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Консультанты, проводящие работы по консалтингу для конкретного объекта определяются (назначаются) руководителем проводящего работы подразделения (при необходимости привлекаются сотрудники других подразделений по согласованию с руководителями подразделений). Руководителем подразделения может быть определен сотрудник, ответственный за организацию работ по консалтингу для конкретного объекта (ответственный исполнитель).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В общем случае для проведения работ по консалтингу привлекаются специалисты, имеющие среднее или высшее профессиональное образование в области, соответствующей объекту консалтинга (специальности, предусматривающие изучение дисциплин по научным основам, созданию, исследованию свойств и характеристик объектов); при несоответствии профиля основного высшего профессионального или среднего профессионального специалисты должны иметь дополнительное профессиональное образование или повышение квалификации по соответствующему профилю.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Подбор, подготовка персонала соответствующей компетентности осуществляется в соответствии с СТО 070-005.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4.3 Консультационно-методические услуги ФБУ «М-Стандарт» оказываются на возмездной основе, за исключением разъяснений в форме ответов на официальные письменные запросы юридических, физических лиц и индивидуальных предпринимателей, государственных и муниципальных органов, которые обрабатываются в соответствии с положениями СТО 070-006.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Стоимость услуг по консалтингу определяется: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- на договорной основе исходя из трудозатрат и фиксируется в договоре на оказание услуг, который заключается в соответствии с СТО 070-009;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- на основании позиций прейскуранта на работы (услуги) ФБУ «М-Стандарт», стоимость конкретных видов работ по консалтингу отражается в прейскуранте на работы (услуги) ФБУ «М-Стандарт», для таких работ договоры могут не заключаться, работы проводятся на основании оплаты счета согласно позиции (позициям) прейскуранта.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4.4 Учет работ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4.4.1 Учет работ по консалтингу осуществляется в виде создания и учета договоров и счетов на оплату работ.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t>Учет работ по консалтингу в виде разъяснений (ответов на запросы) ведется в форме учета исходящей корреспонденции согласно СТО 070-006.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4.4.2 При необходимости по результатам проведения открытых мероприятий по консалтингу для слушателей оформляются документы об участии (сертификаты или удостоверения об участии) с указанием: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полного и сокращенного наименования ФБУ «М-Стандарт»;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вида мероприятия;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срока проведения;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фамилии имени, отчества слушателя,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темы мероприятия согласно договору, счету или программе;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- регистрационного номера документа;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Документы об участии оформляются на защищенных бланках ФБУ «М-Стандарт» подписывает генеральный директор ФБУ «М-Стандарт», проставляется печать ФБУ «М-Стандарт».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Защищенные бланки получает начальник отдела 3100 или заинтересованного в работах подразделения у ответственного сотрудника ЭТО с учетом количества и номеров бланков накладной на передачу 1С.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Документы об участии регистрируются в реестре, который ведется в рамках электронного ресурса, размещенного в ПС 1С ЭДО (Семинары, конференции), содержащем сведения о теме и сроках мероприятия, наименовании документа, фамилии имени отчестве слушателя, регистрационном номере документа, номере защищенного бланка.</w:t>
      </w:r>
    </w:p>
    <w:p>
      <w:pPr>
        <w:pStyle w:val="Normal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/>
        <w:t>Испорченные бланки (информация об утерянных бланках) сдаются ответственному сотруднику ЭТО для списания согласно РК 070-0001 с подписанным руководителем получившего подразделения отчетом, содержащим номер бланка, причину порчи или сведения об утрате, дату формирования отчета.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4.4.3 Формирование архива документации по консалтингу (при необходимости по решению руководителя подразделения) осуществляется проводящими работы подразделениями в соответствии с требованиями СТО 070-006. Формами учета могут быть журналы регистрации и проведения работ, подшивки документов работ или иные формы записей, ведущиеся в соответствии с СТО 070-006 и сохраняющие сведения о конкретной работе.</w:t>
      </w:r>
    </w:p>
    <w:sectPr>
      <w:headerReference w:type="default" r:id="rId2"/>
      <w:footerReference w:type="default" r:id="rId3"/>
      <w:type w:val="nextPage"/>
      <w:pgSz w:w="11906" w:h="16838"/>
      <w:pgMar w:left="1418" w:right="850" w:gutter="0" w:header="708" w:top="993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08891594"/>
    </w:sdtPr>
    <w:sdtContent>
      <w:p>
        <w:pPr>
          <w:pStyle w:val="Style26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t>(в редакции изменения № 1 с 01.10.2016)</w:t>
        </w:r>
        <w:r>
          <w:rPr/>
          <w:t xml:space="preserve"> </w:t>
        </w: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5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ПВ 070-0003-2016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9"/>
    <w:next w:val="Style20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semiHidden/>
    <w:unhideWhenUsed/>
    <w:rsid w:val="008b3507"/>
    <w:rPr>
      <w:strike w:val="false"/>
      <w:dstrike w:val="false"/>
      <w:color w:val="3272C0"/>
      <w:u w:val="none"/>
      <w:effect w:val="none"/>
      <w:shd w:fill="auto" w:val="clear"/>
    </w:rPr>
  </w:style>
  <w:style w:type="character" w:styleId="Strong">
    <w:name w:val="Strong"/>
    <w:basedOn w:val="DefaultParagraphFont"/>
    <w:uiPriority w:val="22"/>
    <w:qFormat/>
    <w:rsid w:val="00fa386d"/>
    <w:rPr>
      <w:b/>
      <w:bCs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f95b1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95b1b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e7cb3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04b0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nnotationtext"/>
    <w:uiPriority w:val="99"/>
    <w:semiHidden/>
    <w:qFormat/>
    <w:rsid w:val="00aa04b0"/>
    <w:rPr>
      <w:sz w:val="20"/>
      <w:szCs w:val="20"/>
    </w:rPr>
  </w:style>
  <w:style w:type="character" w:styleId="Style18" w:customStyle="1">
    <w:name w:val="Тема примечания Знак"/>
    <w:basedOn w:val="Style17"/>
    <w:link w:val="Annotationsubject"/>
    <w:uiPriority w:val="99"/>
    <w:semiHidden/>
    <w:qFormat/>
    <w:rsid w:val="00aa04b0"/>
    <w:rPr>
      <w:b/>
      <w:bCs/>
      <w:sz w:val="20"/>
      <w:szCs w:val="20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uiPriority w:val="99"/>
    <w:unhideWhenUsed/>
    <w:rsid w:val="00f95b1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5"/>
    <w:uiPriority w:val="99"/>
    <w:unhideWhenUsed/>
    <w:rsid w:val="00f95b1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Normal" w:customStyle="1">
    <w:name w:val="ConsPlusNormal"/>
    <w:qFormat/>
    <w:rsid w:val="004c28d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auto"/>
      <w:kern w:val="0"/>
      <w:sz w:val="48"/>
      <w:szCs w:val="48"/>
      <w:lang w:val="ru-RU" w:eastAsia="en-US" w:bidi="ar-SA"/>
    </w:rPr>
  </w:style>
  <w:style w:type="paragraph" w:styleId="ConsPlusCell" w:customStyle="1">
    <w:name w:val="ConsPlusCell"/>
    <w:uiPriority w:val="99"/>
    <w:qFormat/>
    <w:rsid w:val="004c28dd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Courier New" w:eastAsiaTheme="minorHAnsi"/>
      <w:color w:val="auto"/>
      <w:kern w:val="0"/>
      <w:sz w:val="20"/>
      <w:szCs w:val="20"/>
      <w:lang w:val="ru-RU" w:eastAsia="en-US" w:bidi="ar-SA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e7c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7"/>
    <w:uiPriority w:val="99"/>
    <w:semiHidden/>
    <w:unhideWhenUsed/>
    <w:qFormat/>
    <w:rsid w:val="00aa04b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8"/>
    <w:uiPriority w:val="99"/>
    <w:semiHidden/>
    <w:unhideWhenUsed/>
    <w:qFormat/>
    <w:rsid w:val="00aa04b0"/>
    <w:pPr/>
    <w:rPr>
      <w:b/>
      <w:bCs/>
    </w:rPr>
  </w:style>
  <w:style w:type="paragraph" w:styleId="3" w:customStyle="1">
    <w:name w:val="Основной текст3"/>
    <w:basedOn w:val="Normal"/>
    <w:qFormat/>
    <w:rsid w:val="00183e71"/>
    <w:pPr>
      <w:widowControl w:val="false"/>
      <w:shd w:val="clear" w:color="auto" w:fill="FFFFFF"/>
      <w:spacing w:lineRule="exact" w:line="317" w:before="0" w:after="0"/>
    </w:pPr>
    <w:rPr>
      <w:rFonts w:ascii="Times New Roman" w:hAnsi="Times New Roman" w:eastAsia="Calibri" w:cs="Times New Roman"/>
      <w:color w:val="000000"/>
      <w:sz w:val="27"/>
      <w:szCs w:val="27"/>
      <w:lang w:eastAsia="ru-RU"/>
    </w:rPr>
  </w:style>
  <w:style w:type="paragraph" w:styleId="Formattext" w:customStyle="1">
    <w:name w:val="formattext"/>
    <w:basedOn w:val="Normal"/>
    <w:qFormat/>
    <w:rsid w:val="00082e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2248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54B36-FCA0-493D-9CD6-0F4D75E2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Application>LibreOffice/7.3.7.2$Linux_X86_64 LibreOffice_project/30$Build-2</Application>
  <AppVersion>15.0000</AppVersion>
  <Pages>5</Pages>
  <Words>1274</Words>
  <Characters>9486</Characters>
  <CharactersWithSpaces>10714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2016-05-16T15:03:00Z</dcterms:created>
  <dc:creator>Наталья Мысик</dc:creator>
  <dc:description/>
  <dc:language>ru-RU</dc:language>
  <cp:lastModifiedBy/>
  <cp:lastPrinted>2015-11-26T07:29:00Z</cp:lastPrinted>
  <dcterms:modified xsi:type="dcterms:W3CDTF">2025-06-19T09:19:05Z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