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Бородина: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л/р № 14 (на примере составления портфеля из 5 криптовалют - по выбору магистранта), 15, 17, 18, 20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Гайдукевич: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л/р № 3, 4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Аксень: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л/р № 2, 3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Продвинутая эконометрика: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Из отдельных файлов: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Лаб_Метод Саати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Лаб_СМО,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Адаптивное прогнозирование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yellow"/>
          <w:rtl w:val="0"/>
        </w:rPr>
        <w:t xml:space="preserve">*,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Лаб_Взаимосвязь временных рядов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*,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Модели городской динамики, Гравитационные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выполняются по собственным вариантам (данные находит магистрант)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остальным лабораторным также приветствуется выполнение на реальных данных в соответствии с постановкой, сформулированной магистрантом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yGnmL41h/Os5DZnDVXcaxASxA==">CgMxLjAyCGguZ2pkZ3hzOAByITFjNGRFWXpLeFlyTE9DaGs3cGJJQm0yMjBkaXdVUW85Yg==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2022-09-04T18:19:00Z</dcterms:created>
  <dc:creator>NotePad.by</dc:creator>
</cp:coreProperties>
</file>