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2750E"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42750E"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42750E"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w:t>
      </w:r>
      <w:r>
        <w:t> : texte</w:t>
      </w:r>
    </w:p>
    <w:p w:rsidR="00A730B4" w:rsidRDefault="00A730B4" w:rsidP="00A730B4">
      <w:pPr>
        <w:pStyle w:val="Sansinterligne"/>
        <w:numPr>
          <w:ilvl w:val="1"/>
          <w:numId w:val="5"/>
        </w:numPr>
      </w:pPr>
      <w:r>
        <w:t>Type</w:t>
      </w:r>
      <w:r>
        <w:t> : texte</w:t>
      </w:r>
    </w:p>
    <w:p w:rsidR="00A730B4" w:rsidRDefault="00A730B4" w:rsidP="00A730B4">
      <w:pPr>
        <w:pStyle w:val="Sansinterligne"/>
        <w:numPr>
          <w:ilvl w:val="1"/>
          <w:numId w:val="5"/>
        </w:numPr>
      </w:pPr>
      <w:r>
        <w:t>Taille</w:t>
      </w:r>
      <w:r>
        <w:t> : entier</w:t>
      </w:r>
    </w:p>
    <w:p w:rsidR="00A730B4" w:rsidRDefault="00A730B4" w:rsidP="00A730B4">
      <w:pPr>
        <w:pStyle w:val="Sansinterligne"/>
        <w:numPr>
          <w:ilvl w:val="1"/>
          <w:numId w:val="5"/>
        </w:numPr>
      </w:pPr>
      <w:r>
        <w:t>Nombre et type des Habitants</w:t>
      </w:r>
      <w:r>
        <w:t> : entier, texte</w:t>
      </w:r>
    </w:p>
    <w:p w:rsidR="00A730B4" w:rsidRDefault="00A730B4" w:rsidP="00A730B4">
      <w:pPr>
        <w:pStyle w:val="Sansinterligne"/>
        <w:numPr>
          <w:ilvl w:val="1"/>
          <w:numId w:val="5"/>
        </w:numPr>
      </w:pPr>
      <w:r>
        <w:t>Description</w:t>
      </w:r>
      <w:r>
        <w:t>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lastRenderedPageBreak/>
        <w:t>XXXXX</w:t>
      </w:r>
      <w:bookmarkStart w:id="7" w:name="_GoBack"/>
      <w:bookmarkEnd w:id="7"/>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lastRenderedPageBreak/>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hyperlink r:id="rId8" w:history="1">
        <w:r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lastRenderedPageBreak/>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lastRenderedPageBreak/>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lastRenderedPageBreak/>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lastRenderedPageBreak/>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lastRenderedPageBreak/>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2750E"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lastRenderedPageBreak/>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lastRenderedPageBreak/>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lastRenderedPageBreak/>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lastRenderedPageBreak/>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4E7"/>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5EFD"/>
    <w:rsid w:val="002B2707"/>
    <w:rsid w:val="002B3AC9"/>
    <w:rsid w:val="002B5CEE"/>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46BB7"/>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47B4E"/>
    <w:rsid w:val="00D509E6"/>
    <w:rsid w:val="00D56837"/>
    <w:rsid w:val="00D569AA"/>
    <w:rsid w:val="00D64659"/>
    <w:rsid w:val="00D65B60"/>
    <w:rsid w:val="00D66100"/>
    <w:rsid w:val="00D7668D"/>
    <w:rsid w:val="00D76F31"/>
    <w:rsid w:val="00D84598"/>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30466</TotalTime>
  <Pages>20</Pages>
  <Words>6266</Words>
  <Characters>34464</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655</cp:revision>
  <dcterms:created xsi:type="dcterms:W3CDTF">2017-12-13T22:47:00Z</dcterms:created>
  <dcterms:modified xsi:type="dcterms:W3CDTF">2018-02-04T21:20:00Z</dcterms:modified>
</cp:coreProperties>
</file>