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A06F33"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Enum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A06F33"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A06F33"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w:t>
      </w:r>
      <w:proofErr w:type="spellStart"/>
      <w:r w:rsidRPr="00F50241">
        <w:rPr>
          <w:lang w:val="en-US"/>
        </w:rPr>
        <w:t>en</w:t>
      </w:r>
      <w:proofErr w:type="spellEnd"/>
      <w:r w:rsidRPr="00F50241">
        <w:rPr>
          <w:lang w:val="en-US"/>
        </w:rPr>
        <w:t xml:space="preserve">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7A238F" w:rsidRDefault="007A238F" w:rsidP="007A238F">
      <w:pPr>
        <w:pStyle w:val="Titre2"/>
      </w:pPr>
      <w:r>
        <w:t>En Cours</w:t>
      </w:r>
    </w:p>
    <w:p w:rsidR="007A238F" w:rsidRDefault="007A238F" w:rsidP="009428C4">
      <w:pPr>
        <w:pStyle w:val="Sansinterligne"/>
      </w:pPr>
    </w:p>
    <w:p w:rsidR="0080611E" w:rsidRPr="00E7660C" w:rsidRDefault="0080611E" w:rsidP="0080611E">
      <w:pPr>
        <w:pStyle w:val="Titre3"/>
      </w:pPr>
      <w:r w:rsidRPr="00E7660C">
        <w:t>Evolution –</w:t>
      </w:r>
      <w:r>
        <w:t xml:space="preserve"> Refondre la séparation des projets</w:t>
      </w:r>
    </w:p>
    <w:p w:rsidR="0080611E" w:rsidRDefault="0080611E" w:rsidP="0080611E">
      <w:pPr>
        <w:pStyle w:val="Sansinterligne"/>
      </w:pPr>
    </w:p>
    <w:p w:rsidR="0080611E" w:rsidRDefault="0080611E" w:rsidP="0080611E">
      <w:pPr>
        <w:pStyle w:val="Titre4"/>
      </w:pPr>
      <w:r>
        <w:t>Idée</w:t>
      </w:r>
    </w:p>
    <w:p w:rsidR="0080611E" w:rsidRDefault="0080611E" w:rsidP="0080611E">
      <w:pPr>
        <w:pStyle w:val="Sansinterligne"/>
        <w:numPr>
          <w:ilvl w:val="0"/>
          <w:numId w:val="5"/>
        </w:numPr>
      </w:pPr>
      <w:r>
        <w:t>Toute la partie graphique, les « contrôles », devrait être dans l’Application.</w:t>
      </w:r>
    </w:p>
    <w:p w:rsidR="0080611E" w:rsidRDefault="0080611E" w:rsidP="0080611E">
      <w:pPr>
        <w:pStyle w:val="Sansinterligne"/>
      </w:pPr>
    </w:p>
    <w:p w:rsidR="0080611E" w:rsidRDefault="0080611E" w:rsidP="0080611E">
      <w:pPr>
        <w:pStyle w:val="Titre4"/>
      </w:pPr>
      <w:r>
        <w:t>TODO</w:t>
      </w:r>
    </w:p>
    <w:p w:rsidR="0080611E" w:rsidRDefault="0080611E" w:rsidP="0080611E">
      <w:pPr>
        <w:pStyle w:val="Sansinterligne"/>
      </w:pPr>
    </w:p>
    <w:p w:rsidR="0080611E" w:rsidRDefault="001673FF" w:rsidP="0080611E">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1673FF" w:rsidRDefault="00AE7456" w:rsidP="0080611E">
      <w:pPr>
        <w:pStyle w:val="Sansinterligne"/>
        <w:numPr>
          <w:ilvl w:val="0"/>
          <w:numId w:val="5"/>
        </w:numPr>
      </w:pPr>
      <w:r>
        <w:t xml:space="preserve">DONE – </w:t>
      </w:r>
      <w:proofErr w:type="spellStart"/>
      <w:r>
        <w:t>Dialogs</w:t>
      </w:r>
      <w:proofErr w:type="spellEnd"/>
      <w:r>
        <w:t xml:space="preserve"> doit être au même niveau que les dossiers MVVM</w:t>
      </w:r>
      <w:r w:rsidR="00A06F33">
        <w:t>.</w:t>
      </w:r>
    </w:p>
    <w:p w:rsidR="0080611E" w:rsidRPr="00E7660C" w:rsidRDefault="0080611E" w:rsidP="0080611E">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w:t>
      </w:r>
      <w:r w:rsidR="00583AF9">
        <w:t>.1</w:t>
      </w:r>
      <w:r>
        <w:t> :</w:t>
      </w:r>
    </w:p>
    <w:p w:rsidR="00F03925" w:rsidRDefault="009F026C" w:rsidP="009F026C">
      <w:pPr>
        <w:pStyle w:val="Sansinterligne"/>
        <w:numPr>
          <w:ilvl w:val="1"/>
          <w:numId w:val="5"/>
        </w:numPr>
      </w:pPr>
      <w:r>
        <w:lastRenderedPageBreak/>
        <w:t>Analyser et rassembler / faire une évolution à part à partir de :</w:t>
      </w:r>
      <w:r w:rsidR="00F03925">
        <w:t xml:space="preserve"> Interface</w:t>
      </w:r>
      <w:r w:rsidR="005F41D3">
        <w:t>s &amp; Héritage</w:t>
      </w:r>
      <w:r w:rsidR="00F03925">
        <w:t> </w:t>
      </w:r>
      <w:r w:rsidR="006C45BE">
        <w:t xml:space="preserve">|| Abstract, </w:t>
      </w:r>
      <w:proofErr w:type="spellStart"/>
      <w:r w:rsidR="006C45BE">
        <w:t>virtual</w:t>
      </w:r>
      <w:proofErr w:type="spellEnd"/>
      <w:r w:rsidR="006C45BE">
        <w:t>,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 xml:space="preserve">Data &gt; Model &gt; </w:t>
      </w:r>
      <w:proofErr w:type="spellStart"/>
      <w:r>
        <w:t>ViewModel</w:t>
      </w:r>
      <w:proofErr w:type="spellEnd"/>
      <w:r>
        <w:t xml:space="preserve"> &gt; </w:t>
      </w:r>
      <w:proofErr w:type="spellStart"/>
      <w:r>
        <w:t>View</w:t>
      </w:r>
      <w:proofErr w:type="spellEnd"/>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583AF9" w:rsidP="00F03925">
      <w:pPr>
        <w:pStyle w:val="Sansinterligne"/>
        <w:numPr>
          <w:ilvl w:val="0"/>
          <w:numId w:val="5"/>
        </w:numPr>
      </w:pPr>
      <w:r>
        <w:t xml:space="preserve">1.1.1 : </w:t>
      </w:r>
      <w:r w:rsidR="00641DBB">
        <w:t>Code : travail sur DATA</w:t>
      </w:r>
      <w:r w:rsidR="007B7D74">
        <w:t xml:space="preserve"> / </w:t>
      </w:r>
      <w:proofErr w:type="spellStart"/>
      <w:r w:rsidR="007B7D74">
        <w:t>Libraries</w:t>
      </w:r>
      <w:proofErr w:type="spellEnd"/>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 xml:space="preserve">Peut-être scinder les </w:t>
      </w:r>
      <w:proofErr w:type="spellStart"/>
      <w:r>
        <w:t>Libraries</w:t>
      </w:r>
      <w:proofErr w:type="spellEnd"/>
      <w:r>
        <w:t> : il y a du dessin, des évènements, etc. Ou peut-être pas.</w:t>
      </w:r>
      <w:r w:rsidR="00BE22AE">
        <w:t xml:space="preserve"> Mais alors mieux séparer l’ensemble à l’intérieur.</w:t>
      </w:r>
    </w:p>
    <w:p w:rsidR="00D84DB2" w:rsidRDefault="00235E1B" w:rsidP="00F03925">
      <w:pPr>
        <w:pStyle w:val="Sansinterligne"/>
        <w:numPr>
          <w:ilvl w:val="0"/>
          <w:numId w:val="5"/>
        </w:numPr>
      </w:pPr>
      <w:r>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 xml:space="preserve">Code : Séparation d’un </w:t>
      </w:r>
      <w:proofErr w:type="spellStart"/>
      <w:r>
        <w:t>Hex</w:t>
      </w:r>
      <w:proofErr w:type="spellEnd"/>
      <w:r>
        <w:t xml:space="preserve"> entre Carte et Données</w:t>
      </w:r>
    </w:p>
    <w:p w:rsidR="00E94870" w:rsidRDefault="00E94870" w:rsidP="00F03925">
      <w:pPr>
        <w:pStyle w:val="Sansinterligne"/>
        <w:numPr>
          <w:ilvl w:val="0"/>
          <w:numId w:val="5"/>
        </w:numPr>
      </w:pPr>
      <w:r>
        <w:t xml:space="preserve">Code : séparation </w:t>
      </w:r>
      <w:proofErr w:type="spellStart"/>
      <w:r>
        <w:t>HexData</w:t>
      </w:r>
      <w:proofErr w:type="spellEnd"/>
      <w:r>
        <w:t xml:space="preserve"> / Model / </w:t>
      </w:r>
      <w:proofErr w:type="spellStart"/>
      <w:r>
        <w:t>ViewModel</w:t>
      </w:r>
      <w:proofErr w:type="spellEnd"/>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8B6C5B" w:rsidRDefault="008B6C5B" w:rsidP="008B6C5B">
      <w:pPr>
        <w:pStyle w:val="Sansinterligne"/>
        <w:numPr>
          <w:ilvl w:val="0"/>
          <w:numId w:val="5"/>
        </w:numPr>
      </w:pPr>
      <w:bookmarkStart w:id="2" w:name="_GoBack"/>
      <w:bookmarkEnd w:id="2"/>
      <w:r>
        <w:t>Séparer Interface et Carte</w:t>
      </w:r>
    </w:p>
    <w:p w:rsidR="008B6C5B" w:rsidRDefault="008B6C5B" w:rsidP="008B6C5B">
      <w:pPr>
        <w:pStyle w:val="Sansinterligne"/>
        <w:numPr>
          <w:ilvl w:val="1"/>
          <w:numId w:val="5"/>
        </w:numPr>
      </w:pPr>
      <w:r>
        <w:t xml:space="preserve">Séparer </w:t>
      </w:r>
      <w:proofErr w:type="spellStart"/>
      <w:r>
        <w:t>GameDate</w:t>
      </w:r>
      <w:proofErr w:type="spellEnd"/>
      <w:r>
        <w:t xml:space="preserve"> et </w:t>
      </w:r>
      <w:proofErr w:type="spellStart"/>
      <w:r>
        <w:t>InterfaceData</w:t>
      </w:r>
      <w:proofErr w:type="spellEnd"/>
      <w:r w:rsidR="0098356C">
        <w:t xml:space="preserve"> / </w:t>
      </w:r>
      <w:proofErr w:type="spellStart"/>
      <w:r w:rsidR="0098356C">
        <w:t>UIData</w:t>
      </w:r>
      <w:proofErr w:type="spellEnd"/>
    </w:p>
    <w:p w:rsidR="008B6C5B" w:rsidRDefault="008B6C5B" w:rsidP="008B6C5B">
      <w:pPr>
        <w:pStyle w:val="Sansinterligne"/>
        <w:numPr>
          <w:ilvl w:val="1"/>
          <w:numId w:val="5"/>
        </w:numPr>
      </w:pPr>
      <w:proofErr w:type="spellStart"/>
      <w:r>
        <w:t>GameData</w:t>
      </w:r>
      <w:proofErr w:type="spellEnd"/>
      <w:r>
        <w:t xml:space="preserve"> est chargée et sauvée, recréée à chaque Nouvelle carte</w:t>
      </w:r>
    </w:p>
    <w:p w:rsidR="008B6C5B" w:rsidRDefault="00B821BC" w:rsidP="008B6C5B">
      <w:pPr>
        <w:pStyle w:val="Sansinterligne"/>
        <w:numPr>
          <w:ilvl w:val="1"/>
          <w:numId w:val="5"/>
        </w:numPr>
      </w:pPr>
      <w:proofErr w:type="spellStart"/>
      <w:r>
        <w:t>UIData</w:t>
      </w:r>
      <w:proofErr w:type="spellEnd"/>
      <w:r w:rsidR="008B6C5B">
        <w:t xml:space="preserve"> est créée une seule fois</w:t>
      </w:r>
    </w:p>
    <w:p w:rsidR="00203118" w:rsidRDefault="0098356C" w:rsidP="00203118">
      <w:pPr>
        <w:pStyle w:val="Sansinterligne"/>
        <w:numPr>
          <w:ilvl w:val="0"/>
          <w:numId w:val="5"/>
        </w:numPr>
      </w:pPr>
      <w:r>
        <w:t xml:space="preserve">On ne sauvegarde pas </w:t>
      </w:r>
      <w:proofErr w:type="spellStart"/>
      <w:r>
        <w:t>UIData</w:t>
      </w:r>
      <w:proofErr w:type="spellEnd"/>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203118" w:rsidRDefault="00203118" w:rsidP="00203118">
      <w:pPr>
        <w:pStyle w:val="Sansinterligne"/>
        <w:numPr>
          <w:ilvl w:val="0"/>
          <w:numId w:val="5"/>
        </w:numPr>
      </w:pPr>
      <w:r>
        <w:t>Disposer d’un modèle général peut être utile, une interface pour chaque niveau « </w:t>
      </w:r>
      <w:proofErr w:type="spellStart"/>
      <w:r>
        <w:t>sauvegardable</w:t>
      </w:r>
      <w:proofErr w:type="spellEnd"/>
      <w:r>
        <w:t> »</w:t>
      </w:r>
    </w:p>
    <w:p w:rsidR="007F2537" w:rsidRDefault="007F2537" w:rsidP="00203118">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203118" w:rsidRPr="00DF4124" w:rsidRDefault="00203118" w:rsidP="00203118">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lastRenderedPageBreak/>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w:t>
      </w:r>
      <w:proofErr w:type="spellStart"/>
      <w:r w:rsidR="002F7449">
        <w:t>HexModel</w:t>
      </w:r>
      <w:proofErr w:type="spellEnd"/>
      <w:r w:rsidR="002F7449">
        <w:t xml:space="preserve"> et </w:t>
      </w:r>
      <w:proofErr w:type="spellStart"/>
      <w:r w:rsidR="002F7449">
        <w:t>HexViewModel</w:t>
      </w:r>
      <w:proofErr w:type="spellEnd"/>
      <w:r w:rsidR="002F7449">
        <w:t xml:space="preserve"> (généralisable ?)</w:t>
      </w:r>
    </w:p>
    <w:p w:rsidR="00765673" w:rsidRDefault="00765673" w:rsidP="00765673">
      <w:pPr>
        <w:pStyle w:val="Sansinterligne"/>
      </w:pPr>
    </w:p>
    <w:p w:rsidR="002F7449" w:rsidRDefault="003E3C2E" w:rsidP="00765673">
      <w:pPr>
        <w:pStyle w:val="Sansinterligne"/>
      </w:pPr>
      <w:proofErr w:type="spellStart"/>
      <w:r>
        <w:t>HexData</w:t>
      </w:r>
      <w:proofErr w:type="spellEnd"/>
      <w:r>
        <w:t xml:space="preserve">, </w:t>
      </w:r>
      <w:proofErr w:type="spellStart"/>
      <w:r w:rsidR="002F7449">
        <w:t>HexModel</w:t>
      </w:r>
      <w:proofErr w:type="spellEnd"/>
      <w:r>
        <w:t xml:space="preserve"> et </w:t>
      </w:r>
      <w:proofErr w:type="spellStart"/>
      <w:r w:rsidR="002F7449">
        <w:t>HexViewModel</w:t>
      </w:r>
      <w:proofErr w:type="spellEnd"/>
      <w:r w:rsidR="002F7449">
        <w:t xml:space="preserve"> </w:t>
      </w:r>
      <w:r>
        <w:t>ne devraient avoir</w:t>
      </w:r>
      <w:r w:rsidR="002F7449">
        <w:t xml:space="preserve"> aucun lien avec les </w:t>
      </w:r>
      <w:proofErr w:type="spellStart"/>
      <w:r w:rsidR="002F7449">
        <w:t>TileColorXXX</w:t>
      </w:r>
      <w:proofErr w:type="spellEnd"/>
      <w:r w:rsidR="002F7449">
        <w:t xml:space="preserve"> et </w:t>
      </w:r>
      <w:proofErr w:type="spellStart"/>
      <w:r w:rsidR="002F7449">
        <w:t>TileImageXXX</w:t>
      </w:r>
      <w:proofErr w:type="spellEnd"/>
      <w:r w:rsidR="002F7449">
        <w:t xml:space="preserve"> autre que leur ID.</w:t>
      </w:r>
    </w:p>
    <w:p w:rsidR="002F7449" w:rsidRPr="00E7660C" w:rsidRDefault="002F7449" w:rsidP="00765673">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w:t>
      </w:r>
      <w:r w:rsidR="00CD124E">
        <w:t xml:space="preserve"> En tout cas, via ID.</w:t>
      </w:r>
    </w:p>
    <w:p w:rsidR="00765673" w:rsidRDefault="005F1042" w:rsidP="00765673">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w:t>
      </w:r>
      <w:r w:rsidR="001A2A87">
        <w:t xml:space="preserve"> (donc ID ou </w:t>
      </w:r>
      <w:proofErr w:type="spellStart"/>
      <w:r w:rsidR="001A2A87">
        <w:t>ref</w:t>
      </w:r>
      <w:proofErr w:type="spellEnd"/>
      <w:r w:rsidR="001A2A87">
        <w:t>)</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A06F33"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lastRenderedPageBreak/>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A06F33"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lastRenderedPageBreak/>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A06F33"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lastRenderedPageBreak/>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lastRenderedPageBreak/>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lastRenderedPageBreak/>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lastRenderedPageBreak/>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lastRenderedPageBreak/>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 xml:space="preserve">Dirigeants &amp; </w:t>
      </w:r>
      <w:proofErr w:type="spellStart"/>
      <w:r>
        <w:t>PNJs</w:t>
      </w:r>
      <w:proofErr w:type="spellEnd"/>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lastRenderedPageBreak/>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binding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Enum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559F"/>
    <w:rsid w:val="000D730D"/>
    <w:rsid w:val="000E6B99"/>
    <w:rsid w:val="000F147F"/>
    <w:rsid w:val="00110081"/>
    <w:rsid w:val="00113486"/>
    <w:rsid w:val="001159F0"/>
    <w:rsid w:val="0012733C"/>
    <w:rsid w:val="00131C09"/>
    <w:rsid w:val="00152133"/>
    <w:rsid w:val="00160239"/>
    <w:rsid w:val="00162534"/>
    <w:rsid w:val="00165F9D"/>
    <w:rsid w:val="001673FF"/>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3AF9"/>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64944"/>
    <w:rsid w:val="00894AAF"/>
    <w:rsid w:val="008A316F"/>
    <w:rsid w:val="008A6B8F"/>
    <w:rsid w:val="008B3661"/>
    <w:rsid w:val="008B6756"/>
    <w:rsid w:val="008B6C5B"/>
    <w:rsid w:val="008C1411"/>
    <w:rsid w:val="008C726F"/>
    <w:rsid w:val="008C7882"/>
    <w:rsid w:val="008D7EEC"/>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6F33"/>
    <w:rsid w:val="00A1128A"/>
    <w:rsid w:val="00A12786"/>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E745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5923"/>
    <w:rsid w:val="00BC004A"/>
    <w:rsid w:val="00BE1550"/>
    <w:rsid w:val="00BE22AE"/>
    <w:rsid w:val="00BF0D5E"/>
    <w:rsid w:val="00BF6B43"/>
    <w:rsid w:val="00C027E1"/>
    <w:rsid w:val="00C0349B"/>
    <w:rsid w:val="00C03F31"/>
    <w:rsid w:val="00C139DE"/>
    <w:rsid w:val="00C27116"/>
    <w:rsid w:val="00C27754"/>
    <w:rsid w:val="00C34374"/>
    <w:rsid w:val="00C36136"/>
    <w:rsid w:val="00C361BB"/>
    <w:rsid w:val="00C41C1B"/>
    <w:rsid w:val="00C4731D"/>
    <w:rsid w:val="00C47332"/>
    <w:rsid w:val="00C52BC3"/>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689"/>
    <w:rsid w:val="00D232EA"/>
    <w:rsid w:val="00D25573"/>
    <w:rsid w:val="00D35BB8"/>
    <w:rsid w:val="00D3688E"/>
    <w:rsid w:val="00D509E6"/>
    <w:rsid w:val="00D56837"/>
    <w:rsid w:val="00D569AA"/>
    <w:rsid w:val="00D64659"/>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D074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19874</TotalTime>
  <Pages>19</Pages>
  <Words>5963</Words>
  <Characters>32800</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DESBONNETS Allan (PRESTA EXT)</cp:lastModifiedBy>
  <cp:revision>518</cp:revision>
  <dcterms:created xsi:type="dcterms:W3CDTF">2017-12-13T22:47:00Z</dcterms:created>
  <dcterms:modified xsi:type="dcterms:W3CDTF">2018-01-25T09:19:00Z</dcterms:modified>
</cp:coreProperties>
</file>