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E67A5" w14:textId="005462CF" w:rsidR="008D090D" w:rsidRDefault="00B01D1B" w:rsidP="00F17616">
      <w:pPr>
        <w:jc w:val="both"/>
        <w:rPr>
          <w:rFonts w:ascii="Sylfaen" w:hAnsi="Sylfaen"/>
          <w:sz w:val="24"/>
          <w:szCs w:val="24"/>
        </w:rPr>
      </w:pPr>
      <w:r w:rsidRPr="007649C8">
        <w:rPr>
          <w:rFonts w:ascii="Sylfaen" w:hAnsi="Sylfaen"/>
          <w:sz w:val="24"/>
          <w:szCs w:val="24"/>
        </w:rPr>
        <w:t xml:space="preserve">You've done an excellent job analyzing and applying the latest developments in the Growth-at-Risk framework to the case of Armenia. </w:t>
      </w:r>
      <w:r w:rsidR="007649C8" w:rsidRPr="007649C8">
        <w:rPr>
          <w:rFonts w:ascii="Sylfaen" w:hAnsi="Sylfaen"/>
          <w:sz w:val="24"/>
          <w:szCs w:val="24"/>
        </w:rPr>
        <w:t>Our comments focus on the paper's coherence, as the current structure and logical flow make it difficult to follow. Additionally, we have concerns about the methodology, as there are issues that need to be addressed to ensure its suitability for making policy recommendations.</w:t>
      </w:r>
    </w:p>
    <w:p w14:paraId="2CF1F258" w14:textId="77777777" w:rsidR="007649C8" w:rsidRPr="007649C8" w:rsidRDefault="007649C8" w:rsidP="007649C8">
      <w:pPr>
        <w:jc w:val="both"/>
        <w:rPr>
          <w:rFonts w:ascii="Sylfaen" w:hAnsi="Sylfaen"/>
          <w:b/>
          <w:bCs/>
          <w:sz w:val="24"/>
          <w:szCs w:val="24"/>
          <w:u w:val="single"/>
        </w:rPr>
      </w:pPr>
      <w:r w:rsidRPr="007649C8">
        <w:rPr>
          <w:rFonts w:ascii="Sylfaen" w:hAnsi="Sylfaen"/>
          <w:b/>
          <w:bCs/>
          <w:sz w:val="24"/>
          <w:szCs w:val="24"/>
          <w:u w:val="single"/>
        </w:rPr>
        <w:t xml:space="preserve">Regarding the structure and the content of the paper </w:t>
      </w:r>
    </w:p>
    <w:p w14:paraId="58EADF93" w14:textId="77777777" w:rsidR="007649C8" w:rsidRPr="00AD2723" w:rsidRDefault="007649C8" w:rsidP="007649C8">
      <w:pPr>
        <w:pStyle w:val="ListParagraph"/>
        <w:numPr>
          <w:ilvl w:val="0"/>
          <w:numId w:val="3"/>
        </w:numPr>
        <w:jc w:val="both"/>
        <w:rPr>
          <w:rFonts w:ascii="Sylfaen" w:hAnsi="Sylfaen"/>
          <w:strike/>
          <w:sz w:val="24"/>
          <w:szCs w:val="24"/>
        </w:rPr>
      </w:pPr>
      <w:r w:rsidRPr="00AD2723">
        <w:rPr>
          <w:rFonts w:ascii="Sylfaen" w:hAnsi="Sylfaen"/>
          <w:strike/>
          <w:sz w:val="24"/>
          <w:szCs w:val="24"/>
        </w:rPr>
        <w:t>Normally an abstract contains the issue (25%), the research methodology (25%) and the findings (50%). In your case abstract mainly covers the issue.</w:t>
      </w:r>
    </w:p>
    <w:p w14:paraId="459000CA" w14:textId="77777777" w:rsidR="007649C8" w:rsidRPr="00DD12D6" w:rsidRDefault="007649C8" w:rsidP="007649C8">
      <w:pPr>
        <w:pStyle w:val="ListParagraph"/>
        <w:numPr>
          <w:ilvl w:val="0"/>
          <w:numId w:val="3"/>
        </w:numPr>
        <w:jc w:val="both"/>
        <w:rPr>
          <w:rFonts w:ascii="Sylfaen" w:hAnsi="Sylfaen"/>
          <w:strike/>
          <w:sz w:val="24"/>
          <w:szCs w:val="24"/>
        </w:rPr>
      </w:pPr>
      <w:r w:rsidRPr="00DD12D6">
        <w:rPr>
          <w:rFonts w:ascii="Sylfaen" w:hAnsi="Sylfaen"/>
          <w:strike/>
          <w:sz w:val="24"/>
          <w:szCs w:val="24"/>
        </w:rPr>
        <w:t>We recommend creating a separate section for the literature review. While the first three sections touch upon related research, having a separate section would improve the flow of the paper. In this section, you can thoroughly discuss the findings of previous studies and highlight any differences in methodologies, which will provide a clearer context for the reader and strengthen the overall coherence of the paper.</w:t>
      </w:r>
    </w:p>
    <w:p w14:paraId="407B1EEC" w14:textId="77777777" w:rsidR="007649C8" w:rsidRPr="00AD2723" w:rsidRDefault="007649C8" w:rsidP="007649C8">
      <w:pPr>
        <w:pStyle w:val="ListParagraph"/>
        <w:numPr>
          <w:ilvl w:val="0"/>
          <w:numId w:val="3"/>
        </w:numPr>
        <w:jc w:val="both"/>
        <w:rPr>
          <w:rFonts w:ascii="Sylfaen" w:hAnsi="Sylfaen" w:cs="Times New Roman"/>
          <w:strike/>
          <w:color w:val="212121"/>
          <w:sz w:val="24"/>
          <w:szCs w:val="24"/>
          <w:shd w:val="clear" w:color="auto" w:fill="FFFFFF"/>
        </w:rPr>
      </w:pPr>
      <w:r w:rsidRPr="00AD2723">
        <w:rPr>
          <w:rFonts w:ascii="Sylfaen" w:hAnsi="Sylfaen" w:cs="Times New Roman"/>
          <w:strike/>
          <w:color w:val="212121"/>
          <w:sz w:val="24"/>
          <w:szCs w:val="24"/>
          <w:shd w:val="clear" w:color="auto" w:fill="FFFFFF"/>
        </w:rPr>
        <w:t>Providing background information on the topic at the beginning would greatly benefit readers, as it helps establish context and highlight the significance of the research.</w:t>
      </w:r>
    </w:p>
    <w:p w14:paraId="4E5E1FE5" w14:textId="77777777" w:rsidR="007649C8" w:rsidRPr="00CD613E" w:rsidRDefault="007649C8" w:rsidP="007649C8">
      <w:pPr>
        <w:pStyle w:val="ListParagraph"/>
        <w:numPr>
          <w:ilvl w:val="0"/>
          <w:numId w:val="3"/>
        </w:numPr>
        <w:jc w:val="both"/>
        <w:rPr>
          <w:rFonts w:ascii="Sylfaen" w:hAnsi="Sylfaen" w:cs="Times New Roman"/>
          <w:strike/>
          <w:color w:val="212121"/>
          <w:sz w:val="24"/>
          <w:szCs w:val="24"/>
          <w:shd w:val="clear" w:color="auto" w:fill="FFFFFF"/>
        </w:rPr>
      </w:pPr>
      <w:r w:rsidRPr="00CD613E">
        <w:rPr>
          <w:rFonts w:ascii="Sylfaen" w:hAnsi="Sylfaen" w:cs="Times New Roman"/>
          <w:strike/>
          <w:color w:val="212121"/>
          <w:sz w:val="24"/>
          <w:szCs w:val="24"/>
          <w:shd w:val="clear" w:color="auto" w:fill="FFFFFF"/>
        </w:rPr>
        <w:t>The second-to-last paragraph of the introduction provides a brief overview of the main contributions. While all three contributions are relevant from a policy perspective, the first two (1. Assessment of systemic risk in Armenia; 2. Use of panel and localized models) are not particularly strong from an academic standpoint. We suggest emphasizing the specific advantages and strengths of these contributions to better showcase their value.</w:t>
      </w:r>
    </w:p>
    <w:p w14:paraId="0BFA7E12" w14:textId="77777777" w:rsidR="007649C8" w:rsidRPr="00DD12D6" w:rsidRDefault="007649C8" w:rsidP="007649C8">
      <w:pPr>
        <w:pStyle w:val="ListParagraph"/>
        <w:numPr>
          <w:ilvl w:val="0"/>
          <w:numId w:val="3"/>
        </w:numPr>
        <w:jc w:val="both"/>
        <w:rPr>
          <w:rFonts w:ascii="Sylfaen" w:hAnsi="Sylfaen"/>
          <w:strike/>
          <w:sz w:val="24"/>
          <w:szCs w:val="24"/>
        </w:rPr>
      </w:pPr>
      <w:r w:rsidRPr="00DD12D6">
        <w:rPr>
          <w:rFonts w:ascii="Sylfaen" w:hAnsi="Sylfaen"/>
          <w:strike/>
          <w:sz w:val="24"/>
          <w:szCs w:val="24"/>
        </w:rPr>
        <w:t>Most of the content of “Systemic risks” section can be moved to the literature review section.</w:t>
      </w:r>
    </w:p>
    <w:p w14:paraId="7F636949" w14:textId="77777777" w:rsidR="007649C8" w:rsidRPr="00093FD5" w:rsidRDefault="007649C8" w:rsidP="007649C8">
      <w:pPr>
        <w:pStyle w:val="ListParagraph"/>
        <w:numPr>
          <w:ilvl w:val="0"/>
          <w:numId w:val="3"/>
        </w:numPr>
        <w:jc w:val="both"/>
        <w:rPr>
          <w:rFonts w:ascii="Sylfaen" w:hAnsi="Sylfaen" w:cs="Times New Roman"/>
          <w:strike/>
          <w:color w:val="212121"/>
          <w:sz w:val="24"/>
          <w:szCs w:val="24"/>
          <w:shd w:val="clear" w:color="auto" w:fill="FFFFFF"/>
        </w:rPr>
      </w:pPr>
      <w:r w:rsidRPr="00093FD5">
        <w:rPr>
          <w:rFonts w:ascii="Sylfaen" w:hAnsi="Sylfaen" w:cs="Times New Roman"/>
          <w:strike/>
          <w:color w:val="212121"/>
          <w:sz w:val="24"/>
          <w:szCs w:val="24"/>
          <w:shd w:val="clear" w:color="auto" w:fill="FFFFFF"/>
        </w:rPr>
        <w:t>Financial vulnerability and financial stress are not defined, it is not clear what is the difference between them.</w:t>
      </w:r>
    </w:p>
    <w:p w14:paraId="61BE4198" w14:textId="0AB36FF9" w:rsidR="0046256D" w:rsidRPr="00CA4C60" w:rsidRDefault="0046256D" w:rsidP="007649C8">
      <w:pPr>
        <w:pStyle w:val="ListParagraph"/>
        <w:numPr>
          <w:ilvl w:val="0"/>
          <w:numId w:val="3"/>
        </w:numPr>
        <w:jc w:val="both"/>
        <w:rPr>
          <w:rFonts w:ascii="Sylfaen" w:hAnsi="Sylfaen" w:cs="Times New Roman"/>
          <w:color w:val="212121"/>
          <w:sz w:val="24"/>
          <w:szCs w:val="24"/>
          <w:shd w:val="clear" w:color="auto" w:fill="FFFFFF"/>
        </w:rPr>
      </w:pPr>
      <w:r w:rsidRPr="00CA4C60">
        <w:rPr>
          <w:rFonts w:ascii="Sylfaen" w:hAnsi="Sylfaen" w:cs="Times New Roman"/>
          <w:color w:val="212121"/>
          <w:sz w:val="24"/>
          <w:szCs w:val="24"/>
          <w:shd w:val="clear" w:color="auto" w:fill="FFFFFF"/>
        </w:rPr>
        <w:t>Figure 9 misses the description of the yellow line, whether one should look at the right axis or the left one.</w:t>
      </w:r>
    </w:p>
    <w:p w14:paraId="4028AD3A" w14:textId="764DCAEA" w:rsidR="007649C8" w:rsidRPr="00DD12D6" w:rsidRDefault="007649C8" w:rsidP="007649C8">
      <w:pPr>
        <w:pStyle w:val="ListParagraph"/>
        <w:numPr>
          <w:ilvl w:val="0"/>
          <w:numId w:val="3"/>
        </w:numPr>
        <w:jc w:val="both"/>
        <w:rPr>
          <w:rFonts w:ascii="Sylfaen" w:hAnsi="Sylfaen" w:cs="Times New Roman"/>
          <w:strike/>
          <w:color w:val="212121"/>
          <w:sz w:val="24"/>
          <w:szCs w:val="24"/>
          <w:shd w:val="clear" w:color="auto" w:fill="FFFFFF"/>
        </w:rPr>
      </w:pPr>
      <w:r w:rsidRPr="00DD12D6">
        <w:rPr>
          <w:rFonts w:ascii="Sylfaen" w:hAnsi="Sylfaen" w:cs="Times New Roman"/>
          <w:strike/>
          <w:color w:val="212121"/>
          <w:sz w:val="24"/>
          <w:szCs w:val="24"/>
          <w:shd w:val="clear" w:color="auto" w:fill="FFFFFF"/>
        </w:rPr>
        <w:t>In general, following the widely accepted structure—Introduction, Literature Review, Data, Methodology, Results, and Discussion/Robustness Checks—would significantly improve the paper's coherence and readability.</w:t>
      </w:r>
    </w:p>
    <w:p w14:paraId="4DA99FC7" w14:textId="571E34AB" w:rsidR="007649C8" w:rsidRPr="007649C8" w:rsidRDefault="007649C8" w:rsidP="007649C8">
      <w:pPr>
        <w:pStyle w:val="ListParagraph"/>
        <w:jc w:val="both"/>
        <w:rPr>
          <w:rFonts w:ascii="Sylfaen" w:hAnsi="Sylfaen"/>
          <w:sz w:val="24"/>
          <w:szCs w:val="24"/>
        </w:rPr>
      </w:pPr>
    </w:p>
    <w:p w14:paraId="25684A2A" w14:textId="52D0B370" w:rsidR="007649C8" w:rsidRPr="007649C8" w:rsidRDefault="007649C8" w:rsidP="00F17616">
      <w:pPr>
        <w:jc w:val="both"/>
        <w:rPr>
          <w:rFonts w:ascii="Sylfaen" w:hAnsi="Sylfaen"/>
          <w:b/>
          <w:bCs/>
          <w:sz w:val="24"/>
          <w:szCs w:val="24"/>
          <w:u w:val="single"/>
        </w:rPr>
      </w:pPr>
      <w:r w:rsidRPr="007649C8">
        <w:rPr>
          <w:rFonts w:ascii="Sylfaen" w:hAnsi="Sylfaen"/>
          <w:b/>
          <w:bCs/>
          <w:sz w:val="24"/>
          <w:szCs w:val="24"/>
          <w:u w:val="single"/>
        </w:rPr>
        <w:t>Methodological and Analytical Recommendations</w:t>
      </w:r>
    </w:p>
    <w:p w14:paraId="6C80B567" w14:textId="07F4B2C3" w:rsidR="002A70AA" w:rsidRDefault="002A70AA" w:rsidP="00B01D1B">
      <w:pPr>
        <w:pStyle w:val="ListParagraph"/>
        <w:numPr>
          <w:ilvl w:val="0"/>
          <w:numId w:val="2"/>
        </w:numPr>
        <w:jc w:val="both"/>
        <w:rPr>
          <w:rFonts w:ascii="Sylfaen" w:hAnsi="Sylfaen"/>
          <w:sz w:val="24"/>
          <w:szCs w:val="24"/>
        </w:rPr>
      </w:pPr>
      <w:r w:rsidRPr="007649C8">
        <w:rPr>
          <w:rFonts w:ascii="Sylfaen" w:hAnsi="Sylfaen"/>
          <w:sz w:val="24"/>
          <w:szCs w:val="24"/>
        </w:rPr>
        <w:t xml:space="preserve">Endogeneity poses a significant challenge in both panel and local regressions, as it can lead to either underestimating or overestimating the impact of policy measures, depending on the direction of the bias. </w:t>
      </w:r>
      <w:r w:rsidR="00F17616" w:rsidRPr="007649C8">
        <w:rPr>
          <w:rFonts w:ascii="Sylfaen" w:hAnsi="Sylfaen"/>
          <w:sz w:val="24"/>
          <w:szCs w:val="24"/>
        </w:rPr>
        <w:t>In your case, c</w:t>
      </w:r>
      <w:r w:rsidRPr="007649C8">
        <w:rPr>
          <w:rFonts w:ascii="Sylfaen" w:hAnsi="Sylfaen"/>
          <w:sz w:val="24"/>
          <w:szCs w:val="24"/>
        </w:rPr>
        <w:t xml:space="preserve">ommon approaches to addressing this issue fall into three main categories. Check the </w:t>
      </w:r>
      <w:hyperlink r:id="rId6" w:history="1">
        <w:r w:rsidRPr="007649C8">
          <w:rPr>
            <w:rStyle w:val="Hyperlink"/>
            <w:rFonts w:ascii="Sylfaen" w:hAnsi="Sylfaen"/>
            <w:sz w:val="24"/>
            <w:szCs w:val="24"/>
          </w:rPr>
          <w:t>ESRB (2024)</w:t>
        </w:r>
      </w:hyperlink>
      <w:r w:rsidRPr="007649C8">
        <w:rPr>
          <w:rFonts w:ascii="Sylfaen" w:hAnsi="Sylfaen"/>
          <w:sz w:val="24"/>
          <w:szCs w:val="24"/>
        </w:rPr>
        <w:t xml:space="preserve"> report which has a very nice review of the literature (page 21) that address</w:t>
      </w:r>
      <w:r w:rsidR="00F17616" w:rsidRPr="007649C8">
        <w:rPr>
          <w:rFonts w:ascii="Sylfaen" w:hAnsi="Sylfaen"/>
          <w:sz w:val="24"/>
          <w:szCs w:val="24"/>
        </w:rPr>
        <w:t>es</w:t>
      </w:r>
      <w:r w:rsidRPr="007649C8">
        <w:rPr>
          <w:rFonts w:ascii="Sylfaen" w:hAnsi="Sylfaen"/>
          <w:sz w:val="24"/>
          <w:szCs w:val="24"/>
        </w:rPr>
        <w:t xml:space="preserve"> the issue of endogeneity.</w:t>
      </w:r>
    </w:p>
    <w:p w14:paraId="20BC1FC3" w14:textId="086CAEEE" w:rsidR="002A70AA" w:rsidRDefault="002A70AA" w:rsidP="00B01D1B">
      <w:pPr>
        <w:pStyle w:val="ListParagraph"/>
        <w:numPr>
          <w:ilvl w:val="0"/>
          <w:numId w:val="2"/>
        </w:numPr>
        <w:jc w:val="both"/>
        <w:rPr>
          <w:rFonts w:ascii="Sylfaen" w:hAnsi="Sylfaen"/>
          <w:sz w:val="24"/>
          <w:szCs w:val="24"/>
        </w:rPr>
      </w:pPr>
      <w:r w:rsidRPr="007649C8">
        <w:rPr>
          <w:rFonts w:ascii="Sylfaen" w:hAnsi="Sylfaen"/>
          <w:sz w:val="24"/>
          <w:szCs w:val="24"/>
        </w:rPr>
        <w:t xml:space="preserve">Regarding the regression coefficients, it is unclear from the text whether the same control variables are used in both the panel and local regressions. To enable meaningful </w:t>
      </w:r>
      <w:r w:rsidRPr="007649C8">
        <w:rPr>
          <w:rFonts w:ascii="Sylfaen" w:hAnsi="Sylfaen"/>
          <w:sz w:val="24"/>
          <w:szCs w:val="24"/>
        </w:rPr>
        <w:lastRenderedPageBreak/>
        <w:t xml:space="preserve">comparisons, it is essential to apply the same set of controls in both approaches. </w:t>
      </w:r>
      <w:r w:rsidR="004374BC" w:rsidRPr="007649C8">
        <w:rPr>
          <w:rFonts w:ascii="Sylfaen" w:hAnsi="Sylfaen"/>
          <w:sz w:val="24"/>
          <w:szCs w:val="24"/>
        </w:rPr>
        <w:t xml:space="preserve">Additionally, it would be helpful to discuss the intuition behind the coefficients. For instance, what does a positive or negative coefficient for the interaction between FCI and </w:t>
      </w:r>
      <w:proofErr w:type="spellStart"/>
      <w:r w:rsidR="004374BC" w:rsidRPr="007649C8">
        <w:rPr>
          <w:rFonts w:ascii="Sylfaen" w:hAnsi="Sylfaen"/>
          <w:sz w:val="24"/>
          <w:szCs w:val="24"/>
        </w:rPr>
        <w:t>FCyl</w:t>
      </w:r>
      <w:proofErr w:type="spellEnd"/>
      <w:r w:rsidR="004374BC" w:rsidRPr="007649C8">
        <w:rPr>
          <w:rFonts w:ascii="Sylfaen" w:hAnsi="Sylfaen"/>
          <w:sz w:val="24"/>
          <w:szCs w:val="24"/>
        </w:rPr>
        <w:t xml:space="preserve"> imply? Similarly, what are the implications of a negative coefficient for the interaction between FCI and macroprudential policy, or between </w:t>
      </w:r>
      <w:proofErr w:type="spellStart"/>
      <w:r w:rsidR="004374BC" w:rsidRPr="007649C8">
        <w:rPr>
          <w:rFonts w:ascii="Sylfaen" w:hAnsi="Sylfaen"/>
          <w:sz w:val="24"/>
          <w:szCs w:val="24"/>
        </w:rPr>
        <w:t>FCyl</w:t>
      </w:r>
      <w:proofErr w:type="spellEnd"/>
      <w:r w:rsidR="004374BC" w:rsidRPr="007649C8">
        <w:rPr>
          <w:rFonts w:ascii="Sylfaen" w:hAnsi="Sylfaen"/>
          <w:sz w:val="24"/>
          <w:szCs w:val="24"/>
        </w:rPr>
        <w:t xml:space="preserve"> and macroprudential policy?</w:t>
      </w:r>
    </w:p>
    <w:p w14:paraId="7C59ECAB" w14:textId="77777777" w:rsidR="007649C8" w:rsidRPr="007649C8" w:rsidRDefault="007649C8" w:rsidP="007649C8">
      <w:pPr>
        <w:pStyle w:val="ListParagraph"/>
        <w:numPr>
          <w:ilvl w:val="0"/>
          <w:numId w:val="2"/>
        </w:numPr>
        <w:jc w:val="both"/>
        <w:rPr>
          <w:rFonts w:ascii="Sylfaen" w:hAnsi="Sylfaen"/>
          <w:sz w:val="24"/>
          <w:szCs w:val="24"/>
        </w:rPr>
      </w:pPr>
      <w:r w:rsidRPr="007649C8">
        <w:rPr>
          <w:rFonts w:ascii="Sylfaen" w:hAnsi="Sylfaen"/>
          <w:sz w:val="24"/>
          <w:szCs w:val="24"/>
        </w:rPr>
        <w:t>You treat policy measures (MPI) symmetrically, meaning all tightening and loosening actions are given equal weight regardless of their magnitude. We recommend incorporating the magnitude into the analysis, as it can be crucial in some cases. One approach is to calculate how many standard deviations the policy measures have shifted compared to the baseline, which would provide a more accurate reflection of their impact.</w:t>
      </w:r>
    </w:p>
    <w:p w14:paraId="3398D647" w14:textId="1753D9F4" w:rsidR="008D090D" w:rsidRPr="007649C8" w:rsidRDefault="0087086D" w:rsidP="00B01D1B">
      <w:pPr>
        <w:pStyle w:val="ListParagraph"/>
        <w:numPr>
          <w:ilvl w:val="0"/>
          <w:numId w:val="2"/>
        </w:numPr>
        <w:jc w:val="both"/>
        <w:rPr>
          <w:rFonts w:ascii="Sylfaen" w:hAnsi="Sylfaen"/>
          <w:sz w:val="24"/>
          <w:szCs w:val="24"/>
        </w:rPr>
      </w:pPr>
      <w:r w:rsidRPr="007649C8">
        <w:rPr>
          <w:rFonts w:ascii="Sylfaen" w:hAnsi="Sylfaen"/>
          <w:sz w:val="24"/>
          <w:szCs w:val="24"/>
        </w:rPr>
        <w:t>Figure 2 depicts the evolution of macroprudential policies in Armenia. It would be helpful to include a discussion on the 2007-2013 period, with a focus on the specific tools that led to the tightening of macroprudential measures during that time. Given that the graph accounts for reserve requirements, the absence of a net effect for 2014 is surprising, considering the significant increase in the reserve requirement rate for USD deposits at the end of that year. Additionally, since the 2014-2015 period is emphasized as a time of crisis linked to Russia, it would be relevant to discuss the macroprudential policies adopted by Armenia during this period to mitigate the negative spillovers from the Russian economic downturn.</w:t>
      </w:r>
    </w:p>
    <w:p w14:paraId="11E4FEEC" w14:textId="2AA1CC73" w:rsidR="0087086D" w:rsidRPr="007649C8" w:rsidRDefault="006825BC" w:rsidP="00B01D1B">
      <w:pPr>
        <w:pStyle w:val="ListParagraph"/>
        <w:numPr>
          <w:ilvl w:val="0"/>
          <w:numId w:val="2"/>
        </w:numPr>
        <w:jc w:val="both"/>
        <w:rPr>
          <w:rFonts w:ascii="Sylfaen" w:hAnsi="Sylfaen"/>
          <w:sz w:val="24"/>
          <w:szCs w:val="24"/>
        </w:rPr>
      </w:pPr>
      <w:r w:rsidRPr="007649C8">
        <w:rPr>
          <w:rFonts w:ascii="Sylfaen" w:hAnsi="Sylfaen"/>
          <w:sz w:val="24"/>
          <w:szCs w:val="24"/>
        </w:rPr>
        <w:t>Figure E22 shows the policy effects in Armenia during stable and crisis periods, while Figure E23 illustrates the policy effects across 41 countries during recovery and crisis periods. To facilitate a more meaningful comparison, it would be helpful to include three graphs for each sample, covering recovery, stable, and crisis periods. Alternatively, presenting the same set of graphs for both Armenia and the 41 countries would allow readers to more easily draw comparisons between the different phases.</w:t>
      </w:r>
    </w:p>
    <w:p w14:paraId="7DC0094D" w14:textId="35CD7A5D" w:rsidR="0046256D" w:rsidRDefault="00964732" w:rsidP="0046256D">
      <w:pPr>
        <w:pStyle w:val="ListParagraph"/>
        <w:numPr>
          <w:ilvl w:val="0"/>
          <w:numId w:val="2"/>
        </w:numPr>
        <w:jc w:val="both"/>
        <w:rPr>
          <w:rFonts w:ascii="Sylfaen" w:hAnsi="Sylfaen"/>
          <w:sz w:val="24"/>
          <w:szCs w:val="24"/>
        </w:rPr>
      </w:pPr>
      <w:r w:rsidRPr="007649C8">
        <w:rPr>
          <w:rFonts w:ascii="Sylfaen" w:hAnsi="Sylfaen"/>
          <w:sz w:val="24"/>
          <w:szCs w:val="24"/>
        </w:rPr>
        <w:t xml:space="preserve">In Figure 6, you present the distribution of GDP growth in Armenia conditional on systemic risks. To make this analysis clearer, it would be helpful to explain the methodology in more detail. What do you consider as indicators of systemic risks? Do you use a regression-based approach or another method to estimate the conditional distribution? Additionally, </w:t>
      </w:r>
      <w:r w:rsidR="00EE1D45" w:rsidRPr="007649C8">
        <w:rPr>
          <w:rFonts w:ascii="Sylfaen" w:hAnsi="Sylfaen"/>
          <w:sz w:val="24"/>
          <w:szCs w:val="24"/>
        </w:rPr>
        <w:t>you could</w:t>
      </w:r>
      <w:r w:rsidRPr="007649C8">
        <w:rPr>
          <w:rFonts w:ascii="Sylfaen" w:hAnsi="Sylfaen"/>
          <w:sz w:val="24"/>
          <w:szCs w:val="24"/>
        </w:rPr>
        <w:t xml:space="preserve"> clarify how you measure excessive credit growth used in the analysis.</w:t>
      </w:r>
    </w:p>
    <w:p w14:paraId="0C3E158E" w14:textId="7B98F716" w:rsidR="005D7F19" w:rsidRPr="0046256D" w:rsidRDefault="005D7F19" w:rsidP="0046256D">
      <w:pPr>
        <w:pStyle w:val="ListParagraph"/>
        <w:numPr>
          <w:ilvl w:val="0"/>
          <w:numId w:val="2"/>
        </w:numPr>
        <w:jc w:val="both"/>
        <w:rPr>
          <w:rFonts w:ascii="Sylfaen" w:hAnsi="Sylfaen"/>
          <w:sz w:val="24"/>
          <w:szCs w:val="24"/>
        </w:rPr>
      </w:pPr>
      <w:r w:rsidRPr="005D7F19">
        <w:rPr>
          <w:rFonts w:ascii="Sylfaen" w:hAnsi="Sylfaen"/>
          <w:sz w:val="24"/>
          <w:szCs w:val="24"/>
        </w:rPr>
        <w:t>Figure 11 shows how much each indicator contributed to different economic shocks. It would help to explain why some indicators were more important in one shock compared to another.</w:t>
      </w:r>
      <w:r>
        <w:rPr>
          <w:rFonts w:ascii="Sylfaen" w:hAnsi="Sylfaen"/>
          <w:sz w:val="24"/>
          <w:szCs w:val="24"/>
        </w:rPr>
        <w:t xml:space="preserve"> What were the driving factors?</w:t>
      </w:r>
    </w:p>
    <w:p w14:paraId="2BEB318D" w14:textId="26BB50F0" w:rsidR="00F17616" w:rsidRDefault="00904F93" w:rsidP="00F17616">
      <w:pPr>
        <w:pStyle w:val="ListParagraph"/>
        <w:numPr>
          <w:ilvl w:val="0"/>
          <w:numId w:val="2"/>
        </w:numPr>
        <w:jc w:val="both"/>
        <w:rPr>
          <w:rFonts w:ascii="Sylfaen" w:hAnsi="Sylfaen"/>
          <w:sz w:val="24"/>
          <w:szCs w:val="24"/>
        </w:rPr>
      </w:pPr>
      <w:r w:rsidRPr="007649C8">
        <w:rPr>
          <w:rFonts w:ascii="Sylfaen" w:hAnsi="Sylfaen"/>
          <w:sz w:val="24"/>
          <w:szCs w:val="24"/>
        </w:rPr>
        <w:t>Figure 12 includes countries that are very different from Armenia. We suggest that you include peer countries and then do the analysis.</w:t>
      </w:r>
    </w:p>
    <w:p w14:paraId="7C0E4808" w14:textId="4B74BD15" w:rsidR="005D7F19" w:rsidRPr="005D7F19" w:rsidRDefault="0046256D" w:rsidP="005D7F19">
      <w:pPr>
        <w:pStyle w:val="ListParagraph"/>
        <w:numPr>
          <w:ilvl w:val="0"/>
          <w:numId w:val="2"/>
        </w:numPr>
        <w:jc w:val="both"/>
        <w:rPr>
          <w:rFonts w:ascii="Sylfaen" w:hAnsi="Sylfaen"/>
          <w:sz w:val="24"/>
          <w:szCs w:val="24"/>
        </w:rPr>
      </w:pPr>
      <w:r>
        <w:rPr>
          <w:rFonts w:ascii="Sylfaen" w:hAnsi="Sylfaen"/>
          <w:sz w:val="24"/>
          <w:szCs w:val="24"/>
        </w:rPr>
        <w:t>The construction of the macroeconomic indicator suffers from the endogeneity problem too. We would suggest using dynamic models like VAR, SVAR to generate the MI variable.</w:t>
      </w:r>
    </w:p>
    <w:sectPr w:rsidR="005D7F19" w:rsidRPr="005D7F19" w:rsidSect="0046256D">
      <w:pgSz w:w="12240" w:h="15840"/>
      <w:pgMar w:top="90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35227"/>
    <w:multiLevelType w:val="hybridMultilevel"/>
    <w:tmpl w:val="ED1E3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64889"/>
    <w:multiLevelType w:val="hybridMultilevel"/>
    <w:tmpl w:val="8B50F4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3F53CF0"/>
    <w:multiLevelType w:val="hybridMultilevel"/>
    <w:tmpl w:val="E4C0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605560">
    <w:abstractNumId w:val="2"/>
  </w:num>
  <w:num w:numId="2" w16cid:durableId="2029140136">
    <w:abstractNumId w:val="1"/>
  </w:num>
  <w:num w:numId="3" w16cid:durableId="25443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0D"/>
    <w:rsid w:val="000707F4"/>
    <w:rsid w:val="00093FD5"/>
    <w:rsid w:val="000B3F2C"/>
    <w:rsid w:val="002A70AA"/>
    <w:rsid w:val="002F56B9"/>
    <w:rsid w:val="004374BC"/>
    <w:rsid w:val="0046256D"/>
    <w:rsid w:val="005D7F19"/>
    <w:rsid w:val="006825BC"/>
    <w:rsid w:val="00754B28"/>
    <w:rsid w:val="007649C8"/>
    <w:rsid w:val="007A6222"/>
    <w:rsid w:val="007E73EB"/>
    <w:rsid w:val="007F07F6"/>
    <w:rsid w:val="0087086D"/>
    <w:rsid w:val="008D090D"/>
    <w:rsid w:val="008D47C0"/>
    <w:rsid w:val="008E6839"/>
    <w:rsid w:val="00904F93"/>
    <w:rsid w:val="00964732"/>
    <w:rsid w:val="009F2DF0"/>
    <w:rsid w:val="00AD2723"/>
    <w:rsid w:val="00B01D1B"/>
    <w:rsid w:val="00B72A04"/>
    <w:rsid w:val="00CA4C60"/>
    <w:rsid w:val="00CC0EED"/>
    <w:rsid w:val="00CD613E"/>
    <w:rsid w:val="00D94002"/>
    <w:rsid w:val="00DD12D6"/>
    <w:rsid w:val="00EE1D45"/>
    <w:rsid w:val="00F17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731C8"/>
  <w15:chartTrackingRefBased/>
  <w15:docId w15:val="{176C86BD-C1D0-4DBC-BB52-881A6C1D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90D"/>
    <w:rPr>
      <w:rFonts w:eastAsiaTheme="majorEastAsia" w:cstheme="majorBidi"/>
      <w:color w:val="272727" w:themeColor="text1" w:themeTint="D8"/>
    </w:rPr>
  </w:style>
  <w:style w:type="paragraph" w:styleId="Title">
    <w:name w:val="Title"/>
    <w:basedOn w:val="Normal"/>
    <w:next w:val="Normal"/>
    <w:link w:val="TitleChar"/>
    <w:uiPriority w:val="10"/>
    <w:qFormat/>
    <w:rsid w:val="008D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90D"/>
    <w:pPr>
      <w:spacing w:before="160"/>
      <w:jc w:val="center"/>
    </w:pPr>
    <w:rPr>
      <w:i/>
      <w:iCs/>
      <w:color w:val="404040" w:themeColor="text1" w:themeTint="BF"/>
    </w:rPr>
  </w:style>
  <w:style w:type="character" w:customStyle="1" w:styleId="QuoteChar">
    <w:name w:val="Quote Char"/>
    <w:basedOn w:val="DefaultParagraphFont"/>
    <w:link w:val="Quote"/>
    <w:uiPriority w:val="29"/>
    <w:rsid w:val="008D090D"/>
    <w:rPr>
      <w:i/>
      <w:iCs/>
      <w:color w:val="404040" w:themeColor="text1" w:themeTint="BF"/>
    </w:rPr>
  </w:style>
  <w:style w:type="paragraph" w:styleId="ListParagraph">
    <w:name w:val="List Paragraph"/>
    <w:basedOn w:val="Normal"/>
    <w:uiPriority w:val="34"/>
    <w:qFormat/>
    <w:rsid w:val="008D090D"/>
    <w:pPr>
      <w:ind w:left="720"/>
      <w:contextualSpacing/>
    </w:pPr>
  </w:style>
  <w:style w:type="character" w:styleId="IntenseEmphasis">
    <w:name w:val="Intense Emphasis"/>
    <w:basedOn w:val="DefaultParagraphFont"/>
    <w:uiPriority w:val="21"/>
    <w:qFormat/>
    <w:rsid w:val="008D090D"/>
    <w:rPr>
      <w:i/>
      <w:iCs/>
      <w:color w:val="0F4761" w:themeColor="accent1" w:themeShade="BF"/>
    </w:rPr>
  </w:style>
  <w:style w:type="paragraph" w:styleId="IntenseQuote">
    <w:name w:val="Intense Quote"/>
    <w:basedOn w:val="Normal"/>
    <w:next w:val="Normal"/>
    <w:link w:val="IntenseQuoteChar"/>
    <w:uiPriority w:val="30"/>
    <w:qFormat/>
    <w:rsid w:val="008D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90D"/>
    <w:rPr>
      <w:i/>
      <w:iCs/>
      <w:color w:val="0F4761" w:themeColor="accent1" w:themeShade="BF"/>
    </w:rPr>
  </w:style>
  <w:style w:type="character" w:styleId="IntenseReference">
    <w:name w:val="Intense Reference"/>
    <w:basedOn w:val="DefaultParagraphFont"/>
    <w:uiPriority w:val="32"/>
    <w:qFormat/>
    <w:rsid w:val="008D090D"/>
    <w:rPr>
      <w:b/>
      <w:bCs/>
      <w:smallCaps/>
      <w:color w:val="0F4761" w:themeColor="accent1" w:themeShade="BF"/>
      <w:spacing w:val="5"/>
    </w:rPr>
  </w:style>
  <w:style w:type="paragraph" w:styleId="NormalWeb">
    <w:name w:val="Normal (Web)"/>
    <w:basedOn w:val="Normal"/>
    <w:uiPriority w:val="99"/>
    <w:semiHidden/>
    <w:unhideWhenUsed/>
    <w:rsid w:val="007F07F6"/>
    <w:rPr>
      <w:rFonts w:ascii="Times New Roman" w:hAnsi="Times New Roman" w:cs="Times New Roman"/>
      <w:sz w:val="24"/>
      <w:szCs w:val="24"/>
    </w:rPr>
  </w:style>
  <w:style w:type="character" w:styleId="Hyperlink">
    <w:name w:val="Hyperlink"/>
    <w:basedOn w:val="DefaultParagraphFont"/>
    <w:uiPriority w:val="99"/>
    <w:unhideWhenUsed/>
    <w:rsid w:val="002A70AA"/>
    <w:rPr>
      <w:color w:val="467886" w:themeColor="hyperlink"/>
      <w:u w:val="single"/>
    </w:rPr>
  </w:style>
  <w:style w:type="character" w:styleId="UnresolvedMention">
    <w:name w:val="Unresolved Mention"/>
    <w:basedOn w:val="DefaultParagraphFont"/>
    <w:uiPriority w:val="99"/>
    <w:semiHidden/>
    <w:unhideWhenUsed/>
    <w:rsid w:val="002A70AA"/>
    <w:rPr>
      <w:color w:val="605E5C"/>
      <w:shd w:val="clear" w:color="auto" w:fill="E1DFDD"/>
    </w:rPr>
  </w:style>
  <w:style w:type="character" w:styleId="FollowedHyperlink">
    <w:name w:val="FollowedHyperlink"/>
    <w:basedOn w:val="DefaultParagraphFont"/>
    <w:uiPriority w:val="99"/>
    <w:semiHidden/>
    <w:unhideWhenUsed/>
    <w:rsid w:val="00DD12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74297">
      <w:bodyDiv w:val="1"/>
      <w:marLeft w:val="0"/>
      <w:marRight w:val="0"/>
      <w:marTop w:val="0"/>
      <w:marBottom w:val="0"/>
      <w:divBdr>
        <w:top w:val="none" w:sz="0" w:space="0" w:color="auto"/>
        <w:left w:val="none" w:sz="0" w:space="0" w:color="auto"/>
        <w:bottom w:val="none" w:sz="0" w:space="0" w:color="auto"/>
        <w:right w:val="none" w:sz="0" w:space="0" w:color="auto"/>
      </w:divBdr>
    </w:div>
    <w:div w:id="197705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srb.europa.eu/pub/pdf/reports/esrb.macroprudentialstanceframework~bcfa385e4d.en.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13AF5-CE0D-470F-BE30-DBD8D826A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Shirkhanyan</dc:creator>
  <cp:keywords/>
  <dc:description/>
  <cp:lastModifiedBy>Victor Yerz</cp:lastModifiedBy>
  <cp:revision>8</cp:revision>
  <dcterms:created xsi:type="dcterms:W3CDTF">2024-10-21T05:55:00Z</dcterms:created>
  <dcterms:modified xsi:type="dcterms:W3CDTF">2025-01-09T11:28:00Z</dcterms:modified>
</cp:coreProperties>
</file>