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6E5F5" w14:textId="1733A899" w:rsidR="00646E21" w:rsidRPr="00452DF8" w:rsidRDefault="00452DF8" w:rsidP="00452DF8">
      <w:pPr>
        <w:pStyle w:val="Title"/>
        <w:rPr>
          <w:sz w:val="32"/>
          <w:szCs w:val="32"/>
        </w:rPr>
      </w:pPr>
      <w:r w:rsidRPr="00452DF8">
        <w:rPr>
          <w:sz w:val="32"/>
          <w:szCs w:val="32"/>
        </w:rPr>
        <w:t>Measuring the risk build</w:t>
      </w:r>
      <w:r w:rsidR="00C72312">
        <w:rPr>
          <w:sz w:val="32"/>
          <w:szCs w:val="32"/>
        </w:rPr>
        <w:t>-</w:t>
      </w:r>
      <w:r w:rsidRPr="00452DF8">
        <w:rPr>
          <w:sz w:val="32"/>
          <w:szCs w:val="32"/>
        </w:rPr>
        <w:t>up in Armenian financial system: A Growth-at-Risk approach</w:t>
      </w:r>
    </w:p>
    <w:p w14:paraId="0A3F5EB1" w14:textId="5752D4FF" w:rsidR="00676734" w:rsidRPr="008506FC" w:rsidRDefault="00452DF8" w:rsidP="002263C9">
      <w:pPr>
        <w:pStyle w:val="AuthorName"/>
        <w:rPr>
          <w:vertAlign w:val="superscript"/>
        </w:rPr>
      </w:pPr>
      <w:r>
        <w:t>Vladimir Yeghiazaryan</w:t>
      </w:r>
      <w:r w:rsidR="00676734" w:rsidRPr="008506FC">
        <w:rPr>
          <w:vertAlign w:val="superscript"/>
        </w:rPr>
        <w:t>a</w:t>
      </w:r>
      <w:r w:rsidR="00676734" w:rsidRPr="008506FC">
        <w:t xml:space="preserve">, </w:t>
      </w:r>
      <w:r w:rsidRPr="00452DF8">
        <w:t>Arthur Grigoryan</w:t>
      </w:r>
      <w:r w:rsidR="00676734" w:rsidRPr="008506FC">
        <w:rPr>
          <w:vertAlign w:val="superscript"/>
        </w:rPr>
        <w:t>b</w:t>
      </w:r>
    </w:p>
    <w:p w14:paraId="75C39D53" w14:textId="347CA340" w:rsidR="00676734" w:rsidRPr="008506FC" w:rsidRDefault="002D6AE0" w:rsidP="002263C9">
      <w:pPr>
        <w:pStyle w:val="AuthorAffiliation"/>
      </w:pPr>
      <w:r w:rsidRPr="008506FC">
        <w:rPr>
          <w:vertAlign w:val="superscript"/>
        </w:rPr>
        <w:t xml:space="preserve">a </w:t>
      </w:r>
      <w:r w:rsidR="00452DF8" w:rsidRPr="00452DF8">
        <w:t>Central Bank of Armenia</w:t>
      </w:r>
      <w:r w:rsidR="00EE4A38" w:rsidRPr="008506FC">
        <w:t xml:space="preserve">, </w:t>
      </w:r>
      <w:r w:rsidR="00452DF8">
        <w:t>Yerevan</w:t>
      </w:r>
      <w:r w:rsidR="00EE4A38" w:rsidRPr="008506FC">
        <w:t xml:space="preserve">, </w:t>
      </w:r>
      <w:r w:rsidR="00452DF8">
        <w:t>Armenia</w:t>
      </w:r>
      <w:r w:rsidR="00EE4A38" w:rsidRPr="008506FC">
        <w:t xml:space="preserve">, </w:t>
      </w:r>
      <w:r w:rsidR="00452DF8">
        <w:rPr>
          <w:rStyle w:val="AuthorEmailChar"/>
        </w:rPr>
        <w:t>v</w:t>
      </w:r>
      <w:r w:rsidR="00452DF8" w:rsidRPr="00452DF8">
        <w:rPr>
          <w:rStyle w:val="AuthorEmailChar"/>
        </w:rPr>
        <w:t>ladimir.</w:t>
      </w:r>
      <w:r w:rsidR="00452DF8">
        <w:rPr>
          <w:rStyle w:val="AuthorEmailChar"/>
        </w:rPr>
        <w:t>y</w:t>
      </w:r>
      <w:r w:rsidR="00452DF8" w:rsidRPr="00452DF8">
        <w:rPr>
          <w:rStyle w:val="AuthorEmailChar"/>
        </w:rPr>
        <w:t>eghiazaryan@cba.am</w:t>
      </w:r>
    </w:p>
    <w:p w14:paraId="2178EABB" w14:textId="112052C5" w:rsidR="00216CFA" w:rsidRPr="008506FC" w:rsidRDefault="002D6AE0" w:rsidP="00452DF8">
      <w:pPr>
        <w:pStyle w:val="AuthorAffiliation"/>
      </w:pPr>
      <w:r w:rsidRPr="008506FC">
        <w:rPr>
          <w:vertAlign w:val="superscript"/>
        </w:rPr>
        <w:t>b</w:t>
      </w:r>
      <w:r w:rsidRPr="008506FC">
        <w:t xml:space="preserve"> </w:t>
      </w:r>
      <w:r w:rsidR="00452DF8" w:rsidRPr="00452DF8">
        <w:t>Central Bank of Armenia</w:t>
      </w:r>
      <w:r w:rsidR="00216CFA" w:rsidRPr="008506FC">
        <w:t xml:space="preserve">, </w:t>
      </w:r>
      <w:r w:rsidR="00452DF8">
        <w:t>Yerevan</w:t>
      </w:r>
      <w:r w:rsidR="00216CFA" w:rsidRPr="008506FC">
        <w:t xml:space="preserve">, </w:t>
      </w:r>
      <w:r w:rsidR="00452DF8">
        <w:t>Armenia</w:t>
      </w:r>
      <w:r w:rsidR="00216CFA" w:rsidRPr="008506FC">
        <w:t>,</w:t>
      </w:r>
      <w:r w:rsidR="00216CFA" w:rsidRPr="00013ED9">
        <w:rPr>
          <w:rStyle w:val="AuthorEmailChar"/>
        </w:rPr>
        <w:t xml:space="preserve"> </w:t>
      </w:r>
      <w:r w:rsidR="00452DF8">
        <w:rPr>
          <w:rStyle w:val="AuthorEmailChar"/>
        </w:rPr>
        <w:t>a</w:t>
      </w:r>
      <w:r w:rsidR="00452DF8" w:rsidRPr="00452DF8">
        <w:rPr>
          <w:rStyle w:val="AuthorEmailChar"/>
        </w:rPr>
        <w:t>rthur.</w:t>
      </w:r>
      <w:r w:rsidR="00452DF8">
        <w:rPr>
          <w:rStyle w:val="AuthorEmailChar"/>
        </w:rPr>
        <w:t>g</w:t>
      </w:r>
      <w:r w:rsidR="00452DF8" w:rsidRPr="00452DF8">
        <w:rPr>
          <w:rStyle w:val="AuthorEmailChar"/>
        </w:rPr>
        <w:t>rigoryan@cba.am</w:t>
      </w:r>
    </w:p>
    <w:p w14:paraId="799703C2" w14:textId="77777777" w:rsidR="00291C99" w:rsidRPr="008506FC" w:rsidRDefault="00291C99" w:rsidP="002263C9">
      <w:pPr>
        <w:pStyle w:val="AuthorAffiliation"/>
      </w:pPr>
    </w:p>
    <w:p w14:paraId="67367779" w14:textId="00549672" w:rsidR="0082437C" w:rsidRPr="008506FC" w:rsidRDefault="0082437C" w:rsidP="002263C9">
      <w:pPr>
        <w:sectPr w:rsidR="0082437C" w:rsidRPr="008506FC" w:rsidSect="000734E0">
          <w:pgSz w:w="12240" w:h="15840" w:code="1"/>
          <w:pgMar w:top="1440" w:right="1440" w:bottom="1440" w:left="1440" w:header="720" w:footer="288" w:gutter="0"/>
          <w:cols w:space="720"/>
          <w:titlePg/>
          <w:docGrid w:linePitch="360"/>
        </w:sectPr>
      </w:pPr>
    </w:p>
    <w:p w14:paraId="2F92542B" w14:textId="1F4C1C13" w:rsidR="006B3F1F" w:rsidRPr="008506FC" w:rsidRDefault="006B3F1F" w:rsidP="002263C9">
      <w:pPr>
        <w:rPr>
          <w:b/>
        </w:rPr>
      </w:pPr>
      <w:r w:rsidRPr="008506FC">
        <w:rPr>
          <w:b/>
        </w:rPr>
        <w:t>A</w:t>
      </w:r>
      <w:r w:rsidR="002263C9" w:rsidRPr="008506FC">
        <w:rPr>
          <w:b/>
        </w:rPr>
        <w:t>bstract</w:t>
      </w:r>
    </w:p>
    <w:p w14:paraId="1BB3CF17" w14:textId="4ADD96E4" w:rsidR="006B3F1F" w:rsidRPr="008506FC" w:rsidRDefault="000A6C04" w:rsidP="003C7D81">
      <w:r w:rsidRPr="000A6C04">
        <w:t>In recent years macroprudential policy has been evolving, with the aim to more closely manage the build-up of cyclical vulnerabilities in the financial system. The materialization of financial stress can trigger downside risks for growth in the medium</w:t>
      </w:r>
      <w:r w:rsidR="003C0420">
        <w:t>-</w:t>
      </w:r>
      <w:r w:rsidRPr="000A6C04">
        <w:t xml:space="preserve">term, but the realization of these risks can be mitigated through the effective use of macroprudential tools. This paper aims to quantify these risks and the effects of macroprudential policy on them, through the use of empirical growth-at-risk (GaR) frameworks. It also aims to augment the process of decision-making by proposing methods for designing a policy rule for macroprudential policy. </w:t>
      </w:r>
      <w:r w:rsidR="001D2611">
        <w:t>This</w:t>
      </w:r>
      <w:r w:rsidRPr="000A6C04">
        <w:t xml:space="preserve"> rule shouldn't be viewed as </w:t>
      </w:r>
      <w:r w:rsidR="001D2611">
        <w:t xml:space="preserve">a </w:t>
      </w:r>
      <w:r w:rsidRPr="000A6C04">
        <w:t>binding constraint, but rather as guideline that could serve as a basis for preemptive action.</w:t>
      </w:r>
    </w:p>
    <w:p w14:paraId="5C1C542F" w14:textId="3F780F8A" w:rsidR="006B3F1F" w:rsidRPr="008506FC" w:rsidRDefault="002263C9" w:rsidP="002263C9">
      <w:pPr>
        <w:rPr>
          <w:b/>
        </w:rPr>
      </w:pPr>
      <w:r w:rsidRPr="008506FC">
        <w:rPr>
          <w:b/>
        </w:rPr>
        <w:t>Keywords</w:t>
      </w:r>
    </w:p>
    <w:p w14:paraId="09062D14" w14:textId="4B96A6F1" w:rsidR="00782A36" w:rsidRDefault="003C732D" w:rsidP="0054300D">
      <w:r>
        <w:t>growth-at-risk, s</w:t>
      </w:r>
      <w:r w:rsidRPr="003C732D">
        <w:t>ystemic risk</w:t>
      </w:r>
      <w:r>
        <w:t>, q</w:t>
      </w:r>
      <w:r w:rsidRPr="003C732D">
        <w:t>uantile regressions</w:t>
      </w:r>
      <w:r>
        <w:t>, m</w:t>
      </w:r>
      <w:r w:rsidRPr="003C732D">
        <w:t>acroprudential policy</w:t>
      </w:r>
      <w:r>
        <w:t xml:space="preserve">, </w:t>
      </w:r>
      <w:r w:rsidRPr="003C732D">
        <w:t>policy stance</w:t>
      </w:r>
    </w:p>
    <w:p w14:paraId="00043EC6" w14:textId="77777777" w:rsidR="00C31CEF" w:rsidRPr="00E06FBA" w:rsidRDefault="00C31CEF" w:rsidP="0054300D"/>
    <w:p w14:paraId="61D869FF" w14:textId="6E72765C" w:rsidR="00A6678D" w:rsidRPr="008506FC" w:rsidRDefault="004535A6" w:rsidP="002263C9">
      <w:pPr>
        <w:pStyle w:val="SectionHeading"/>
        <w:rPr>
          <w:rStyle w:val="TabletextChar"/>
          <w:szCs w:val="20"/>
        </w:rPr>
      </w:pPr>
      <w:r w:rsidRPr="008506FC">
        <w:t>Introduction</w:t>
      </w:r>
    </w:p>
    <w:p w14:paraId="0E5AF5FB" w14:textId="2F470003" w:rsidR="0016183A" w:rsidRDefault="002E607B" w:rsidP="00E40F8B">
      <w:r w:rsidRPr="0016183A">
        <w:t xml:space="preserve">In the span of 20 years, the Armenian economy has experienced four major crises and one positive economic upturn, all of which have been triggered by external shocks. Even though all of these are major events, the specific risks and propagation channels behind them are fundamentally different. In this paper, we quantify the systemic risks relevant to the Armenian financial system, </w:t>
      </w:r>
      <w:r w:rsidR="0016183A" w:rsidRPr="0016183A">
        <w:t>differentiating</w:t>
      </w:r>
      <w:r w:rsidRPr="0016183A">
        <w:t xml:space="preserve"> between various types of risks and </w:t>
      </w:r>
      <w:r w:rsidR="0016183A" w:rsidRPr="0016183A">
        <w:t>comparing</w:t>
      </w:r>
      <w:r w:rsidRPr="0016183A">
        <w:t xml:space="preserve"> the buildup and materialization of these risks before and during the major crises. </w:t>
      </w:r>
      <w:r w:rsidR="0016183A" w:rsidRPr="0016183A">
        <w:t>Additionally, we assess the</w:t>
      </w:r>
      <w:r w:rsidRPr="0016183A">
        <w:t xml:space="preserve"> impact of macroprudential policy on these risks and </w:t>
      </w:r>
      <w:r w:rsidR="0016183A">
        <w:t>propose</w:t>
      </w:r>
      <w:r w:rsidRPr="0016183A">
        <w:t xml:space="preserve"> a macroprudential policy rule that considers</w:t>
      </w:r>
      <w:r w:rsidR="0016183A">
        <w:t xml:space="preserve"> </w:t>
      </w:r>
      <w:r w:rsidRPr="0016183A">
        <w:t>both the risks and resilience of the Armenian financial system.</w:t>
      </w:r>
    </w:p>
    <w:p w14:paraId="367D1435" w14:textId="6C654FDA" w:rsidR="003E646E" w:rsidRDefault="00737544" w:rsidP="00674545">
      <w:pPr>
        <w:ind w:firstLine="284"/>
      </w:pPr>
      <w:r w:rsidRPr="00737544">
        <w:lastRenderedPageBreak/>
        <w:t>We distinguish between two types of systemic risks: financial vulnerability and financial stress.</w:t>
      </w:r>
      <w:r w:rsidR="003F3765">
        <w:t xml:space="preserve"> </w:t>
      </w:r>
      <w:r w:rsidR="003B5B69" w:rsidRPr="003B5B69">
        <w:t>To measure financial vulnerability, we use the Financial Cycle Index (FCyI)</w:t>
      </w:r>
      <w:r w:rsidR="002E746E">
        <w:t xml:space="preserve"> </w:t>
      </w:r>
      <w:sdt>
        <w:sdtPr>
          <w:id w:val="-1150128943"/>
          <w:citation/>
        </w:sdtPr>
        <w:sdtContent>
          <w:r w:rsidR="002E746E">
            <w:fldChar w:fldCharType="begin"/>
          </w:r>
          <w:r w:rsidR="002E746E">
            <w:instrText xml:space="preserve"> CITATION Hol12 \l 1033 </w:instrText>
          </w:r>
          <w:r w:rsidR="002E746E">
            <w:fldChar w:fldCharType="separate"/>
          </w:r>
          <w:r w:rsidR="00C8403C">
            <w:rPr>
              <w:noProof/>
            </w:rPr>
            <w:t>(Holló, Kremer, &amp; Lo Duca, 2012)</w:t>
          </w:r>
          <w:r w:rsidR="002E746E">
            <w:fldChar w:fldCharType="end"/>
          </w:r>
        </w:sdtContent>
      </w:sdt>
      <w:sdt>
        <w:sdtPr>
          <w:id w:val="1875962122"/>
          <w:citation/>
        </w:sdtPr>
        <w:sdtContent>
          <w:r w:rsidR="002E746E">
            <w:fldChar w:fldCharType="begin"/>
          </w:r>
          <w:r w:rsidR="002E746E">
            <w:instrText xml:space="preserve"> CITATION Pla14 \l 1033 </w:instrText>
          </w:r>
          <w:r w:rsidR="002E746E">
            <w:fldChar w:fldCharType="separate"/>
          </w:r>
          <w:r w:rsidR="00C8403C">
            <w:rPr>
              <w:noProof/>
            </w:rPr>
            <w:t xml:space="preserve"> (Plašil, Seidler, Hlaváč, &amp; Konečný, 2014)</w:t>
          </w:r>
          <w:r w:rsidR="002E746E">
            <w:fldChar w:fldCharType="end"/>
          </w:r>
        </w:sdtContent>
      </w:sdt>
      <w:r w:rsidR="003F3765">
        <w:t>.</w:t>
      </w:r>
      <w:r w:rsidR="00813F15">
        <w:t xml:space="preserve"> </w:t>
      </w:r>
      <w:r w:rsidR="003B5B69">
        <w:t>For financial stress</w:t>
      </w:r>
      <w:r w:rsidR="003F3765">
        <w:t xml:space="preserve">, we </w:t>
      </w:r>
      <w:r w:rsidR="003B5B69">
        <w:t xml:space="preserve">rely on </w:t>
      </w:r>
      <w:r w:rsidR="00813F15">
        <w:t xml:space="preserve">the </w:t>
      </w:r>
      <w:r w:rsidR="00813F15" w:rsidRPr="00813F15">
        <w:t>financial conditions index</w:t>
      </w:r>
      <w:r w:rsidR="00813F15">
        <w:t xml:space="preserve"> (FCI)</w:t>
      </w:r>
      <w:r w:rsidR="002E746E">
        <w:t xml:space="preserve"> </w:t>
      </w:r>
      <w:sdt>
        <w:sdtPr>
          <w:id w:val="-1233158311"/>
          <w:citation/>
        </w:sdtPr>
        <w:sdtContent>
          <w:r w:rsidR="002E746E">
            <w:fldChar w:fldCharType="begin"/>
          </w:r>
          <w:r w:rsidR="002E746E">
            <w:instrText xml:space="preserve"> CITATION Koo14 \l 1033 </w:instrText>
          </w:r>
          <w:r w:rsidR="002E746E">
            <w:fldChar w:fldCharType="separate"/>
          </w:r>
          <w:r w:rsidR="00C8403C">
            <w:rPr>
              <w:noProof/>
            </w:rPr>
            <w:t>(Koop &amp; Korobilis, 2014)</w:t>
          </w:r>
          <w:r w:rsidR="002E746E">
            <w:fldChar w:fldCharType="end"/>
          </w:r>
        </w:sdtContent>
      </w:sdt>
      <w:r w:rsidR="002E746E">
        <w:t xml:space="preserve">. </w:t>
      </w:r>
      <w:r w:rsidR="003F3765">
        <w:t>Finally, to</w:t>
      </w:r>
      <w:r w:rsidR="00EC2F47">
        <w:t xml:space="preserve"> estimate the effects of </w:t>
      </w:r>
      <w:r w:rsidR="00EC2F47" w:rsidRPr="000A6C04">
        <w:t>macroprudential policy</w:t>
      </w:r>
      <w:r w:rsidR="004F420A">
        <w:t>,</w:t>
      </w:r>
      <w:r w:rsidR="00EC2F47">
        <w:t xml:space="preserve"> the current </w:t>
      </w:r>
      <w:r w:rsidR="00EC2F47" w:rsidRPr="00EC2F47">
        <w:t>literature</w:t>
      </w:r>
      <w:r w:rsidR="00EC2F47">
        <w:t xml:space="preserve"> </w:t>
      </w:r>
      <w:sdt>
        <w:sdtPr>
          <w:id w:val="-1880778647"/>
          <w:citation/>
        </w:sdtPr>
        <w:sdtContent>
          <w:r w:rsidR="00EC2F47">
            <w:fldChar w:fldCharType="begin"/>
          </w:r>
          <w:r w:rsidR="00EC2F47">
            <w:instrText xml:space="preserve"> CITATION Alam19 \l 1033 </w:instrText>
          </w:r>
          <w:r w:rsidR="00EC2F47">
            <w:fldChar w:fldCharType="separate"/>
          </w:r>
          <w:r w:rsidR="00C8403C">
            <w:rPr>
              <w:noProof/>
            </w:rPr>
            <w:t>(Alam, et al., 2019)</w:t>
          </w:r>
          <w:r w:rsidR="00EC2F47">
            <w:fldChar w:fldCharType="end"/>
          </w:r>
        </w:sdtContent>
      </w:sdt>
      <w:r w:rsidR="00EC2F47">
        <w:t xml:space="preserve"> </w:t>
      </w:r>
      <w:sdt>
        <w:sdtPr>
          <w:id w:val="-1067107470"/>
          <w:citation/>
        </w:sdtPr>
        <w:sdtContent>
          <w:r w:rsidR="00EC2F47">
            <w:fldChar w:fldCharType="begin"/>
          </w:r>
          <w:r w:rsidR="00EC2F47">
            <w:instrText xml:space="preserve"> CITATION Galan \l 1033 </w:instrText>
          </w:r>
          <w:r w:rsidR="00EC2F47">
            <w:fldChar w:fldCharType="separate"/>
          </w:r>
          <w:r w:rsidR="00C8403C">
            <w:rPr>
              <w:noProof/>
            </w:rPr>
            <w:t>(Galán, 2020)</w:t>
          </w:r>
          <w:r w:rsidR="00EC2F47">
            <w:fldChar w:fldCharType="end"/>
          </w:r>
        </w:sdtContent>
      </w:sdt>
      <w:r w:rsidR="00EC2F47">
        <w:t xml:space="preserve"> </w:t>
      </w:r>
      <w:r w:rsidR="003B5B69">
        <w:t xml:space="preserve">suggests </w:t>
      </w:r>
      <w:r w:rsidR="00EC2F47" w:rsidRPr="00EC2F47">
        <w:t>construct</w:t>
      </w:r>
      <w:r w:rsidR="00EC2F47">
        <w:t>ing a</w:t>
      </w:r>
      <w:r w:rsidR="00F93478">
        <w:t xml:space="preserve"> </w:t>
      </w:r>
      <w:r w:rsidR="00F93478" w:rsidRPr="000A6C04">
        <w:t>macroprudential policy</w:t>
      </w:r>
      <w:r w:rsidR="00F93478">
        <w:t xml:space="preserve"> index (MPI) </w:t>
      </w:r>
      <w:r w:rsidR="003B5B69">
        <w:t>based on</w:t>
      </w:r>
      <w:r w:rsidR="00EC2F47">
        <w:t xml:space="preserve"> </w:t>
      </w:r>
      <w:r w:rsidR="004F420A">
        <w:t xml:space="preserve">the history and the macroprudential </w:t>
      </w:r>
      <w:r w:rsidR="004F420A" w:rsidRPr="004F420A">
        <w:t>stance</w:t>
      </w:r>
      <w:r w:rsidR="004F420A">
        <w:t xml:space="preserve"> of a country.</w:t>
      </w:r>
      <w:r w:rsidR="00674545">
        <w:t xml:space="preserve"> </w:t>
      </w:r>
    </w:p>
    <w:p w14:paraId="6921BB05" w14:textId="226012B8" w:rsidR="003F4602" w:rsidRDefault="00674545" w:rsidP="003E646E">
      <w:pPr>
        <w:ind w:firstLine="284"/>
      </w:pPr>
      <w:r>
        <w:t>However, as in many countries</w:t>
      </w:r>
      <w:r w:rsidR="004F420A">
        <w:t>, the data related to macroprudential policy in Armenian is quite limited</w:t>
      </w:r>
      <w:r w:rsidR="008060C8">
        <w:t>.</w:t>
      </w:r>
      <w:r>
        <w:t xml:space="preserve"> </w:t>
      </w:r>
      <w:r w:rsidR="001E29CB">
        <w:t>To address this, we estimate a panel quantile regression model, following a methodology similar to that of</w:t>
      </w:r>
      <w:r>
        <w:t xml:space="preserve"> </w:t>
      </w:r>
      <w:r w:rsidR="008060C8">
        <w:t>Galán (2020) and Aikman et al. (2019)</w:t>
      </w:r>
      <w:r w:rsidR="000B3003">
        <w:t xml:space="preserve"> as a </w:t>
      </w:r>
      <w:r w:rsidR="000B3003" w:rsidRPr="000B3003">
        <w:t>robustness check</w:t>
      </w:r>
      <w:r w:rsidR="008060C8">
        <w:t xml:space="preserve">. </w:t>
      </w:r>
      <w:r w:rsidR="0059269E">
        <w:t>W</w:t>
      </w:r>
      <w:r w:rsidR="008060C8">
        <w:t xml:space="preserve">e derive results for the effects of macroprudential policy on </w:t>
      </w:r>
      <w:r w:rsidR="004C33E8">
        <w:t xml:space="preserve">the distribution of </w:t>
      </w:r>
      <w:r w:rsidR="008060C8">
        <w:t xml:space="preserve">output growth. </w:t>
      </w:r>
      <w:r>
        <w:t xml:space="preserve">We focus on </w:t>
      </w:r>
      <w:r w:rsidR="003F4602" w:rsidRPr="003F4602">
        <w:t xml:space="preserve">output growth </w:t>
      </w:r>
      <w:r w:rsidR="004B1F17">
        <w:t xml:space="preserve">because it is closely related to the performance of the financial system and </w:t>
      </w:r>
      <w:r>
        <w:t xml:space="preserve">serves as a useful measure for </w:t>
      </w:r>
      <w:r w:rsidRPr="004B1F17">
        <w:t>quantifying</w:t>
      </w:r>
      <w:r>
        <w:t xml:space="preserve"> vulnerabilities and potential losses.</w:t>
      </w:r>
    </w:p>
    <w:p w14:paraId="563FE0BA" w14:textId="3BB168E8" w:rsidR="003B0677" w:rsidRDefault="008060C8" w:rsidP="003E646E">
      <w:pPr>
        <w:ind w:firstLine="284"/>
      </w:pPr>
      <w:r>
        <w:t>Next, we estimate a</w:t>
      </w:r>
      <w:r w:rsidR="004C33E8">
        <w:t xml:space="preserve"> similar, but</w:t>
      </w:r>
      <w:r>
        <w:t xml:space="preserve"> local </w:t>
      </w:r>
      <w:r w:rsidR="004B7570">
        <w:t xml:space="preserve">quantile regression </w:t>
      </w:r>
      <w:r>
        <w:t xml:space="preserve">model </w:t>
      </w:r>
      <w:r w:rsidR="004B7570">
        <w:t>for Armenia</w:t>
      </w:r>
      <w:r w:rsidR="0059269E">
        <w:t xml:space="preserve"> </w:t>
      </w:r>
      <w:r w:rsidR="004B7570">
        <w:t xml:space="preserve">including the limited macroprudential data. Finally, we </w:t>
      </w:r>
      <w:r w:rsidR="009B05BF">
        <w:t>compare</w:t>
      </w:r>
      <w:r w:rsidR="004B7570">
        <w:t xml:space="preserve"> the results from the panel model </w:t>
      </w:r>
      <w:r w:rsidR="009B05BF">
        <w:t>with</w:t>
      </w:r>
      <w:r w:rsidR="004B7570">
        <w:t xml:space="preserve"> the </w:t>
      </w:r>
      <w:r w:rsidR="004C33E8">
        <w:t>macroprudential policy</w:t>
      </w:r>
      <w:r w:rsidR="00E9479E">
        <w:t xml:space="preserve"> estimates </w:t>
      </w:r>
      <w:r w:rsidR="003F4602">
        <w:t xml:space="preserve">from </w:t>
      </w:r>
      <w:r w:rsidR="00E9479E">
        <w:t>the local model</w:t>
      </w:r>
      <w:r w:rsidR="004C33E8">
        <w:t>.</w:t>
      </w:r>
    </w:p>
    <w:p w14:paraId="7D50028E" w14:textId="2B01781E" w:rsidR="00180521" w:rsidRDefault="004D2DBC" w:rsidP="00180521">
      <w:pPr>
        <w:ind w:firstLine="284"/>
      </w:pPr>
      <w:r w:rsidRPr="004D2DBC">
        <w:t xml:space="preserve">According to the results, </w:t>
      </w:r>
      <w:r w:rsidR="006346B1" w:rsidRPr="006346B1">
        <w:t>financial vulnerabilities</w:t>
      </w:r>
      <w:r w:rsidRPr="004D2DBC">
        <w:t xml:space="preserve"> negatively affect the lower tail of the future GDP growth distribution, while </w:t>
      </w:r>
      <w:r w:rsidR="006346B1">
        <w:t>their</w:t>
      </w:r>
      <w:r w:rsidRPr="004D2DBC">
        <w:t xml:space="preserve"> impact on the median is either negative or insignificant.</w:t>
      </w:r>
      <w:r w:rsidR="000A0748">
        <w:t xml:space="preserve"> </w:t>
      </w:r>
      <w:r w:rsidR="00D63A78">
        <w:t xml:space="preserve">An increase in </w:t>
      </w:r>
      <w:r w:rsidR="006346B1">
        <w:t xml:space="preserve">the </w:t>
      </w:r>
      <w:r w:rsidR="006346B1" w:rsidRPr="003B5B69">
        <w:t>FCyI</w:t>
      </w:r>
      <w:r w:rsidR="006346B1">
        <w:t xml:space="preserve"> </w:t>
      </w:r>
      <w:r w:rsidR="00D63A78">
        <w:t xml:space="preserve">indicates higher </w:t>
      </w:r>
      <w:r w:rsidR="00D63A78" w:rsidRPr="00470ED8">
        <w:t>vulnerabilit</w:t>
      </w:r>
      <w:r w:rsidR="00D63A78">
        <w:t>ies</w:t>
      </w:r>
      <w:r>
        <w:t>;</w:t>
      </w:r>
      <w:r w:rsidR="00D63A78">
        <w:t xml:space="preserve"> t</w:t>
      </w:r>
      <w:r w:rsidR="00211004">
        <w:t xml:space="preserve">his relationship is best </w:t>
      </w:r>
      <w:r w:rsidR="00211004" w:rsidRPr="00211004">
        <w:t>characterized</w:t>
      </w:r>
      <w:r w:rsidR="00211004">
        <w:t xml:space="preserve"> by</w:t>
      </w:r>
      <w:r w:rsidR="00C31EB8">
        <w:t xml:space="preserve"> a</w:t>
      </w:r>
      <w:r w:rsidR="00211004">
        <w:t xml:space="preserve"> l</w:t>
      </w:r>
      <w:r w:rsidR="00211004" w:rsidRPr="00211004">
        <w:t>everaged bubble</w:t>
      </w:r>
      <w:r w:rsidR="00211004">
        <w:t xml:space="preserve"> </w:t>
      </w:r>
      <w:sdt>
        <w:sdtPr>
          <w:id w:val="-1408912909"/>
          <w:citation/>
        </w:sdtPr>
        <w:sdtContent>
          <w:r w:rsidR="000A0748">
            <w:fldChar w:fldCharType="begin"/>
          </w:r>
          <w:r w:rsidR="000A0748">
            <w:instrText xml:space="preserve"> CITATION Jor15 \l 1033 </w:instrText>
          </w:r>
          <w:r w:rsidR="000A0748">
            <w:fldChar w:fldCharType="separate"/>
          </w:r>
          <w:r w:rsidR="00C8403C">
            <w:rPr>
              <w:noProof/>
            </w:rPr>
            <w:t>(Jordà, Schularick, &amp; Taylor, 2015)</w:t>
          </w:r>
          <w:r w:rsidR="000A0748">
            <w:fldChar w:fldCharType="end"/>
          </w:r>
        </w:sdtContent>
      </w:sdt>
      <w:r w:rsidR="00211004">
        <w:t xml:space="preserve">, that may emerge from </w:t>
      </w:r>
      <w:r w:rsidR="00C31EB8">
        <w:t xml:space="preserve">positive </w:t>
      </w:r>
      <w:r w:rsidR="00211004" w:rsidRPr="00211004">
        <w:t>feedback</w:t>
      </w:r>
      <w:r w:rsidR="00211004">
        <w:t xml:space="preserve"> </w:t>
      </w:r>
      <w:r w:rsidR="00C31EB8">
        <w:t>loops between credit growth</w:t>
      </w:r>
      <w:r w:rsidR="00C31EB8" w:rsidRPr="00211004">
        <w:t xml:space="preserve"> </w:t>
      </w:r>
      <w:r w:rsidR="00C31EB8">
        <w:t xml:space="preserve">and asset prices, and </w:t>
      </w:r>
      <w:r w:rsidR="00211004" w:rsidRPr="00211004">
        <w:t>upon collapse</w:t>
      </w:r>
      <w:r w:rsidR="00211004">
        <w:t xml:space="preserve"> </w:t>
      </w:r>
      <w:r w:rsidR="00C31EB8">
        <w:t>create a</w:t>
      </w:r>
      <w:r w:rsidR="00211004">
        <w:t xml:space="preserve"> </w:t>
      </w:r>
      <w:r w:rsidR="00211004" w:rsidRPr="00211004">
        <w:t>severe</w:t>
      </w:r>
      <w:r w:rsidR="00211004">
        <w:t xml:space="preserve"> </w:t>
      </w:r>
      <w:r w:rsidR="00211004" w:rsidRPr="00211004">
        <w:t>recession</w:t>
      </w:r>
      <w:r w:rsidR="00211004">
        <w:t xml:space="preserve"> </w:t>
      </w:r>
      <w:r w:rsidR="00C31EB8">
        <w:t>with</w:t>
      </w:r>
      <w:r w:rsidR="00211004">
        <w:t xml:space="preserve"> </w:t>
      </w:r>
      <w:r w:rsidR="00211004" w:rsidRPr="00211004">
        <w:t>slower recover</w:t>
      </w:r>
      <w:r w:rsidR="00C31EB8">
        <w:t>y</w:t>
      </w:r>
      <w:r w:rsidR="00211004">
        <w:t>.</w:t>
      </w:r>
      <w:r w:rsidR="00180521">
        <w:t xml:space="preserve"> </w:t>
      </w:r>
      <w:r w:rsidR="00C31EB8">
        <w:t xml:space="preserve">Meanwhile, </w:t>
      </w:r>
      <w:r w:rsidR="00D63A78">
        <w:t>an</w:t>
      </w:r>
      <w:r w:rsidR="00C31EB8">
        <w:t xml:space="preserve"> </w:t>
      </w:r>
      <w:r w:rsidR="00D63A78">
        <w:t xml:space="preserve">increase in </w:t>
      </w:r>
      <w:r w:rsidR="00C31EB8">
        <w:t xml:space="preserve">FCI </w:t>
      </w:r>
      <w:r w:rsidRPr="004D2DBC">
        <w:t>reflects</w:t>
      </w:r>
      <w:r w:rsidR="00D63A78">
        <w:t xml:space="preserve"> higher </w:t>
      </w:r>
      <w:r w:rsidR="00D63A78" w:rsidRPr="00470ED8">
        <w:t>financial stress</w:t>
      </w:r>
      <w:r w:rsidR="00D63A78">
        <w:t xml:space="preserve">. The </w:t>
      </w:r>
      <w:r>
        <w:t>deterioration</w:t>
      </w:r>
      <w:r w:rsidR="00D63A78">
        <w:t xml:space="preserve"> of the financial conditions </w:t>
      </w:r>
      <w:r w:rsidRPr="004D2DBC">
        <w:t>has a negative effect on current GDP growth</w:t>
      </w:r>
      <w:r w:rsidR="00D63A78">
        <w:t xml:space="preserve">, while its effect on future growth </w:t>
      </w:r>
      <w:r>
        <w:t>is</w:t>
      </w:r>
      <w:r w:rsidR="00D63A78">
        <w:t xml:space="preserve"> </w:t>
      </w:r>
      <w:r w:rsidR="00180521">
        <w:t xml:space="preserve">either </w:t>
      </w:r>
      <w:r w:rsidR="00D63A78">
        <w:t>positive</w:t>
      </w:r>
      <w:r w:rsidR="00626221">
        <w:t xml:space="preserve"> </w:t>
      </w:r>
      <w:r w:rsidR="00180521">
        <w:t xml:space="preserve">or </w:t>
      </w:r>
      <w:r w:rsidR="00D63A78" w:rsidRPr="00D63A78">
        <w:t>insignificant</w:t>
      </w:r>
      <w:r w:rsidR="00180521">
        <w:t>.</w:t>
      </w:r>
    </w:p>
    <w:p w14:paraId="5D44B5BB" w14:textId="60180CF7" w:rsidR="00F03D8C" w:rsidRDefault="00D63A78" w:rsidP="00A04BF1">
      <w:pPr>
        <w:ind w:firstLine="284"/>
      </w:pPr>
      <w:r>
        <w:t xml:space="preserve">Finally, </w:t>
      </w:r>
      <w:r w:rsidR="00DB4E49">
        <w:t xml:space="preserve">macroprudential policy </w:t>
      </w:r>
      <w:r w:rsidR="00EE476F">
        <w:t>exhibits</w:t>
      </w:r>
      <w:r w:rsidR="00397361">
        <w:t xml:space="preserve"> nonlinear effects on the </w:t>
      </w:r>
      <w:r w:rsidR="003B0677">
        <w:t>short-term output growth distribution</w:t>
      </w:r>
      <w:r w:rsidR="00397361">
        <w:t xml:space="preserve">. The effects </w:t>
      </w:r>
      <w:r w:rsidR="003B0677">
        <w:t xml:space="preserve">are negative </w:t>
      </w:r>
      <w:r w:rsidR="00DB4E49">
        <w:t>on the median of the distribution</w:t>
      </w:r>
      <w:r w:rsidR="00760E83">
        <w:t xml:space="preserve">. </w:t>
      </w:r>
      <w:r w:rsidR="00EE476F">
        <w:t xml:space="preserve">For instance, when the </w:t>
      </w:r>
      <w:r w:rsidR="00760E83" w:rsidRPr="00760E83">
        <w:t>countercyclical capital buffer</w:t>
      </w:r>
      <w:r w:rsidR="00760E83">
        <w:t xml:space="preserve"> (CCyB</w:t>
      </w:r>
      <w:r w:rsidR="00EE476F">
        <w:t>) is tightened, stricter capital requirements are imposed on banks, leading to a reduction in the credit supply</w:t>
      </w:r>
      <w:r w:rsidR="00760E83">
        <w:t xml:space="preserve">. </w:t>
      </w:r>
      <w:r w:rsidR="00AD61E5">
        <w:t>This, in turn, leads to</w:t>
      </w:r>
      <w:r w:rsidR="00760E83">
        <w:t xml:space="preserve"> a decrease in consumption and investment, </w:t>
      </w:r>
      <w:r w:rsidR="00AD61E5">
        <w:t xml:space="preserve">thereby </w:t>
      </w:r>
      <w:r w:rsidR="000E77EE">
        <w:t>negatively affect</w:t>
      </w:r>
      <w:r w:rsidR="00AD61E5">
        <w:t>ing</w:t>
      </w:r>
      <w:r w:rsidR="000E77EE">
        <w:t xml:space="preserve"> short-term output growth.</w:t>
      </w:r>
      <w:r w:rsidR="00AD61E5">
        <w:t xml:space="preserve"> However, our findings also show</w:t>
      </w:r>
      <w:r w:rsidR="000E77EE">
        <w:t xml:space="preserve"> that macroprudential policy has positive effects on the tail of the</w:t>
      </w:r>
      <w:r w:rsidR="003B0677">
        <w:t xml:space="preserve"> </w:t>
      </w:r>
      <w:r w:rsidR="000E77EE">
        <w:t xml:space="preserve">distribution. </w:t>
      </w:r>
      <w:r w:rsidR="00AD61E5">
        <w:t xml:space="preserve">Continuing </w:t>
      </w:r>
      <w:r w:rsidR="00AA414E">
        <w:t xml:space="preserve">with the </w:t>
      </w:r>
      <w:r w:rsidR="00AD61E5">
        <w:t xml:space="preserve">example for </w:t>
      </w:r>
      <w:r w:rsidR="00AA414E">
        <w:t xml:space="preserve">CCyB, higher capital </w:t>
      </w:r>
      <w:r w:rsidR="00A11323">
        <w:t>enhances</w:t>
      </w:r>
      <w:r w:rsidR="00AA414E">
        <w:t xml:space="preserve"> the </w:t>
      </w:r>
      <w:r w:rsidR="00AA414E" w:rsidRPr="00AA414E">
        <w:t>resilience</w:t>
      </w:r>
      <w:r w:rsidR="00AA414E">
        <w:t xml:space="preserve"> of the banks and reduces potential </w:t>
      </w:r>
      <w:r w:rsidR="00D04C40">
        <w:t xml:space="preserve">losses </w:t>
      </w:r>
      <w:r w:rsidR="00A11323" w:rsidRPr="00A11323">
        <w:t xml:space="preserve">in the event of </w:t>
      </w:r>
      <w:r w:rsidR="00A11323" w:rsidRPr="00A11323">
        <w:lastRenderedPageBreak/>
        <w:t>tail risks</w:t>
      </w:r>
      <w:r w:rsidR="00AA414E">
        <w:t>.</w:t>
      </w:r>
      <w:r w:rsidR="00D04C40">
        <w:t xml:space="preserve"> </w:t>
      </w:r>
      <w:r w:rsidR="00AA414E" w:rsidRPr="00AA414E">
        <w:t>Jiménez</w:t>
      </w:r>
      <w:r w:rsidR="00AA414E">
        <w:t xml:space="preserve"> et al. (20</w:t>
      </w:r>
      <w:r w:rsidR="00397361">
        <w:t>17)</w:t>
      </w:r>
      <w:r w:rsidR="0038458B">
        <w:t>,</w:t>
      </w:r>
      <w:r w:rsidR="00397361">
        <w:t xml:space="preserve"> also find that an </w:t>
      </w:r>
      <w:r w:rsidR="00397361" w:rsidRPr="00397361">
        <w:t>increase in capital buffers</w:t>
      </w:r>
      <w:r w:rsidR="00397361">
        <w:t xml:space="preserve"> </w:t>
      </w:r>
      <w:r w:rsidR="00397361" w:rsidRPr="00397361">
        <w:t xml:space="preserve">extends credit to </w:t>
      </w:r>
      <w:r w:rsidR="003B0677" w:rsidRPr="003B0677">
        <w:t xml:space="preserve">firms </w:t>
      </w:r>
      <w:r w:rsidR="00397361">
        <w:t>and reduces the risk of insolvency.</w:t>
      </w:r>
      <w:r w:rsidR="003B0677">
        <w:t xml:space="preserve"> </w:t>
      </w:r>
      <w:r w:rsidR="00461773">
        <w:t xml:space="preserve">Our results are </w:t>
      </w:r>
      <w:r w:rsidR="0038458B" w:rsidRPr="0038458B">
        <w:t>consistent with the existing literature</w:t>
      </w:r>
      <w:r w:rsidR="0038458B">
        <w:t xml:space="preserve"> </w:t>
      </w:r>
      <w:sdt>
        <w:sdtPr>
          <w:id w:val="-1299219390"/>
          <w:citation/>
        </w:sdtPr>
        <w:sdtContent>
          <w:r w:rsidR="00D14E81">
            <w:fldChar w:fldCharType="begin"/>
          </w:r>
          <w:r w:rsidR="00D14E81">
            <w:instrText xml:space="preserve"> CITATION Galan \l 1033 </w:instrText>
          </w:r>
          <w:r w:rsidR="00D14E81">
            <w:fldChar w:fldCharType="separate"/>
          </w:r>
          <w:r w:rsidR="00C8403C">
            <w:rPr>
              <w:noProof/>
            </w:rPr>
            <w:t>(Galán, 2020)</w:t>
          </w:r>
          <w:r w:rsidR="00D14E81">
            <w:fldChar w:fldCharType="end"/>
          </w:r>
        </w:sdtContent>
      </w:sdt>
      <w:r w:rsidR="00CC0EBA">
        <w:t xml:space="preserve"> </w:t>
      </w:r>
      <w:r w:rsidR="00D14E81">
        <w:t xml:space="preserve">and support the theoretical </w:t>
      </w:r>
      <w:r w:rsidR="00CC0EBA" w:rsidRPr="00CC0EBA">
        <w:t>framework</w:t>
      </w:r>
      <w:r w:rsidR="00CC0EBA">
        <w:t xml:space="preserve"> </w:t>
      </w:r>
      <w:r w:rsidR="00D14E81">
        <w:t xml:space="preserve">where </w:t>
      </w:r>
      <w:r w:rsidR="00B07498">
        <w:t xml:space="preserve">macroprudential policy </w:t>
      </w:r>
      <w:r w:rsidR="00D14E81">
        <w:t xml:space="preserve">is facing a </w:t>
      </w:r>
      <w:r w:rsidR="00D14E81" w:rsidRPr="00D14E81">
        <w:t>trade-off</w:t>
      </w:r>
      <w:r w:rsidR="00D14E81">
        <w:t xml:space="preserve"> between </w:t>
      </w:r>
      <w:r w:rsidR="000A6C04">
        <w:t xml:space="preserve">short-term costs (a decline in </w:t>
      </w:r>
      <w:r w:rsidR="00D14E81">
        <w:t>output</w:t>
      </w:r>
      <w:r w:rsidR="000A6C04">
        <w:t xml:space="preserve">) </w:t>
      </w:r>
      <w:r w:rsidR="00D14E81">
        <w:t xml:space="preserve">and </w:t>
      </w:r>
      <w:r w:rsidR="000A6C04">
        <w:t xml:space="preserve">long-term benefits (reduction of risks captured by the shrinking tail of </w:t>
      </w:r>
      <w:r w:rsidR="00D14E81">
        <w:t>the</w:t>
      </w:r>
      <w:r w:rsidR="000A6C04">
        <w:t xml:space="preserve"> distribution)</w:t>
      </w:r>
      <w:r w:rsidR="00DB050A">
        <w:t>.</w:t>
      </w:r>
    </w:p>
    <w:p w14:paraId="42369FD8" w14:textId="3BD8190C" w:rsidR="00A037A7" w:rsidRDefault="00BD4343" w:rsidP="00EE476F">
      <w:pPr>
        <w:ind w:firstLine="284"/>
      </w:pPr>
      <w:r>
        <w:t>Using this framework, it is possible to perform conditional forecasts for the median and the tail</w:t>
      </w:r>
      <w:r w:rsidR="00F03D8C">
        <w:t xml:space="preserve"> </w:t>
      </w:r>
      <w:r>
        <w:t>of the GDP</w:t>
      </w:r>
      <w:r w:rsidR="00EE476F">
        <w:t xml:space="preserve"> growth </w:t>
      </w:r>
      <w:r w:rsidRPr="00BD4343">
        <w:t>distribution</w:t>
      </w:r>
      <w:r>
        <w:t xml:space="preserve">. We also </w:t>
      </w:r>
      <w:r w:rsidRPr="00BD4343">
        <w:t xml:space="preserve">refer to </w:t>
      </w:r>
      <w:r>
        <w:t xml:space="preserve">the difference between the median and tail as </w:t>
      </w:r>
      <w:r w:rsidR="00D04C40">
        <w:t>“</w:t>
      </w:r>
      <w:r>
        <w:t>distance-to-tail</w:t>
      </w:r>
      <w:r w:rsidR="00D04C40">
        <w:t>”</w:t>
      </w:r>
      <w:r>
        <w:t xml:space="preserve"> </w:t>
      </w:r>
      <w:r w:rsidR="00A04BF1">
        <w:t xml:space="preserve">or </w:t>
      </w:r>
      <w:r w:rsidR="00D04C40">
        <w:t>“</w:t>
      </w:r>
      <w:r>
        <w:t>Gap</w:t>
      </w:r>
      <w:r w:rsidR="00F03D8C">
        <w:t>.</w:t>
      </w:r>
      <w:r w:rsidR="00D04C40">
        <w:t>”</w:t>
      </w:r>
      <w:r w:rsidR="00EE476F">
        <w:t xml:space="preserve"> The conditional distance-to-tail </w:t>
      </w:r>
      <w:r w:rsidR="00D04C40">
        <w:t>serves as</w:t>
      </w:r>
      <w:r w:rsidR="00EE476F">
        <w:t xml:space="preserve"> a measure of the overall systemic risk in the economy stemming from </w:t>
      </w:r>
      <w:r w:rsidR="00EE476F" w:rsidRPr="00EE476F">
        <w:t>financial exposures</w:t>
      </w:r>
      <w:r w:rsidR="00EE476F">
        <w:t xml:space="preserve">. </w:t>
      </w:r>
      <w:r w:rsidR="00F03D8C">
        <w:t xml:space="preserve">By </w:t>
      </w:r>
      <w:r w:rsidR="00F03D8C" w:rsidRPr="00F03D8C">
        <w:t>tightening</w:t>
      </w:r>
      <w:r w:rsidR="00F03D8C">
        <w:t xml:space="preserve"> the MPI</w:t>
      </w:r>
      <w:r w:rsidR="00A04BF1">
        <w:t xml:space="preserve">, we </w:t>
      </w:r>
      <w:r w:rsidR="00F03D8C">
        <w:t xml:space="preserve">reduce the median, </w:t>
      </w:r>
      <w:r w:rsidR="00D04C40">
        <w:t>but the</w:t>
      </w:r>
      <w:r w:rsidR="00F03D8C">
        <w:t xml:space="preserve"> </w:t>
      </w:r>
      <w:r w:rsidR="00D04C40">
        <w:t xml:space="preserve">distance-to-tail </w:t>
      </w:r>
      <w:r w:rsidR="0021464F">
        <w:t xml:space="preserve">is </w:t>
      </w:r>
      <w:r w:rsidR="00D04C40">
        <w:t xml:space="preserve">also </w:t>
      </w:r>
      <w:r w:rsidR="0021464F">
        <w:t>reduced</w:t>
      </w:r>
      <w:r w:rsidR="00F03D8C">
        <w:t>.</w:t>
      </w:r>
      <w:r w:rsidR="00A04BF1">
        <w:t xml:space="preserve"> </w:t>
      </w:r>
      <w:r w:rsidR="00A037A7">
        <w:t xml:space="preserve">The benefits of this </w:t>
      </w:r>
      <w:r w:rsidR="00A037A7" w:rsidRPr="00D14E81">
        <w:t>trade-off</w:t>
      </w:r>
      <w:r w:rsidR="00A037A7">
        <w:t xml:space="preserve"> for the </w:t>
      </w:r>
      <w:r w:rsidR="00A037A7" w:rsidRPr="00A037A7">
        <w:t>policymaker</w:t>
      </w:r>
      <w:r w:rsidR="00A037A7">
        <w:t xml:space="preserve"> will depend on their definition of </w:t>
      </w:r>
      <w:r w:rsidR="00A037A7" w:rsidRPr="00A037A7">
        <w:t>welfare</w:t>
      </w:r>
      <w:r w:rsidR="00A037A7">
        <w:t>.</w:t>
      </w:r>
    </w:p>
    <w:p w14:paraId="215007B8" w14:textId="74494870" w:rsidR="00BD186F" w:rsidRDefault="008D45D4" w:rsidP="005F3FFC">
      <w:pPr>
        <w:ind w:firstLine="284"/>
      </w:pPr>
      <w:r>
        <w:t>In</w:t>
      </w:r>
      <w:r w:rsidR="00B7317F" w:rsidRPr="00B7317F">
        <w:t xml:space="preserve"> designing the policy rule,</w:t>
      </w:r>
      <w:r>
        <w:t xml:space="preserve"> </w:t>
      </w:r>
      <w:r w:rsidR="00B7317F">
        <w:t>two approaches</w:t>
      </w:r>
      <w:r>
        <w:t xml:space="preserve"> are considered</w:t>
      </w:r>
      <w:r w:rsidR="00B7317F">
        <w:t xml:space="preserve">: the distance-to-tail rule (ESRB, 2024) and the Suarez (2021) </w:t>
      </w:r>
      <w:r w:rsidR="00B7317F" w:rsidRPr="00A037A7">
        <w:t>welfare</w:t>
      </w:r>
      <w:r w:rsidR="00B7317F">
        <w:t xml:space="preserve"> function.</w:t>
      </w:r>
      <w:r w:rsidR="003E5F46">
        <w:t xml:space="preserve"> </w:t>
      </w:r>
      <w:r w:rsidR="00F02CB0">
        <w:t>The distance-to-tail rule focuses on systemic risks</w:t>
      </w:r>
      <w:r>
        <w:t xml:space="preserve">, </w:t>
      </w:r>
      <w:r w:rsidR="00F02CB0">
        <w:t>compar</w:t>
      </w:r>
      <w:r>
        <w:t>ing</w:t>
      </w:r>
      <w:r w:rsidR="00F02CB0">
        <w:t xml:space="preserve"> the estimated distance-to-tail values </w:t>
      </w:r>
      <w:r>
        <w:t xml:space="preserve">with </w:t>
      </w:r>
      <w:r w:rsidR="00F02CB0">
        <w:t xml:space="preserve">systemic thresholds </w:t>
      </w:r>
      <w:r>
        <w:t>derived from</w:t>
      </w:r>
      <w:r w:rsidR="00F02CB0">
        <w:t xml:space="preserve"> the quantiles of the historical series. </w:t>
      </w:r>
      <w:r w:rsidR="003E5F46">
        <w:t>The threshold</w:t>
      </w:r>
      <w:r w:rsidR="00F02CB0">
        <w:t>s</w:t>
      </w:r>
      <w:r w:rsidR="003E5F46">
        <w:t xml:space="preserve"> </w:t>
      </w:r>
      <w:r w:rsidR="001A33B8">
        <w:t xml:space="preserve">serve </w:t>
      </w:r>
      <w:r w:rsidR="003E5F46">
        <w:t xml:space="preserve">as an implicit measure </w:t>
      </w:r>
      <w:r>
        <w:t>of</w:t>
      </w:r>
      <w:r w:rsidR="00F02CB0">
        <w:t xml:space="preserve"> the </w:t>
      </w:r>
      <w:r w:rsidR="00F02CB0" w:rsidRPr="00F02CB0">
        <w:t>resilience</w:t>
      </w:r>
      <w:r w:rsidR="00F02CB0">
        <w:t xml:space="preserve"> of the financial system.</w:t>
      </w:r>
      <w:r w:rsidR="001A33B8">
        <w:t xml:space="preserve"> When the estimated distance-to-tail exceeds these thresholds, it indicates that systemic risks are underestimated, warranting a tightening of macroprudential policy.</w:t>
      </w:r>
      <w:r w:rsidR="008C2AE1">
        <w:t xml:space="preserve"> Meanwhile, </w:t>
      </w:r>
      <w:r w:rsidR="001A33B8">
        <w:t>the utility function is based on the welfare approach developed by Suarez (2021).</w:t>
      </w:r>
      <w:r w:rsidR="000A6C04">
        <w:t xml:space="preserve"> </w:t>
      </w:r>
      <w:r w:rsidR="00264A97">
        <w:t>For the policy rule</w:t>
      </w:r>
      <w:r>
        <w:t>,</w:t>
      </w:r>
      <w:r w:rsidR="00264A97" w:rsidRPr="00264A97">
        <w:t xml:space="preserve"> </w:t>
      </w:r>
      <w:r w:rsidR="00264A97">
        <w:t xml:space="preserve">Suarez (2021) proposes a simple </w:t>
      </w:r>
      <w:r w:rsidR="00D163F7" w:rsidRPr="00D163F7">
        <w:t xml:space="preserve">welfare </w:t>
      </w:r>
      <w:r w:rsidR="00264A97">
        <w:t>function derived from micro</w:t>
      </w:r>
      <w:r w:rsidR="00264A97" w:rsidRPr="00264A97">
        <w:t>foundations</w:t>
      </w:r>
      <w:r w:rsidR="001A33B8">
        <w:t xml:space="preserve">, </w:t>
      </w:r>
      <w:r w:rsidR="008C2AE1" w:rsidRPr="008C2AE1">
        <w:t>incorporat</w:t>
      </w:r>
      <w:r w:rsidR="001A33B8">
        <w:t xml:space="preserve">ing </w:t>
      </w:r>
      <w:r w:rsidR="008C2AE1">
        <w:t>both the median and distance-to-tail of the GDP growth distribution</w:t>
      </w:r>
      <w:r w:rsidR="001A33B8">
        <w:t>. This</w:t>
      </w:r>
      <w:r w:rsidR="008C2AE1">
        <w:t xml:space="preserve"> allow</w:t>
      </w:r>
      <w:r w:rsidR="001A33B8">
        <w:t>s</w:t>
      </w:r>
      <w:r w:rsidR="008C2AE1">
        <w:t xml:space="preserve"> us to capture the trade-off</w:t>
      </w:r>
      <w:r w:rsidR="001A33B8">
        <w:t>s</w:t>
      </w:r>
      <w:r w:rsidR="008C2AE1">
        <w:t xml:space="preserve"> that </w:t>
      </w:r>
      <w:r w:rsidR="008C2AE1" w:rsidRPr="00F02CB0">
        <w:t>macroprudential policy</w:t>
      </w:r>
      <w:r w:rsidR="008C2AE1">
        <w:t xml:space="preserve"> imposes. </w:t>
      </w:r>
      <w:r w:rsidR="005F3FFC">
        <w:t xml:space="preserve">If the long-term benefits </w:t>
      </w:r>
      <w:r w:rsidR="001A33B8">
        <w:t xml:space="preserve">outweigh </w:t>
      </w:r>
      <w:r w:rsidR="005F3FFC">
        <w:t xml:space="preserve">short-term costs, then the </w:t>
      </w:r>
      <w:r w:rsidR="005F3FFC" w:rsidRPr="00F02CB0">
        <w:t>policy</w:t>
      </w:r>
      <w:r w:rsidR="005F3FFC">
        <w:t xml:space="preserve"> should be </w:t>
      </w:r>
      <w:r w:rsidR="005F3FFC" w:rsidRPr="00F02CB0">
        <w:t>tightened</w:t>
      </w:r>
      <w:r w:rsidR="005F3FFC">
        <w:t xml:space="preserve">. </w:t>
      </w:r>
      <w:r w:rsidR="00264A97">
        <w:t xml:space="preserve">We use our </w:t>
      </w:r>
      <w:r w:rsidR="00264A97" w:rsidRPr="00264A97">
        <w:t>empirical</w:t>
      </w:r>
      <w:r w:rsidR="00264A97">
        <w:t xml:space="preserve"> framework alongside this </w:t>
      </w:r>
      <w:r w:rsidR="00264A97" w:rsidRPr="00264A97">
        <w:t>utility</w:t>
      </w:r>
      <w:r w:rsidR="00264A97">
        <w:t xml:space="preserve"> function to </w:t>
      </w:r>
      <w:r w:rsidR="00EA444F" w:rsidRPr="00EA444F">
        <w:t xml:space="preserve">determine </w:t>
      </w:r>
      <w:r w:rsidR="00264A97">
        <w:t>the “</w:t>
      </w:r>
      <w:r w:rsidR="00264A97" w:rsidRPr="00264A97">
        <w:t>optimal policy</w:t>
      </w:r>
      <w:r w:rsidR="00264A97">
        <w:t xml:space="preserve">.” </w:t>
      </w:r>
    </w:p>
    <w:p w14:paraId="02181F0D" w14:textId="4839F800" w:rsidR="00A43B7E" w:rsidRDefault="00FE26C6" w:rsidP="00490DEF">
      <w:pPr>
        <w:ind w:firstLine="284"/>
      </w:pPr>
      <w:r>
        <w:t xml:space="preserve">This paper makes several contributions to both academic research and policy development. First, it provides a comprehensive assessment of systemic risks in the Armenian financial system, offering insights into the specific vulnerabilities faced by small, open economies that are particularly sensitive to external shocks. Second, it employs both panel and localized models to measure the impact of macroprudential policy, </w:t>
      </w:r>
      <w:r w:rsidR="00A43B7E">
        <w:t>examining how different approaches can affect the results.</w:t>
      </w:r>
      <w:r>
        <w:t xml:space="preserve"> Finally, the paper presents a flexible framework and </w:t>
      </w:r>
      <w:r w:rsidR="00E500D6">
        <w:t xml:space="preserve">a </w:t>
      </w:r>
      <w:r>
        <w:t xml:space="preserve">set of </w:t>
      </w:r>
      <w:r w:rsidRPr="00FE26C6">
        <w:t>indicators</w:t>
      </w:r>
      <w:r>
        <w:t xml:space="preserve"> that are instrumental for macroprudential policy decision-making</w:t>
      </w:r>
      <w:r w:rsidR="00E500D6">
        <w:t xml:space="preserve"> and </w:t>
      </w:r>
      <w:r>
        <w:t xml:space="preserve">can be applied </w:t>
      </w:r>
      <w:r w:rsidR="00140C70">
        <w:t>to</w:t>
      </w:r>
      <w:r>
        <w:t xml:space="preserve"> other emerging economies.</w:t>
      </w:r>
      <w:r w:rsidR="00490DEF">
        <w:t xml:space="preserve"> </w:t>
      </w:r>
      <w:r w:rsidR="00A43B7E">
        <w:t>We have performed this analysis with a strong intention to use it in the policymaking procedure.</w:t>
      </w:r>
    </w:p>
    <w:p w14:paraId="2C1749D4" w14:textId="6B67362B" w:rsidR="004525E8" w:rsidRDefault="00BD186F" w:rsidP="008D4BB2">
      <w:pPr>
        <w:ind w:firstLine="284"/>
      </w:pPr>
      <w:r w:rsidRPr="00BD186F">
        <w:lastRenderedPageBreak/>
        <w:t xml:space="preserve">The </w:t>
      </w:r>
      <w:r>
        <w:t xml:space="preserve">rest of the </w:t>
      </w:r>
      <w:r w:rsidRPr="00BD186F">
        <w:t xml:space="preserve">paper has the following structure. </w:t>
      </w:r>
      <w:r w:rsidR="00634C20" w:rsidRPr="00634C20">
        <w:t>Section 2 provides an overview of systemic risks and the Growth-at-Risk (GaR) framework</w:t>
      </w:r>
      <w:r w:rsidR="00634C20">
        <w:t>.</w:t>
      </w:r>
      <w:r w:rsidR="00634C20" w:rsidRPr="00634C20">
        <w:t xml:space="preserve"> </w:t>
      </w:r>
      <w:r w:rsidR="00634C20">
        <w:t>Section 3 evaluates the role of macroprudential policy</w:t>
      </w:r>
      <w:r w:rsidR="008D4BB2">
        <w:t xml:space="preserve"> and its effects on both risks and </w:t>
      </w:r>
      <w:r w:rsidR="008D4BB2" w:rsidRPr="008D4BB2">
        <w:t>resilience</w:t>
      </w:r>
      <w:r w:rsidR="008D4BB2">
        <w:t xml:space="preserve">. </w:t>
      </w:r>
      <w:r w:rsidR="00634C20">
        <w:t>Section 4 introduces the methodological approach and describes the data used in the study.</w:t>
      </w:r>
      <w:r w:rsidRPr="00BD186F">
        <w:t xml:space="preserve"> We discuss and interpret </w:t>
      </w:r>
      <w:r>
        <w:t xml:space="preserve">the quantile regression </w:t>
      </w:r>
      <w:r w:rsidRPr="00BD186F">
        <w:t xml:space="preserve">results in Section </w:t>
      </w:r>
      <w:r w:rsidR="008D4BB2">
        <w:t>5</w:t>
      </w:r>
      <w:r w:rsidRPr="00BD186F">
        <w:t xml:space="preserve">. Section </w:t>
      </w:r>
      <w:r w:rsidR="008D4BB2">
        <w:t xml:space="preserve">6 will discuss the two </w:t>
      </w:r>
      <w:r w:rsidR="00634C20" w:rsidRPr="00634C20">
        <w:t>approach</w:t>
      </w:r>
      <w:r w:rsidR="00634C20">
        <w:t xml:space="preserve">es for the </w:t>
      </w:r>
      <w:r w:rsidR="00634C20" w:rsidRPr="00634C20">
        <w:t>macroprudential policy stance</w:t>
      </w:r>
      <w:r w:rsidR="00634C20">
        <w:t xml:space="preserve"> and their relevance for making informed policy decisions</w:t>
      </w:r>
      <w:r w:rsidR="00447621">
        <w:t xml:space="preserve">. </w:t>
      </w:r>
      <w:r w:rsidR="00526DFF">
        <w:t>Finally, Section 7 offers concluding remarks and discusses the broader policy implications of the framework.</w:t>
      </w:r>
    </w:p>
    <w:p w14:paraId="5F52223F" w14:textId="0CAAE5D1" w:rsidR="004525E8" w:rsidRDefault="004525E8" w:rsidP="004F1BA1">
      <w:pPr>
        <w:pStyle w:val="SectionHeading"/>
      </w:pPr>
      <w:r>
        <w:t>Systemic risks</w:t>
      </w:r>
    </w:p>
    <w:p w14:paraId="133F3E0C" w14:textId="30A943F6" w:rsidR="004525E8" w:rsidRDefault="004525E8" w:rsidP="004525E8">
      <w:pPr>
        <w:pStyle w:val="SectionHeading"/>
        <w:numPr>
          <w:ilvl w:val="1"/>
          <w:numId w:val="8"/>
        </w:numPr>
      </w:pPr>
      <w:r>
        <w:t>Growth-at-Risk framework</w:t>
      </w:r>
    </w:p>
    <w:p w14:paraId="2BCAF80D" w14:textId="55F435E2" w:rsidR="0060399E" w:rsidRDefault="00C97F50" w:rsidP="006B2921">
      <w:r>
        <w:t>The Growth-at-Risk (GaR) framework, drawing from the Value-at-Risk (VaR) concept in finance, links the probability and severity of negative economic outcomes to pre-existing financial vulnerabilities</w:t>
      </w:r>
      <w:r w:rsidRPr="00C97F50">
        <w:t xml:space="preserve"> </w:t>
      </w:r>
      <w:sdt>
        <w:sdtPr>
          <w:id w:val="1870252630"/>
          <w:citation/>
        </w:sdtPr>
        <w:sdtContent>
          <w:r w:rsidRPr="00CD53A0">
            <w:fldChar w:fldCharType="begin"/>
          </w:r>
          <w:r>
            <w:instrText xml:space="preserve">CITATION Pra19 \l 1033 </w:instrText>
          </w:r>
          <w:r w:rsidRPr="00CD53A0">
            <w:fldChar w:fldCharType="separate"/>
          </w:r>
          <w:r w:rsidR="00C8403C">
            <w:rPr>
              <w:noProof/>
            </w:rPr>
            <w:t>(Adrian, et al., 2019)</w:t>
          </w:r>
          <w:r w:rsidRPr="00CD53A0">
            <w:fldChar w:fldCharType="end"/>
          </w:r>
        </w:sdtContent>
      </w:sdt>
      <w:r>
        <w:t xml:space="preserve">. Essentially, GaR captures the time lag between the accumulation of systemic risks and </w:t>
      </w:r>
      <w:r w:rsidRPr="00CD53A0">
        <w:t>the materialization of losses</w:t>
      </w:r>
      <w:r>
        <w:t>.</w:t>
      </w:r>
      <w:r w:rsidR="0060399E">
        <w:t xml:space="preserve"> Unlike models focusing solely on expected outcomes, GaR accounts for the entire distribution of the future </w:t>
      </w:r>
      <w:r w:rsidR="0060399E" w:rsidRPr="00CD53A0">
        <w:t>output growth</w:t>
      </w:r>
      <w:r w:rsidR="0060399E">
        <w:t xml:space="preserve">, particularly the tail of the distribution </w:t>
      </w:r>
      <w:sdt>
        <w:sdtPr>
          <w:id w:val="492368759"/>
          <w:citation/>
        </w:sdtPr>
        <w:sdtContent>
          <w:r w:rsidR="0060399E" w:rsidRPr="00CD53A0">
            <w:fldChar w:fldCharType="begin"/>
          </w:r>
          <w:r w:rsidR="0060399E" w:rsidRPr="00CD53A0">
            <w:instrText xml:space="preserve"> CITATION Sza20 \l 1033 </w:instrText>
          </w:r>
          <w:r w:rsidR="0060399E" w:rsidRPr="00CD53A0">
            <w:fldChar w:fldCharType="separate"/>
          </w:r>
          <w:r w:rsidR="00C8403C">
            <w:rPr>
              <w:noProof/>
            </w:rPr>
            <w:t>(Szabo, 2020)</w:t>
          </w:r>
          <w:r w:rsidR="0060399E" w:rsidRPr="00CD53A0">
            <w:fldChar w:fldCharType="end"/>
          </w:r>
        </w:sdtContent>
      </w:sdt>
      <w:r w:rsidR="0060399E">
        <w:t xml:space="preserve">. This </w:t>
      </w:r>
      <w:r w:rsidR="0060399E" w:rsidRPr="00CD53A0">
        <w:t xml:space="preserve">approach </w:t>
      </w:r>
      <w:r w:rsidR="0060399E">
        <w:t>is crucial as systemic risks often behave non-linearly, especially during economic downturns.</w:t>
      </w:r>
    </w:p>
    <w:p w14:paraId="76F0DDD3" w14:textId="0583A022" w:rsidR="0053001A" w:rsidRDefault="00E35873" w:rsidP="0053001A">
      <w:pPr>
        <w:ind w:firstLine="284"/>
      </w:pPr>
      <w:r w:rsidRPr="00CD53A0">
        <w:t>For the policymaker</w:t>
      </w:r>
      <w:r w:rsidR="00C97F50">
        <w:t>,</w:t>
      </w:r>
      <w:r w:rsidRPr="00CD53A0">
        <w:t xml:space="preserve"> it is a practical means of differentiating and quantifying potential risk</w:t>
      </w:r>
      <w:r w:rsidR="00A94542" w:rsidRPr="00CD53A0">
        <w:t>s</w:t>
      </w:r>
      <w:r w:rsidRPr="00CD53A0">
        <w:t xml:space="preserve"> before they manifest. </w:t>
      </w:r>
      <w:r w:rsidR="0060399E" w:rsidRPr="0060399E">
        <w:t>In small open economies, for instance, external shocks propagate through the financial system</w:t>
      </w:r>
      <w:r w:rsidR="0060399E">
        <w:t xml:space="preserve"> more </w:t>
      </w:r>
      <w:r w:rsidR="0060399E" w:rsidRPr="0060399E">
        <w:t>aggressively, leading to amplified negative effects</w:t>
      </w:r>
      <w:r w:rsidR="0060399E">
        <w:t xml:space="preserve"> </w:t>
      </w:r>
      <w:r w:rsidR="0060399E" w:rsidRPr="0060399E">
        <w:t>(ESRB, 2021)</w:t>
      </w:r>
      <w:r w:rsidR="0060399E">
        <w:t xml:space="preserve">. </w:t>
      </w:r>
      <w:r w:rsidR="0060399E" w:rsidRPr="0060399E">
        <w:t>A case in point is Peru, where the impact of external shocks was found to be twice as large as that of internal factors, such as leverage</w:t>
      </w:r>
      <w:r w:rsidR="0060399E">
        <w:t xml:space="preserve"> </w:t>
      </w:r>
      <w:sdt>
        <w:sdtPr>
          <w:id w:val="-559403965"/>
          <w:citation/>
        </w:sdtPr>
        <w:sdtContent>
          <w:r w:rsidR="0060399E" w:rsidRPr="00CD53A0">
            <w:fldChar w:fldCharType="begin"/>
          </w:r>
          <w:r w:rsidR="0060399E">
            <w:instrText xml:space="preserve">CITATION Pra19 \l 1033 </w:instrText>
          </w:r>
          <w:r w:rsidR="0060399E" w:rsidRPr="00CD53A0">
            <w:fldChar w:fldCharType="separate"/>
          </w:r>
          <w:r w:rsidR="00C8403C">
            <w:rPr>
              <w:noProof/>
            </w:rPr>
            <w:t>(Adrian, et al., 2019)</w:t>
          </w:r>
          <w:r w:rsidR="0060399E" w:rsidRPr="00CD53A0">
            <w:fldChar w:fldCharType="end"/>
          </w:r>
        </w:sdtContent>
      </w:sdt>
      <w:r w:rsidR="0060399E">
        <w:t xml:space="preserve">. While macroprudential policies cannot prevent the occurrence or magnitude of these crises, they can mitigate their impact through countercyclical measures </w:t>
      </w:r>
      <w:r w:rsidR="0060399E" w:rsidRPr="0060399E">
        <w:t>(ESRB, 2021)</w:t>
      </w:r>
      <w:r w:rsidR="0060399E">
        <w:t>.</w:t>
      </w:r>
    </w:p>
    <w:p w14:paraId="6805247E" w14:textId="7AC885BD" w:rsidR="006412B4" w:rsidRDefault="00755F57" w:rsidP="001E5DEF">
      <w:pPr>
        <w:ind w:firstLine="284"/>
      </w:pPr>
      <w:r w:rsidRPr="00CD53A0">
        <w:t xml:space="preserve">In practice, </w:t>
      </w:r>
      <w:r w:rsidR="00CD53A0" w:rsidRPr="00CD53A0">
        <w:t xml:space="preserve">the </w:t>
      </w:r>
      <w:r w:rsidR="00CD53A0">
        <w:t xml:space="preserve">GaR framework </w:t>
      </w:r>
      <w:r w:rsidR="00585498">
        <w:t>has many variations.</w:t>
      </w:r>
      <w:r w:rsidR="001E5DEF">
        <w:t xml:space="preserve"> </w:t>
      </w:r>
      <w:r w:rsidR="003F49CB">
        <w:t xml:space="preserve">For instance, </w:t>
      </w:r>
      <w:r w:rsidR="009B1CF8">
        <w:rPr>
          <w:noProof/>
        </w:rPr>
        <w:t xml:space="preserve">Aikman, et al. (2019) </w:t>
      </w:r>
      <w:r w:rsidR="003F49CB">
        <w:t>employed</w:t>
      </w:r>
      <w:r w:rsidR="00355877">
        <w:rPr>
          <w:noProof/>
        </w:rPr>
        <w:t xml:space="preserve"> a panel quantile regression</w:t>
      </w:r>
      <w:r w:rsidR="003F49CB">
        <w:rPr>
          <w:noProof/>
        </w:rPr>
        <w:t>,</w:t>
      </w:r>
      <w:r w:rsidR="00355877">
        <w:rPr>
          <w:noProof/>
        </w:rPr>
        <w:t xml:space="preserve"> </w:t>
      </w:r>
      <w:r w:rsidR="003F49CB">
        <w:t>incorporating</w:t>
      </w:r>
      <w:r w:rsidR="00355877">
        <w:rPr>
          <w:noProof/>
        </w:rPr>
        <w:t xml:space="preserve"> variables </w:t>
      </w:r>
      <w:r w:rsidR="003F49CB">
        <w:t>like</w:t>
      </w:r>
      <w:r w:rsidR="00355877">
        <w:rPr>
          <w:noProof/>
        </w:rPr>
        <w:t xml:space="preserve"> credit-to-GDP growth, asset price </w:t>
      </w:r>
      <w:r w:rsidR="00355877" w:rsidRPr="00355877">
        <w:rPr>
          <w:noProof/>
        </w:rPr>
        <w:t>volatility</w:t>
      </w:r>
      <w:r w:rsidR="00355877">
        <w:rPr>
          <w:noProof/>
        </w:rPr>
        <w:t xml:space="preserve">, house price growth, current account </w:t>
      </w:r>
      <w:r w:rsidR="00355877">
        <w:t>deficit</w:t>
      </w:r>
      <w:r w:rsidR="001961E4">
        <w:t>,</w:t>
      </w:r>
      <w:r w:rsidR="00355877">
        <w:t xml:space="preserve"> and bank capital.</w:t>
      </w:r>
      <w:r w:rsidR="003F49CB">
        <w:t xml:space="preserve"> </w:t>
      </w:r>
      <w:r w:rsidR="003F4AA0">
        <w:rPr>
          <w:noProof/>
        </w:rPr>
        <w:t>Adrian, Boyarchenko</w:t>
      </w:r>
      <w:r w:rsidR="003F49CB">
        <w:rPr>
          <w:noProof/>
        </w:rPr>
        <w:t>,</w:t>
      </w:r>
      <w:r w:rsidR="003F4AA0">
        <w:rPr>
          <w:noProof/>
        </w:rPr>
        <w:t xml:space="preserve"> and Giannone (2019) </w:t>
      </w:r>
      <w:r w:rsidR="003F49CB">
        <w:t>took a different approach by</w:t>
      </w:r>
      <w:r w:rsidR="003F4AA0">
        <w:rPr>
          <w:noProof/>
        </w:rPr>
        <w:t xml:space="preserve"> using the </w:t>
      </w:r>
      <w:r w:rsidR="003F4AA0">
        <w:t xml:space="preserve">National Financial Conditions Index (NFCI), </w:t>
      </w:r>
      <w:r w:rsidR="003F49CB" w:rsidRPr="003F49CB">
        <w:t>a composite indicator of debt, equity, and money markets</w:t>
      </w:r>
      <w:r w:rsidR="003F4AA0">
        <w:t>. They also smooth out the estimated quantiles by interpolating between them using a skewed t-distribution.</w:t>
      </w:r>
      <w:r w:rsidR="007D5393">
        <w:t xml:space="preserve"> </w:t>
      </w:r>
      <w:r w:rsidR="006412B4">
        <w:t>Meanwhile</w:t>
      </w:r>
      <w:r w:rsidR="007D5393">
        <w:t xml:space="preserve">, </w:t>
      </w:r>
      <w:r w:rsidR="006D7C94">
        <w:rPr>
          <w:noProof/>
        </w:rPr>
        <w:t xml:space="preserve">Adrian, et al. (2019) construct multiple partitions </w:t>
      </w:r>
      <w:r w:rsidR="006D7C94" w:rsidRPr="006D7C94">
        <w:t xml:space="preserve">comprising </w:t>
      </w:r>
      <w:r w:rsidR="006412B4">
        <w:t xml:space="preserve">of </w:t>
      </w:r>
      <w:r w:rsidR="006D7C94">
        <w:t>three parts: the domestic price of risk</w:t>
      </w:r>
      <w:r w:rsidR="003F49CB">
        <w:t xml:space="preserve"> </w:t>
      </w:r>
      <w:r w:rsidR="006D7C94">
        <w:t>(reflects interest rate markets</w:t>
      </w:r>
      <w:r w:rsidR="006412B4">
        <w:t xml:space="preserve"> and financial conditions</w:t>
      </w:r>
      <w:r w:rsidR="006D7C94">
        <w:t>), leverage (measures credit growth</w:t>
      </w:r>
      <w:r w:rsidR="006412B4">
        <w:t xml:space="preserve"> and macrofinancial vulnerabilities</w:t>
      </w:r>
      <w:r w:rsidR="006D7C94">
        <w:t>)</w:t>
      </w:r>
      <w:r w:rsidR="003F49CB">
        <w:t>,</w:t>
      </w:r>
      <w:r w:rsidR="006D7C94">
        <w:t xml:space="preserve"> and external </w:t>
      </w:r>
      <w:r w:rsidR="006D7C94">
        <w:lastRenderedPageBreak/>
        <w:t xml:space="preserve">conditions (like commodity prices). According </w:t>
      </w:r>
      <w:r w:rsidR="003F49CB">
        <w:t xml:space="preserve">to </w:t>
      </w:r>
      <w:r w:rsidR="006D7C94">
        <w:t xml:space="preserve">the authors </w:t>
      </w:r>
      <w:sdt>
        <w:sdtPr>
          <w:id w:val="-886946254"/>
          <w:citation/>
        </w:sdtPr>
        <w:sdtContent>
          <w:r w:rsidR="006D7C94" w:rsidRPr="00CD53A0">
            <w:fldChar w:fldCharType="begin"/>
          </w:r>
          <w:r w:rsidR="006D7C94">
            <w:instrText xml:space="preserve">CITATION Pra19 \l 1033 </w:instrText>
          </w:r>
          <w:r w:rsidR="006D7C94" w:rsidRPr="00CD53A0">
            <w:fldChar w:fldCharType="separate"/>
          </w:r>
          <w:r w:rsidR="00C8403C">
            <w:rPr>
              <w:noProof/>
            </w:rPr>
            <w:t>(Adrian, et al., 2019)</w:t>
          </w:r>
          <w:r w:rsidR="006D7C94" w:rsidRPr="00CD53A0">
            <w:fldChar w:fldCharType="end"/>
          </w:r>
        </w:sdtContent>
      </w:sdt>
      <w:r w:rsidR="006412B4">
        <w:t>,</w:t>
      </w:r>
      <w:r w:rsidR="006D7C94">
        <w:t xml:space="preserve"> </w:t>
      </w:r>
      <w:r w:rsidR="006412B4">
        <w:t xml:space="preserve">the partitioning technique </w:t>
      </w:r>
      <w:r w:rsidR="006D7C94">
        <w:t xml:space="preserve">helps extract </w:t>
      </w:r>
      <w:r w:rsidR="001728AD">
        <w:t>common trends and remove idiosyncratic noise, which improves the quality of the quantile regressions.</w:t>
      </w:r>
    </w:p>
    <w:p w14:paraId="3975E15D" w14:textId="54CCD712" w:rsidR="00391CE0" w:rsidRDefault="00391CE0" w:rsidP="00391CE0">
      <w:pPr>
        <w:ind w:firstLine="284"/>
      </w:pPr>
      <w:r>
        <w:t xml:space="preserve">Similarly, </w:t>
      </w:r>
      <w:r w:rsidR="001728AD">
        <w:t>Galán (2020)</w:t>
      </w:r>
      <w:r>
        <w:t xml:space="preserve"> applied a panel quantile regression model using factors like the</w:t>
      </w:r>
      <w:r w:rsidR="001728AD">
        <w:t xml:space="preserve"> FCI </w:t>
      </w:r>
      <w:sdt>
        <w:sdtPr>
          <w:id w:val="-402761712"/>
          <w:citation/>
        </w:sdtPr>
        <w:sdtContent>
          <w:r w:rsidR="001728AD">
            <w:fldChar w:fldCharType="begin"/>
          </w:r>
          <w:r w:rsidR="001728AD">
            <w:instrText xml:space="preserve"> CITATION Koo14 \l 1033 </w:instrText>
          </w:r>
          <w:r w:rsidR="001728AD">
            <w:fldChar w:fldCharType="separate"/>
          </w:r>
          <w:r w:rsidR="00C8403C">
            <w:rPr>
              <w:noProof/>
            </w:rPr>
            <w:t>(Koop &amp; Korobilis, 2014)</w:t>
          </w:r>
          <w:r w:rsidR="001728AD">
            <w:fldChar w:fldCharType="end"/>
          </w:r>
        </w:sdtContent>
      </w:sdt>
      <w:r w:rsidR="001728AD">
        <w:t>, credit-to-GDP growth, house prices and the MPI.</w:t>
      </w:r>
      <w:r>
        <w:t xml:space="preserve"> Galán’s (2020) model diverges from </w:t>
      </w:r>
      <w:r w:rsidRPr="00391CE0">
        <w:t xml:space="preserve">Adrian, </w:t>
      </w:r>
      <w:proofErr w:type="spellStart"/>
      <w:r w:rsidRPr="00391CE0">
        <w:t>Boyarchenko</w:t>
      </w:r>
      <w:proofErr w:type="spellEnd"/>
      <w:r w:rsidRPr="00391CE0">
        <w:t>, and Giannone</w:t>
      </w:r>
      <w:r>
        <w:t xml:space="preserve"> (2019) </w:t>
      </w:r>
      <w:r w:rsidRPr="00391CE0">
        <w:t>by employing a kernel-based non-parametric method to interpolate between</w:t>
      </w:r>
      <w:r>
        <w:t xml:space="preserve"> </w:t>
      </w:r>
      <w:r w:rsidRPr="00391CE0">
        <w:t>quantiles, allowing for greater flexibility.</w:t>
      </w:r>
      <w:r>
        <w:t xml:space="preserve"> </w:t>
      </w:r>
      <w:r w:rsidR="00692F7A">
        <w:t>Galán</w:t>
      </w:r>
      <w:r>
        <w:t xml:space="preserve"> (2020) also </w:t>
      </w:r>
      <w:r w:rsidRPr="00391CE0">
        <w:t>emphasize</w:t>
      </w:r>
      <w:r w:rsidR="00692F7A">
        <w:t>s</w:t>
      </w:r>
      <w:r w:rsidRPr="00391CE0">
        <w:t xml:space="preserve"> the role of macroprudential policy, considering its effects across different phases of the financial cycle.</w:t>
      </w:r>
    </w:p>
    <w:p w14:paraId="790BACF7" w14:textId="4E33EA27" w:rsidR="008036BC" w:rsidRDefault="00FE5DCC" w:rsidP="008036BC">
      <w:pPr>
        <w:ind w:firstLine="284"/>
      </w:pPr>
      <w:r>
        <w:t>Compared to the other authors, Szabo (2020) proposes a Bayesian quantile regression</w:t>
      </w:r>
      <w:r w:rsidR="008036BC">
        <w:t xml:space="preserve"> model,</w:t>
      </w:r>
      <w:r>
        <w:t xml:space="preserve"> which</w:t>
      </w:r>
      <w:r w:rsidR="008036BC">
        <w:t xml:space="preserve"> addresses overfitting and enhances out-of-sample forecasting</w:t>
      </w:r>
      <w:r w:rsidR="000B589C">
        <w:t>.</w:t>
      </w:r>
      <w:r w:rsidR="008036BC">
        <w:t xml:space="preserve"> </w:t>
      </w:r>
      <w:r w:rsidR="000B589C">
        <w:t xml:space="preserve">They also use “system priors” to make the model more consistent with the official GDP projections. </w:t>
      </w:r>
      <w:r w:rsidR="008036BC" w:rsidRPr="008036BC">
        <w:t>Focusing on systemic risks, Szabo (2020) utilized</w:t>
      </w:r>
      <w:r w:rsidR="008036BC">
        <w:t xml:space="preserve"> variables such as </w:t>
      </w:r>
      <w:r w:rsidR="000B589C">
        <w:t>the financial cycle indicator (</w:t>
      </w:r>
      <w:r w:rsidR="000B589C" w:rsidRPr="000B589C">
        <w:t>equivalent</w:t>
      </w:r>
      <w:r w:rsidR="000B589C">
        <w:t xml:space="preserve"> to FCyI), the banking prudence indicator (BPI), the financial stress index (CISS)</w:t>
      </w:r>
      <w:r w:rsidR="003F49CB">
        <w:t>,</w:t>
      </w:r>
      <w:r w:rsidR="000B589C">
        <w:t xml:space="preserve"> and the global uncertainty index (GEPU).</w:t>
      </w:r>
    </w:p>
    <w:p w14:paraId="7A59E91B" w14:textId="2B7D1333" w:rsidR="00540BD6" w:rsidRDefault="000B589C" w:rsidP="00540BD6">
      <w:pPr>
        <w:ind w:firstLine="284"/>
      </w:pPr>
      <w:r>
        <w:t>Finally, the report</w:t>
      </w:r>
      <w:r w:rsidR="00011694">
        <w:t>s</w:t>
      </w:r>
      <w:r>
        <w:t xml:space="preserve"> by the European Systemic Risk Board (ESRB) </w:t>
      </w:r>
      <w:r w:rsidR="00011694">
        <w:t xml:space="preserve">(2021, 2024) </w:t>
      </w:r>
      <w:r>
        <w:t xml:space="preserve">cover the GaR framework quite </w:t>
      </w:r>
      <w:r w:rsidR="00011694" w:rsidRPr="00011694">
        <w:t>extensively</w:t>
      </w:r>
      <w:r w:rsidR="00011694">
        <w:t xml:space="preserve">. They decompose systemic risks into </w:t>
      </w:r>
      <w:r w:rsidR="00011694" w:rsidRPr="00011694">
        <w:t>financial vulnerabilit</w:t>
      </w:r>
      <w:r w:rsidR="00011694">
        <w:t xml:space="preserve">ies and </w:t>
      </w:r>
      <w:r w:rsidR="00011694" w:rsidRPr="00011694">
        <w:t>financial</w:t>
      </w:r>
      <w:r w:rsidR="00011694">
        <w:t xml:space="preserve"> stress. </w:t>
      </w:r>
      <w:r w:rsidR="00540BD6">
        <w:t>T</w:t>
      </w:r>
      <w:r w:rsidR="00011694">
        <w:t>he framework also include</w:t>
      </w:r>
      <w:r w:rsidR="00540BD6">
        <w:t>s</w:t>
      </w:r>
      <w:r w:rsidR="00011694">
        <w:t xml:space="preserve"> structural factors, specifically related to the financial sector, control variables and the MPI. Using a panel quantile regression, they compare the performance of different indices for </w:t>
      </w:r>
      <w:r w:rsidR="00540BD6">
        <w:t>assessing</w:t>
      </w:r>
      <w:r w:rsidR="00011694">
        <w:t xml:space="preserve"> the systemic risks. Lastly, they compare the systemic risks </w:t>
      </w:r>
      <w:r w:rsidR="00585498">
        <w:t xml:space="preserve">across the </w:t>
      </w:r>
      <w:r w:rsidR="00585498" w:rsidRPr="00585498">
        <w:t>European countries</w:t>
      </w:r>
      <w:r w:rsidR="00585498">
        <w:t xml:space="preserve"> and discuss the</w:t>
      </w:r>
      <w:r w:rsidR="00540BD6">
        <w:t xml:space="preserve">ir relevance in the </w:t>
      </w:r>
      <w:r w:rsidR="00585498">
        <w:t xml:space="preserve">current </w:t>
      </w:r>
      <w:r w:rsidR="00585498" w:rsidRPr="00585498">
        <w:t>macroprudential stance</w:t>
      </w:r>
      <w:r w:rsidR="00585498">
        <w:t>.</w:t>
      </w:r>
    </w:p>
    <w:p w14:paraId="645A8344" w14:textId="4682F65A" w:rsidR="00EB1924" w:rsidRDefault="00025EA8" w:rsidP="00025EA8">
      <w:pPr>
        <w:ind w:firstLine="284"/>
      </w:pPr>
      <w:r w:rsidRPr="00025EA8">
        <w:t>Building on the insights from the literature, we employ both panel and localized quantile regressions in our analysis.</w:t>
      </w:r>
      <w:r w:rsidR="00D448CF">
        <w:t xml:space="preserve"> </w:t>
      </w:r>
      <w:r>
        <w:t xml:space="preserve">We focus on key risk indicators such as financial vulnerabilities and financial stress, supplemented by structural variables like the capital adequacy ratio (CAR) and the liquidity ratio (HQLA/Assets). </w:t>
      </w:r>
      <w:r w:rsidR="00D448CF">
        <w:t xml:space="preserve">Since Armenia is a small open economy, we also </w:t>
      </w:r>
      <w:r>
        <w:t>incorporate</w:t>
      </w:r>
      <w:r w:rsidR="00D448CF">
        <w:t xml:space="preserve"> the </w:t>
      </w:r>
      <w:r w:rsidR="00D448CF" w:rsidRPr="00B13567">
        <w:t>macroeconomic indicator</w:t>
      </w:r>
      <w:r w:rsidR="00D448CF">
        <w:t xml:space="preserve"> (MI) </w:t>
      </w:r>
      <w:r>
        <w:t>to account for the impact of external shocks.</w:t>
      </w:r>
      <w:r w:rsidR="00D448CF">
        <w:t xml:space="preserve"> After estimating conditional quantiles</w:t>
      </w:r>
      <w:r w:rsidR="003539AD">
        <w:t>,</w:t>
      </w:r>
      <w:r w:rsidR="00D448CF">
        <w:t xml:space="preserve"> we interpolate </w:t>
      </w:r>
      <w:r w:rsidR="003539AD">
        <w:t xml:space="preserve">between </w:t>
      </w:r>
      <w:r w:rsidR="00D448CF">
        <w:t xml:space="preserve">them using both </w:t>
      </w:r>
      <w:r w:rsidR="003539AD" w:rsidRPr="003539AD">
        <w:t>parametric</w:t>
      </w:r>
      <w:r w:rsidR="003539AD">
        <w:t xml:space="preserve"> and </w:t>
      </w:r>
      <w:r w:rsidR="003539AD" w:rsidRPr="003539AD">
        <w:t>non</w:t>
      </w:r>
      <w:r w:rsidR="003539AD">
        <w:t>-</w:t>
      </w:r>
      <w:r w:rsidR="003539AD" w:rsidRPr="003539AD">
        <w:t>parametric</w:t>
      </w:r>
      <w:r w:rsidR="003539AD">
        <w:t xml:space="preserve"> methods. Finally, for deriving the macroprudential stance we use the distance-to-tail metric (ESRB, 2024), but also exten</w:t>
      </w:r>
      <w:r w:rsidR="00A078D8">
        <w:t>d</w:t>
      </w:r>
      <w:r w:rsidR="003539AD">
        <w:t xml:space="preserve"> that with the work of Suarez (2021).</w:t>
      </w:r>
    </w:p>
    <w:p w14:paraId="7A17DAF2" w14:textId="1EFC3D4B" w:rsidR="004525E8" w:rsidRDefault="004525E8" w:rsidP="004525E8">
      <w:pPr>
        <w:pStyle w:val="SectionHeading"/>
        <w:numPr>
          <w:ilvl w:val="1"/>
          <w:numId w:val="8"/>
        </w:numPr>
      </w:pPr>
      <w:r>
        <w:lastRenderedPageBreak/>
        <w:t>Key indicators of risk</w:t>
      </w:r>
    </w:p>
    <w:p w14:paraId="7B2CE204" w14:textId="1C9B6AF2" w:rsidR="006346B1" w:rsidRDefault="006346B1" w:rsidP="00461F0D">
      <w:r>
        <w:t>No crisis is the same, but during a crisis</w:t>
      </w:r>
      <w:r w:rsidR="006548C6">
        <w:t>,</w:t>
      </w:r>
      <w:r>
        <w:t xml:space="preserve"> the financial system has the potential to </w:t>
      </w:r>
      <w:r w:rsidRPr="00926024">
        <w:t>amplify</w:t>
      </w:r>
      <w:r>
        <w:t xml:space="preserve"> shocks. The extent of this </w:t>
      </w:r>
      <w:r w:rsidRPr="00926024">
        <w:t>amplification</w:t>
      </w:r>
      <w:r>
        <w:t xml:space="preserve"> will depend on the type and </w:t>
      </w:r>
      <w:r w:rsidR="001D2F98">
        <w:t>magnitude</w:t>
      </w:r>
      <w:r>
        <w:t xml:space="preserve"> of existing </w:t>
      </w:r>
      <w:r w:rsidRPr="00926024">
        <w:t>vulnerabilities</w:t>
      </w:r>
      <w:r>
        <w:t xml:space="preserve"> </w:t>
      </w:r>
      <w:r w:rsidR="001D2F98">
        <w:t>within</w:t>
      </w:r>
      <w:r>
        <w:t xml:space="preserve"> the system.</w:t>
      </w:r>
      <w:r w:rsidR="00B57493">
        <w:t xml:space="preserve"> In this paper</w:t>
      </w:r>
      <w:r w:rsidR="006548C6">
        <w:t>,</w:t>
      </w:r>
      <w:r w:rsidR="00B57493">
        <w:t xml:space="preserve"> we </w:t>
      </w:r>
      <w:r w:rsidR="001D2F98">
        <w:t>assess</w:t>
      </w:r>
      <w:r w:rsidR="00B57493">
        <w:t xml:space="preserve"> systemic risk exposures by examining the current financial cycle and conditions.</w:t>
      </w:r>
    </w:p>
    <w:p w14:paraId="796DB906" w14:textId="1C4AFDB1" w:rsidR="009010D0" w:rsidRDefault="00526B0F" w:rsidP="009010D0">
      <w:pPr>
        <w:ind w:firstLine="284"/>
      </w:pPr>
      <w:r>
        <w:t xml:space="preserve">The FCyI is an extension of the </w:t>
      </w:r>
      <w:r w:rsidRPr="007E0A15">
        <w:t>Basel credit-to-GDP</w:t>
      </w:r>
      <w:r>
        <w:t xml:space="preserve"> gap approach that also incorporates elements from m</w:t>
      </w:r>
      <w:r w:rsidRPr="00BD6E2B">
        <w:t>ortgage</w:t>
      </w:r>
      <w:r>
        <w:t xml:space="preserve"> markets, </w:t>
      </w:r>
      <w:r w:rsidRPr="00BD6E2B">
        <w:t>property prices</w:t>
      </w:r>
      <w:r>
        <w:t>, and the t</w:t>
      </w:r>
      <w:r w:rsidRPr="00BD6E2B">
        <w:t>rade</w:t>
      </w:r>
      <w:r>
        <w:t xml:space="preserve"> </w:t>
      </w:r>
      <w:r w:rsidRPr="00BD6E2B">
        <w:t>deficit</w:t>
      </w:r>
      <w:r>
        <w:t xml:space="preserve">. It </w:t>
      </w:r>
      <w:r w:rsidRPr="00BD6E2B">
        <w:t>serve</w:t>
      </w:r>
      <w:r>
        <w:t xml:space="preserve">s as a leading indicator for future </w:t>
      </w:r>
      <w:r w:rsidRPr="00BD6E2B">
        <w:t>deteriorations</w:t>
      </w:r>
      <w:r>
        <w:t xml:space="preserve"> in GDP growth.</w:t>
      </w:r>
      <w:r w:rsidR="005D0854">
        <w:t xml:space="preserve"> </w:t>
      </w:r>
      <w:r w:rsidR="00100D50" w:rsidRPr="00100D50">
        <w:t>A rising FCyI suggests</w:t>
      </w:r>
      <w:r w:rsidR="009010D0">
        <w:t xml:space="preserve"> that economic agents are accumulating</w:t>
      </w:r>
      <w:r w:rsidR="00100D50">
        <w:t xml:space="preserve"> substantial </w:t>
      </w:r>
      <w:r w:rsidR="009010D0">
        <w:t>debt</w:t>
      </w:r>
      <w:r w:rsidR="00782676">
        <w:t>.</w:t>
      </w:r>
      <w:r w:rsidR="009010D0">
        <w:t xml:space="preserve"> </w:t>
      </w:r>
      <w:r w:rsidR="00782676">
        <w:t>I</w:t>
      </w:r>
      <w:r w:rsidR="009010D0">
        <w:t xml:space="preserve">t may also </w:t>
      </w:r>
      <w:r w:rsidR="009010D0" w:rsidRPr="009010D0">
        <w:t>describe</w:t>
      </w:r>
      <w:r w:rsidR="009010D0">
        <w:t xml:space="preserve"> credit b</w:t>
      </w:r>
      <w:r w:rsidR="009010D0" w:rsidRPr="009010D0">
        <w:t>ubbles</w:t>
      </w:r>
      <w:r w:rsidR="009010D0">
        <w:t xml:space="preserve"> where </w:t>
      </w:r>
      <w:r w:rsidR="00100D50">
        <w:t>excessive borrowing drives up asset prices</w:t>
      </w:r>
      <w:r w:rsidR="009010D0">
        <w:t>.</w:t>
      </w:r>
      <w:r w:rsidR="00100D50">
        <w:t xml:space="preserve"> Furthermore, the FCyI can reflect sovereign risk exposures, such as those witnessed during the European debt crisis of 2010.</w:t>
      </w:r>
    </w:p>
    <w:p w14:paraId="6D57B440" w14:textId="72D16DA4" w:rsidR="00222CA3" w:rsidRDefault="00526B0F" w:rsidP="00222CA3">
      <w:pPr>
        <w:ind w:firstLine="284"/>
      </w:pPr>
      <w:r>
        <w:t xml:space="preserve">In contrast, the FCI follows the methodology </w:t>
      </w:r>
      <w:r w:rsidRPr="00BD6E2B">
        <w:t xml:space="preserve">proposed </w:t>
      </w:r>
      <w:r>
        <w:t xml:space="preserve">by Gary Koop and </w:t>
      </w:r>
      <w:r w:rsidRPr="00A112AE">
        <w:t xml:space="preserve">Dimitris </w:t>
      </w:r>
      <w:proofErr w:type="spellStart"/>
      <w:r w:rsidRPr="00A112AE">
        <w:t>Korobilis</w:t>
      </w:r>
      <w:proofErr w:type="spellEnd"/>
      <w:r>
        <w:t xml:space="preserve"> (2014), using A factor-augmented vector autoregressive model with time-varying coefficients and stochastic volatility to </w:t>
      </w:r>
      <w:r w:rsidRPr="00A112AE">
        <w:t>aggregate</w:t>
      </w:r>
      <w:r>
        <w:t xml:space="preserve"> the financial variables into a single index. This index primarily focuses on the interest rate markets, thus reflecting both current and future expectations of output growth.</w:t>
      </w:r>
      <w:r w:rsidR="00222CA3">
        <w:t xml:space="preserve"> </w:t>
      </w:r>
      <w:r w:rsidR="00782676" w:rsidRPr="00782676">
        <w:t>However, within the context of the GaR framework, the FCI is</w:t>
      </w:r>
      <w:r w:rsidR="00782676">
        <w:t xml:space="preserve"> </w:t>
      </w:r>
      <w:r w:rsidR="00782676" w:rsidRPr="00782676">
        <w:t>primarily used as a</w:t>
      </w:r>
      <w:r w:rsidR="00782676">
        <w:t xml:space="preserve"> </w:t>
      </w:r>
      <w:r w:rsidR="00782676" w:rsidRPr="00782676">
        <w:t>measure of financial stress.</w:t>
      </w:r>
      <w:r w:rsidR="00782676">
        <w:t xml:space="preserve"> </w:t>
      </w:r>
      <w:r w:rsidR="00222CA3">
        <w:t xml:space="preserve">We define </w:t>
      </w:r>
      <w:r w:rsidR="00222CA3" w:rsidRPr="00222CA3">
        <w:t>financial stress</w:t>
      </w:r>
      <w:r w:rsidR="00222CA3">
        <w:t xml:space="preserve"> as “periods in which risks have [materialized], reflected in stress episodes with larger asset price volatility, interest rate spreads</w:t>
      </w:r>
      <w:r w:rsidR="00461F0D">
        <w:t>,</w:t>
      </w:r>
      <w:r w:rsidR="00222CA3">
        <w:t xml:space="preserve"> and deteriorated risk sentiment” (ESRB, 2021).</w:t>
      </w:r>
    </w:p>
    <w:p w14:paraId="49BFA71D" w14:textId="1C59862A" w:rsidR="00523E3A" w:rsidRDefault="00AA2AB2" w:rsidP="00837BCC">
      <w:pPr>
        <w:ind w:firstLine="284"/>
      </w:pPr>
      <w:r>
        <w:t>In</w:t>
      </w:r>
      <w:r w:rsidR="000F76EB">
        <w:t xml:space="preserve"> </w:t>
      </w:r>
      <w:r w:rsidR="00A445DE" w:rsidRPr="00A445DE">
        <w:rPr>
          <w:b/>
          <w:bCs/>
        </w:rPr>
        <w:fldChar w:fldCharType="begin"/>
      </w:r>
      <w:r w:rsidR="00A445DE" w:rsidRPr="00A445DE">
        <w:rPr>
          <w:b/>
          <w:bCs/>
        </w:rPr>
        <w:instrText xml:space="preserve"> REF _Ref176785938 \h </w:instrText>
      </w:r>
      <w:r w:rsidR="00A445DE">
        <w:rPr>
          <w:b/>
          <w:bCs/>
        </w:rPr>
        <w:instrText xml:space="preserve"> \* MERGEFORMAT </w:instrText>
      </w:r>
      <w:r w:rsidR="00A445DE" w:rsidRPr="00A445DE">
        <w:rPr>
          <w:b/>
          <w:bCs/>
        </w:rPr>
      </w:r>
      <w:r w:rsidR="00A445DE" w:rsidRPr="00A445DE">
        <w:rPr>
          <w:b/>
          <w:bCs/>
        </w:rPr>
        <w:fldChar w:fldCharType="separate"/>
      </w:r>
      <w:r w:rsidR="00A445DE" w:rsidRPr="00A445DE">
        <w:rPr>
          <w:b/>
          <w:bCs/>
        </w:rPr>
        <w:t xml:space="preserve">Figure </w:t>
      </w:r>
      <w:r w:rsidR="00A445DE" w:rsidRPr="00A445DE">
        <w:rPr>
          <w:b/>
          <w:bCs/>
          <w:noProof/>
        </w:rPr>
        <w:t>1</w:t>
      </w:r>
      <w:r w:rsidR="00A445DE" w:rsidRPr="00A445DE">
        <w:rPr>
          <w:b/>
          <w:bCs/>
        </w:rPr>
        <w:fldChar w:fldCharType="end"/>
      </w:r>
      <w:r>
        <w:t xml:space="preserve">, we plot </w:t>
      </w:r>
      <w:r w:rsidR="001C0590">
        <w:t xml:space="preserve">the </w:t>
      </w:r>
      <w:r>
        <w:t>FCyI, FCI</w:t>
      </w:r>
      <w:r w:rsidR="001C0590">
        <w:t>, MI</w:t>
      </w:r>
      <w:r w:rsidR="00EB490B">
        <w:t>,</w:t>
      </w:r>
      <w:r>
        <w:t xml:space="preserve"> and real GDP growth.</w:t>
      </w:r>
      <w:r w:rsidR="001C0590">
        <w:t xml:space="preserve"> </w:t>
      </w:r>
      <w:r w:rsidR="007B132B" w:rsidRPr="007B132B">
        <w:t>The key insight from this plot is that FCyI, FCI, and MI respond differently depending on the nature of the shock.</w:t>
      </w:r>
      <w:r w:rsidR="007B132B">
        <w:t xml:space="preserve"> During the 2007–2009 financial crisis, MI showed the first signs of deterioration, followed by increased financial stress, and finally a shift in the financial cycle as losses materialized.</w:t>
      </w:r>
      <w:r w:rsidR="00CA3763">
        <w:t xml:space="preserve"> Meanwhile,</w:t>
      </w:r>
      <w:r>
        <w:t xml:space="preserve"> in 201</w:t>
      </w:r>
      <w:r w:rsidR="00CA3763">
        <w:t>4</w:t>
      </w:r>
      <w:r>
        <w:t>-201</w:t>
      </w:r>
      <w:r w:rsidR="00CA3763">
        <w:t>5</w:t>
      </w:r>
      <w:r>
        <w:t xml:space="preserve"> when Armenia was affected by the R</w:t>
      </w:r>
      <w:r w:rsidRPr="00117AD6">
        <w:t>ussia</w:t>
      </w:r>
      <w:r>
        <w:t>n</w:t>
      </w:r>
      <w:r w:rsidRPr="00117AD6">
        <w:t xml:space="preserve"> oil crisis</w:t>
      </w:r>
      <w:r w:rsidR="00CA3763">
        <w:t xml:space="preserve"> </w:t>
      </w:r>
      <w:r w:rsidR="007B132B" w:rsidRPr="007B132B">
        <w:t>financial stress rose first, followed by changes in MI and the financial cycle.</w:t>
      </w:r>
      <w:r w:rsidR="006F6F45">
        <w:t xml:space="preserve"> </w:t>
      </w:r>
      <w:r w:rsidR="007B132B">
        <w:t>In the cases of the</w:t>
      </w:r>
      <w:r>
        <w:t xml:space="preserve"> Covid</w:t>
      </w:r>
      <w:r w:rsidR="00EB490B">
        <w:t>-19</w:t>
      </w:r>
      <w:r>
        <w:t xml:space="preserve"> shock</w:t>
      </w:r>
      <w:r w:rsidR="006F6F45">
        <w:t xml:space="preserve"> and </w:t>
      </w:r>
      <w:r w:rsidR="00057B5F">
        <w:t xml:space="preserve">the </w:t>
      </w:r>
      <w:r w:rsidR="006F6F45" w:rsidRPr="006F6F45">
        <w:t>Nagorno-Karabakh</w:t>
      </w:r>
      <w:r w:rsidR="006F6F45">
        <w:t xml:space="preserve"> war</w:t>
      </w:r>
      <w:r>
        <w:t>, the</w:t>
      </w:r>
      <w:r w:rsidR="006F6F45">
        <w:t xml:space="preserve"> output growth </w:t>
      </w:r>
      <w:r w:rsidR="007B132B" w:rsidRPr="007B132B">
        <w:t>was the first to decline</w:t>
      </w:r>
      <w:r>
        <w:t xml:space="preserve">, </w:t>
      </w:r>
      <w:r w:rsidR="007B132B">
        <w:t>with vulnerabilities and financial stress increasing almost immediately after.</w:t>
      </w:r>
      <w:r w:rsidR="00661CD5">
        <w:t xml:space="preserve"> </w:t>
      </w:r>
      <w:r w:rsidR="006F6F45">
        <w:t xml:space="preserve">Lastly, </w:t>
      </w:r>
      <w:r w:rsidR="00661CD5">
        <w:t xml:space="preserve">the </w:t>
      </w:r>
      <w:r w:rsidR="006F6F45" w:rsidRPr="006F6F45">
        <w:t xml:space="preserve">Russo-Ukrainian </w:t>
      </w:r>
      <w:r w:rsidR="006F6F45">
        <w:t>w</w:t>
      </w:r>
      <w:r w:rsidR="006F6F45" w:rsidRPr="006F6F45">
        <w:t>ar</w:t>
      </w:r>
      <w:r w:rsidR="006F6F45">
        <w:t xml:space="preserve"> </w:t>
      </w:r>
      <w:r w:rsidR="00661CD5">
        <w:t>initially posed i</w:t>
      </w:r>
      <w:r w:rsidR="00661CD5" w:rsidRPr="00661CD5">
        <w:t xml:space="preserve">nflationary </w:t>
      </w:r>
      <w:r w:rsidR="00661CD5">
        <w:t>and trade</w:t>
      </w:r>
      <w:r w:rsidR="00EB490B">
        <w:t>-</w:t>
      </w:r>
      <w:r w:rsidR="00661CD5">
        <w:t xml:space="preserve">related risks for Armenia, but overall, it was a net positive shock for the economy due to the influx </w:t>
      </w:r>
      <w:r w:rsidR="00EB490B">
        <w:t xml:space="preserve">of </w:t>
      </w:r>
      <w:r w:rsidR="00661CD5">
        <w:t xml:space="preserve">businesses and skilled migrants. </w:t>
      </w:r>
      <w:r w:rsidR="007B132B" w:rsidRPr="007B132B">
        <w:t>Financial conditions improved, and the financial cycle continued to rise.</w:t>
      </w:r>
    </w:p>
    <w:p w14:paraId="29A44940" w14:textId="77777777" w:rsidR="00AA2AB2" w:rsidRDefault="00AA2AB2" w:rsidP="00ED6A45">
      <w:pPr>
        <w:spacing w:after="0" w:line="240" w:lineRule="auto"/>
      </w:pPr>
      <w:r>
        <w:rPr>
          <w:noProof/>
        </w:rPr>
        <w:lastRenderedPageBreak/>
        <w:drawing>
          <wp:inline distT="0" distB="0" distL="0" distR="0" wp14:anchorId="355C1604" wp14:editId="4AA12AEC">
            <wp:extent cx="5808217" cy="238442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1"/>
                    <a:stretch>
                      <a:fillRect/>
                    </a:stretch>
                  </pic:blipFill>
                  <pic:spPr>
                    <a:xfrm>
                      <a:off x="0" y="0"/>
                      <a:ext cx="5895135" cy="2420107"/>
                    </a:xfrm>
                    <a:prstGeom prst="rect">
                      <a:avLst/>
                    </a:prstGeom>
                  </pic:spPr>
                </pic:pic>
              </a:graphicData>
            </a:graphic>
          </wp:inline>
        </w:drawing>
      </w:r>
    </w:p>
    <w:p w14:paraId="4DC829E8" w14:textId="2612426C" w:rsidR="00CA1878" w:rsidRDefault="00AA2AB2" w:rsidP="00EE2FDB">
      <w:pPr>
        <w:pStyle w:val="Caption"/>
        <w:spacing w:before="0" w:after="360" w:line="240" w:lineRule="auto"/>
        <w:jc w:val="both"/>
        <w:rPr>
          <w:b w:val="0"/>
          <w:bCs/>
        </w:rPr>
      </w:pPr>
      <w:bookmarkStart w:id="0" w:name="_Ref176785938"/>
      <w:r>
        <w:t xml:space="preserve">Figure </w:t>
      </w:r>
      <w:fldSimple w:instr=" SEQ Figure \* ARABIC ">
        <w:r w:rsidR="00E941CA">
          <w:rPr>
            <w:noProof/>
          </w:rPr>
          <w:t>1</w:t>
        </w:r>
      </w:fldSimple>
      <w:bookmarkEnd w:id="0"/>
      <w:r>
        <w:t xml:space="preserve">. </w:t>
      </w:r>
      <w:r w:rsidR="003C3006">
        <w:rPr>
          <w:b w:val="0"/>
          <w:bCs/>
        </w:rPr>
        <w:t>T</w:t>
      </w:r>
      <w:r w:rsidRPr="00D6028A">
        <w:rPr>
          <w:b w:val="0"/>
          <w:bCs/>
        </w:rPr>
        <w:t>he financial cycle index, financial conditions index</w:t>
      </w:r>
      <w:r w:rsidR="00B635BB" w:rsidRPr="00D6028A">
        <w:rPr>
          <w:b w:val="0"/>
          <w:bCs/>
        </w:rPr>
        <w:t>, macroeconomic indicator</w:t>
      </w:r>
      <w:r w:rsidRPr="00D6028A">
        <w:rPr>
          <w:b w:val="0"/>
          <w:bCs/>
        </w:rPr>
        <w:t xml:space="preserve"> and real GDP growth. The FCyI</w:t>
      </w:r>
      <w:r w:rsidR="00B635BB" w:rsidRPr="00D6028A">
        <w:rPr>
          <w:b w:val="0"/>
          <w:bCs/>
        </w:rPr>
        <w:t xml:space="preserve">, </w:t>
      </w:r>
      <w:r w:rsidRPr="00D6028A">
        <w:rPr>
          <w:b w:val="0"/>
          <w:bCs/>
        </w:rPr>
        <w:t>FCI</w:t>
      </w:r>
      <w:r w:rsidR="00B635BB" w:rsidRPr="00D6028A">
        <w:rPr>
          <w:b w:val="0"/>
          <w:bCs/>
        </w:rPr>
        <w:t xml:space="preserve"> and MI</w:t>
      </w:r>
      <w:r w:rsidRPr="00D6028A">
        <w:rPr>
          <w:b w:val="0"/>
          <w:bCs/>
        </w:rPr>
        <w:t xml:space="preserve"> are normalized to have zero mean and a standard deviation of one.</w:t>
      </w:r>
      <w:r w:rsidR="004624B0">
        <w:rPr>
          <w:b w:val="0"/>
          <w:bCs/>
        </w:rPr>
        <w:t xml:space="preserve"> V</w:t>
      </w:r>
      <w:r w:rsidR="004624B0" w:rsidRPr="004624B0">
        <w:rPr>
          <w:b w:val="0"/>
          <w:bCs/>
        </w:rPr>
        <w:t>ertical</w:t>
      </w:r>
      <w:r w:rsidR="004624B0">
        <w:rPr>
          <w:b w:val="0"/>
          <w:bCs/>
        </w:rPr>
        <w:t xml:space="preserve"> areas in red </w:t>
      </w:r>
      <w:r w:rsidR="004624B0" w:rsidRPr="004624B0">
        <w:rPr>
          <w:b w:val="0"/>
          <w:bCs/>
        </w:rPr>
        <w:t>represent</w:t>
      </w:r>
      <w:r w:rsidR="004624B0">
        <w:rPr>
          <w:b w:val="0"/>
          <w:bCs/>
        </w:rPr>
        <w:t xml:space="preserve"> </w:t>
      </w:r>
      <w:r w:rsidR="004624B0" w:rsidRPr="004624B0">
        <w:rPr>
          <w:b w:val="0"/>
          <w:bCs/>
        </w:rPr>
        <w:t>economic disturbance</w:t>
      </w:r>
      <w:r w:rsidR="004624B0">
        <w:rPr>
          <w:b w:val="0"/>
          <w:bCs/>
        </w:rPr>
        <w:t>s.</w:t>
      </w:r>
    </w:p>
    <w:p w14:paraId="7127A4DA" w14:textId="48064C08" w:rsidR="00DA6A0B" w:rsidRPr="00C831B6" w:rsidRDefault="0085243A" w:rsidP="0085243A">
      <w:pPr>
        <w:ind w:firstLine="284"/>
      </w:pPr>
      <w:r w:rsidRPr="0085243A">
        <w:t>Throughout</w:t>
      </w:r>
      <w:r>
        <w:t xml:space="preserve"> these crises</w:t>
      </w:r>
      <w:r w:rsidR="007957CE">
        <w:t>,</w:t>
      </w:r>
      <w:r>
        <w:t xml:space="preserve"> </w:t>
      </w:r>
      <w:r w:rsidR="00DA6A0B">
        <w:t>the prima</w:t>
      </w:r>
      <w:r>
        <w:t>ry</w:t>
      </w:r>
      <w:r w:rsidR="00DA6A0B">
        <w:t xml:space="preserve"> </w:t>
      </w:r>
      <w:r w:rsidR="007957CE">
        <w:t>goal</w:t>
      </w:r>
      <w:r w:rsidR="00DA6A0B">
        <w:t xml:space="preserve"> of macroprudential policy is to improve the </w:t>
      </w:r>
      <w:r w:rsidR="00DA6A0B" w:rsidRPr="008557EC">
        <w:t>resilience</w:t>
      </w:r>
      <w:r w:rsidR="00DA6A0B">
        <w:t xml:space="preserve"> of the financial system, </w:t>
      </w:r>
      <w:r w:rsidR="007957CE">
        <w:t>thereby mitigating the negative</w:t>
      </w:r>
      <w:r w:rsidR="00DA6A0B">
        <w:t xml:space="preserve"> impact of </w:t>
      </w:r>
      <w:r>
        <w:t xml:space="preserve">the </w:t>
      </w:r>
      <w:r w:rsidR="00DA6A0B" w:rsidRPr="00926024">
        <w:t>crises</w:t>
      </w:r>
      <w:r w:rsidR="00DA6A0B">
        <w:t xml:space="preserve"> on economic growth.</w:t>
      </w:r>
      <w:r>
        <w:t xml:space="preserve"> </w:t>
      </w:r>
      <w:r w:rsidR="007957CE">
        <w:t>However, it is important to recognize that the effectiveness of such policy</w:t>
      </w:r>
      <w:r w:rsidR="00DA6A0B">
        <w:t xml:space="preserve"> also depends on </w:t>
      </w:r>
      <w:r w:rsidR="007957CE">
        <w:t>the</w:t>
      </w:r>
      <w:r w:rsidR="00DA6A0B">
        <w:t xml:space="preserve"> economic conditions. The </w:t>
      </w:r>
      <w:r w:rsidR="007957CE">
        <w:t>impact</w:t>
      </w:r>
      <w:r w:rsidR="00DA6A0B">
        <w:t xml:space="preserve"> of the policy can vary according on the current buildup of </w:t>
      </w:r>
      <w:r w:rsidR="00DA6A0B" w:rsidRPr="00470ED8">
        <w:t>vulnerabilit</w:t>
      </w:r>
      <w:r w:rsidR="00DA6A0B">
        <w:t xml:space="preserve">ies (the position in the financial cycle) and the </w:t>
      </w:r>
      <w:r w:rsidR="007957CE">
        <w:t xml:space="preserve">degree </w:t>
      </w:r>
      <w:r w:rsidR="00DA6A0B">
        <w:t xml:space="preserve">of </w:t>
      </w:r>
      <w:r w:rsidR="00DA6A0B" w:rsidRPr="00470ED8">
        <w:t>financial stress</w:t>
      </w:r>
      <w:r w:rsidR="00DA6A0B">
        <w:t xml:space="preserve"> (before, during, and after a </w:t>
      </w:r>
      <w:r w:rsidR="00DA6A0B" w:rsidRPr="00D1502B">
        <w:t>crisis</w:t>
      </w:r>
      <w:r w:rsidR="00DA6A0B">
        <w:t xml:space="preserve">). Financial vulnerabilities represent risks that manifest during periods of financial stress, as such, these two </w:t>
      </w:r>
      <w:r w:rsidR="00DA6A0B" w:rsidRPr="00A112AE">
        <w:t>indices</w:t>
      </w:r>
      <w:r w:rsidR="00DA6A0B">
        <w:t xml:space="preserve"> are also closely interconnected. </w:t>
      </w:r>
      <w:r w:rsidR="00DA6A0B" w:rsidRPr="00AC2E48">
        <w:t>To account for the relationships between these variables, we include three interaction terms in our models:</w:t>
      </w:r>
      <w:r w:rsidR="00DA6A0B">
        <w:t xml:space="preserve"> (1) the product of the normalized FCyI and FCI, referred to as the Crisis Index (CI); (2) the product of MPI and the normalized FCyI, termed the Cycle-Based Policy Adjustment (CyBPA); and (3) the product between MPI and normalized FCI, the C</w:t>
      </w:r>
      <w:r w:rsidR="00DA6A0B" w:rsidRPr="00813F15">
        <w:t>onditions</w:t>
      </w:r>
      <w:r w:rsidR="00DA6A0B">
        <w:t>-Based Policy Adjustment (CBPA).</w:t>
      </w:r>
    </w:p>
    <w:p w14:paraId="3E6C9CE8" w14:textId="4A723BE4" w:rsidR="004F1BA1" w:rsidRDefault="00CA1878" w:rsidP="004F1BA1">
      <w:pPr>
        <w:pStyle w:val="SectionHeading"/>
      </w:pPr>
      <w:r>
        <w:t>How should m</w:t>
      </w:r>
      <w:r w:rsidRPr="004F1BA1">
        <w:t>acroprudential</w:t>
      </w:r>
      <w:r>
        <w:t xml:space="preserve"> </w:t>
      </w:r>
      <w:r w:rsidRPr="004F1BA1">
        <w:t>policy</w:t>
      </w:r>
      <w:r>
        <w:t xml:space="preserve"> respond to risks?</w:t>
      </w:r>
    </w:p>
    <w:p w14:paraId="1323F9C3" w14:textId="4E0447F9" w:rsidR="004525E8" w:rsidRDefault="004525E8" w:rsidP="004525E8">
      <w:pPr>
        <w:pStyle w:val="SectionHeading"/>
        <w:numPr>
          <w:ilvl w:val="1"/>
          <w:numId w:val="8"/>
        </w:numPr>
      </w:pPr>
      <w:r>
        <w:t>M</w:t>
      </w:r>
      <w:r w:rsidRPr="004F1BA1">
        <w:t>acroprudential policy</w:t>
      </w:r>
      <w:r>
        <w:t xml:space="preserve"> </w:t>
      </w:r>
      <w:r w:rsidR="00E96391">
        <w:t>uses</w:t>
      </w:r>
    </w:p>
    <w:p w14:paraId="54A971E1" w14:textId="5BC44B27" w:rsidR="00EE6FE6" w:rsidRDefault="007D6A70" w:rsidP="00C81722">
      <w:r>
        <w:t>Prior to the 2008 Great Recession, macroprudential regulation remained largely underdeveloped</w:t>
      </w:r>
      <w:r w:rsidR="00107EC1">
        <w:t xml:space="preserve">. </w:t>
      </w:r>
      <w:r w:rsidR="00461360">
        <w:t>The policy</w:t>
      </w:r>
      <w:r w:rsidR="00107EC1">
        <w:t xml:space="preserve"> primarily focused on microprudential approaches </w:t>
      </w:r>
      <w:r w:rsidR="00461360">
        <w:t>and operated under the assumption</w:t>
      </w:r>
      <w:r w:rsidR="00107EC1">
        <w:t xml:space="preserve"> that strong individual institutions would result in a stable financial system </w:t>
      </w:r>
      <w:sdt>
        <w:sdtPr>
          <w:id w:val="1389603755"/>
          <w:citation/>
        </w:sdtPr>
        <w:sdtContent>
          <w:r w:rsidR="00107EC1">
            <w:fldChar w:fldCharType="begin"/>
          </w:r>
          <w:r w:rsidR="00107EC1">
            <w:instrText xml:space="preserve"> CITATION Gal13 \l 1033 </w:instrText>
          </w:r>
          <w:r w:rsidR="00107EC1">
            <w:fldChar w:fldCharType="separate"/>
          </w:r>
          <w:r w:rsidR="00C8403C">
            <w:rPr>
              <w:noProof/>
            </w:rPr>
            <w:t>(Galati &amp; Moessner, 2013)</w:t>
          </w:r>
          <w:r w:rsidR="00107EC1">
            <w:fldChar w:fldCharType="end"/>
          </w:r>
        </w:sdtContent>
      </w:sdt>
      <w:r w:rsidR="00107EC1">
        <w:t xml:space="preserve">. However, systemic risks related to </w:t>
      </w:r>
      <w:r w:rsidR="00107EC1" w:rsidRPr="00107EC1">
        <w:t>leverage</w:t>
      </w:r>
      <w:r w:rsidR="00107EC1">
        <w:t xml:space="preserve"> and bank interconnectedness</w:t>
      </w:r>
      <w:r w:rsidR="00AC2759">
        <w:t xml:space="preserve"> </w:t>
      </w:r>
      <w:r w:rsidR="00107EC1">
        <w:t xml:space="preserve">remained high. </w:t>
      </w:r>
      <w:r w:rsidR="00461360" w:rsidRPr="00461360">
        <w:t>The financial crisis revealed these vulnerabilities, prompting a shift in policymakers' focus from micro-level concerns to broader, macroprudential considerations.</w:t>
      </w:r>
      <w:r w:rsidR="00692BC4">
        <w:t xml:space="preserve"> </w:t>
      </w:r>
      <w:r w:rsidR="00461360" w:rsidRPr="00461360">
        <w:t>The Central Bank of Armenia (CBA) was no exception, implementing a series of tightening measures in the aftermath of the crisis.</w:t>
      </w:r>
    </w:p>
    <w:p w14:paraId="22F51568" w14:textId="568AD557" w:rsidR="0028662F" w:rsidRDefault="00692BC4" w:rsidP="00C81722">
      <w:pPr>
        <w:ind w:firstLine="284"/>
      </w:pPr>
      <w:r w:rsidRPr="00972396">
        <w:rPr>
          <w:b/>
          <w:bCs/>
        </w:rPr>
        <w:lastRenderedPageBreak/>
        <w:fldChar w:fldCharType="begin"/>
      </w:r>
      <w:r w:rsidRPr="00972396">
        <w:rPr>
          <w:b/>
          <w:bCs/>
        </w:rPr>
        <w:instrText xml:space="preserve"> REF _Ref169639836 \h </w:instrText>
      </w:r>
      <w:r w:rsidR="00972396">
        <w:rPr>
          <w:b/>
          <w:bCs/>
        </w:rPr>
        <w:instrText xml:space="preserve"> \* MERGEFORMAT </w:instrText>
      </w:r>
      <w:r w:rsidRPr="00972396">
        <w:rPr>
          <w:b/>
          <w:bCs/>
        </w:rPr>
      </w:r>
      <w:r w:rsidRPr="00972396">
        <w:rPr>
          <w:b/>
          <w:bCs/>
        </w:rPr>
        <w:fldChar w:fldCharType="separate"/>
      </w:r>
      <w:r w:rsidRPr="00972396">
        <w:rPr>
          <w:b/>
          <w:bCs/>
        </w:rPr>
        <w:t xml:space="preserve">Figure </w:t>
      </w:r>
      <w:r w:rsidRPr="00972396">
        <w:rPr>
          <w:b/>
          <w:bCs/>
          <w:noProof/>
        </w:rPr>
        <w:t>2</w:t>
      </w:r>
      <w:r w:rsidRPr="00972396">
        <w:rPr>
          <w:b/>
          <w:bCs/>
        </w:rPr>
        <w:fldChar w:fldCharType="end"/>
      </w:r>
      <w:r>
        <w:t xml:space="preserve"> </w:t>
      </w:r>
      <w:r w:rsidR="00532969" w:rsidRPr="00532969">
        <w:t>illustrates</w:t>
      </w:r>
      <w:r>
        <w:t xml:space="preserve"> the evolution of tightening and </w:t>
      </w:r>
      <w:r w:rsidRPr="00692BC4">
        <w:t>loosening</w:t>
      </w:r>
      <w:r>
        <w:t xml:space="preserve"> </w:t>
      </w:r>
      <w:r w:rsidR="00532969">
        <w:t>macroprudential measures</w:t>
      </w:r>
      <w:r>
        <w:t xml:space="preserve"> in Armenia. </w:t>
      </w:r>
      <w:r w:rsidR="00532969" w:rsidRPr="00532969">
        <w:t>Following the 2008 Great Recession, most regulatory changes focused on capital and asset risk weights.</w:t>
      </w:r>
      <w:r w:rsidR="006039F1">
        <w:t xml:space="preserve"> </w:t>
      </w:r>
      <w:r w:rsidR="006039F1" w:rsidRPr="006039F1">
        <w:t>Indirect loosening measures</w:t>
      </w:r>
      <w:r w:rsidR="006039F1">
        <w:t xml:space="preserve"> were also used. </w:t>
      </w:r>
      <w:r w:rsidR="00EE6FE6">
        <w:t xml:space="preserve">In 2016, </w:t>
      </w:r>
      <w:r w:rsidR="00532969">
        <w:t>the risk weights for mortgage loans denominated in local currency that met specific criteria were reduced from 50% to 35%. Additionally, in February of that year, the risk weights for correspondent accounts, set at 20% for AMD and 30% for FX, were extended to demand deposits of banks with maturities of up to three months.</w:t>
      </w:r>
      <w:r w:rsidR="00E95DBD">
        <w:t xml:space="preserve"> </w:t>
      </w:r>
      <w:r w:rsidR="00532969" w:rsidRPr="00532969">
        <w:t>These regulations effectively lowered banks' risk-weighted assets (RWA) relative to their equity, making it easier to meet capital requirements.</w:t>
      </w:r>
    </w:p>
    <w:p w14:paraId="51607BDE" w14:textId="09C1232B" w:rsidR="00A7123E" w:rsidRDefault="00DD6E34" w:rsidP="00C81722">
      <w:pPr>
        <w:ind w:firstLine="284"/>
      </w:pPr>
      <w:r>
        <w:t>In 2020, the CBA adopted a more accommodative stance in response to the economic impacts of the Covid-19 pandemic. Specifically, funds received from state support programs were exempted from reserve requirements, providing relief to banks during the economic downturn. This marked a temporary shift toward loosening regulatory requirements to support financial stability during the crisis.</w:t>
      </w:r>
    </w:p>
    <w:p w14:paraId="79D8A3BB" w14:textId="555D8AEA" w:rsidR="00EC3EF5" w:rsidRDefault="0019328C" w:rsidP="00C81722">
      <w:pPr>
        <w:ind w:firstLine="284"/>
      </w:pPr>
      <w:r>
        <w:t>In April 2022, the CBA implemented currency-based loan-to-value (LTV) caps, setting a maximum LTV ratio of 90% for real estate loans in AMD and 70% for those in FX.</w:t>
      </w:r>
      <w:r w:rsidR="00972396">
        <w:t xml:space="preserve"> </w:t>
      </w:r>
      <w:r>
        <w:t>Lastly, although the minimum CAR was reduced from 12% to 11%</w:t>
      </w:r>
      <w:r w:rsidR="00707E7F">
        <w:t xml:space="preserve">, </w:t>
      </w:r>
      <w:r>
        <w:t xml:space="preserve">other </w:t>
      </w:r>
      <w:r w:rsidR="00AF155F">
        <w:t xml:space="preserve">capital-based </w:t>
      </w:r>
      <w:r>
        <w:t>measures</w:t>
      </w:r>
      <w:r w:rsidR="00AF155F">
        <w:t xml:space="preserve"> increased</w:t>
      </w:r>
      <w:r>
        <w:t>. T</w:t>
      </w:r>
      <w:r w:rsidR="00007496">
        <w:t>he CCyB</w:t>
      </w:r>
      <w:r w:rsidR="00707E7F">
        <w:t xml:space="preserve"> </w:t>
      </w:r>
      <w:r w:rsidR="00007496">
        <w:t xml:space="preserve">was </w:t>
      </w:r>
      <w:r>
        <w:t>raised</w:t>
      </w:r>
      <w:r w:rsidR="00007496">
        <w:t xml:space="preserve"> </w:t>
      </w:r>
      <w:r w:rsidR="00844C9C">
        <w:t>from 1</w:t>
      </w:r>
      <w:r w:rsidR="00007496">
        <w:t>% (</w:t>
      </w:r>
      <w:r w:rsidR="00480863">
        <w:t xml:space="preserve">effective from </w:t>
      </w:r>
      <w:r w:rsidR="00007496" w:rsidRPr="00007496">
        <w:t>May 2023</w:t>
      </w:r>
      <w:r w:rsidR="00007496">
        <w:t>) to 1.5% (</w:t>
      </w:r>
      <w:r w:rsidR="00480863">
        <w:t>effective from August 2023</w:t>
      </w:r>
      <w:r w:rsidR="00007496">
        <w:t xml:space="preserve">), </w:t>
      </w:r>
      <w:r w:rsidR="00AF155F">
        <w:t>the buffer for systemically important financial institutions (SIFIs) increased from 1% to 1.5%, and the capital conservation buffer (CCoB) was raised from 1.5% to 2%.</w:t>
      </w:r>
      <w:r w:rsidR="00844C9C">
        <w:t xml:space="preserve"> </w:t>
      </w:r>
      <w:r w:rsidR="00AF155F">
        <w:t>Collectively, these measures resulted in a net tightening of the macroprudential policy.</w:t>
      </w:r>
    </w:p>
    <w:p w14:paraId="28D893FF" w14:textId="77777777" w:rsidR="0001707B" w:rsidRDefault="0001707B" w:rsidP="00ED6A45">
      <w:pPr>
        <w:spacing w:after="0" w:line="240" w:lineRule="auto"/>
      </w:pPr>
      <w:r>
        <w:rPr>
          <w:noProof/>
        </w:rPr>
        <w:drawing>
          <wp:inline distT="0" distB="0" distL="0" distR="0" wp14:anchorId="49DADE06" wp14:editId="1B8074D3">
            <wp:extent cx="5805996" cy="2283257"/>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stretch>
                      <a:fillRect/>
                    </a:stretch>
                  </pic:blipFill>
                  <pic:spPr>
                    <a:xfrm>
                      <a:off x="0" y="0"/>
                      <a:ext cx="5835855" cy="2294999"/>
                    </a:xfrm>
                    <a:prstGeom prst="rect">
                      <a:avLst/>
                    </a:prstGeom>
                  </pic:spPr>
                </pic:pic>
              </a:graphicData>
            </a:graphic>
          </wp:inline>
        </w:drawing>
      </w:r>
    </w:p>
    <w:p w14:paraId="17B26E30" w14:textId="70696BEB" w:rsidR="0001707B" w:rsidRDefault="0001707B" w:rsidP="00EE2FDB">
      <w:pPr>
        <w:pStyle w:val="Caption"/>
        <w:spacing w:before="0" w:after="360" w:line="240" w:lineRule="auto"/>
        <w:jc w:val="both"/>
      </w:pPr>
      <w:bookmarkStart w:id="1" w:name="_Ref169639836"/>
      <w:r>
        <w:t xml:space="preserve">Figure </w:t>
      </w:r>
      <w:fldSimple w:instr=" SEQ Figure \* ARABIC ">
        <w:r w:rsidR="00E941CA">
          <w:rPr>
            <w:noProof/>
          </w:rPr>
          <w:t>2</w:t>
        </w:r>
      </w:fldSimple>
      <w:bookmarkEnd w:id="1"/>
      <w:r>
        <w:t xml:space="preserve">. </w:t>
      </w:r>
      <w:r w:rsidRPr="004036E7">
        <w:rPr>
          <w:b w:val="0"/>
          <w:bCs/>
        </w:rPr>
        <w:t>Use of</w:t>
      </w:r>
      <w:r>
        <w:t xml:space="preserve"> </w:t>
      </w:r>
      <w:r w:rsidRPr="004036E7">
        <w:rPr>
          <w:b w:val="0"/>
          <w:bCs/>
        </w:rPr>
        <w:t>macroprudential policy in Armenia</w:t>
      </w:r>
      <w:r w:rsidR="00AB54B0">
        <w:rPr>
          <w:b w:val="0"/>
          <w:bCs/>
        </w:rPr>
        <w:t xml:space="preserve">. </w:t>
      </w:r>
      <w:r w:rsidR="00AB54B0" w:rsidRPr="00AB54B0">
        <w:rPr>
          <w:b w:val="0"/>
          <w:bCs/>
        </w:rPr>
        <w:t>Y-axis</w:t>
      </w:r>
      <w:r w:rsidR="00AB54B0">
        <w:rPr>
          <w:b w:val="0"/>
          <w:bCs/>
        </w:rPr>
        <w:t xml:space="preserve"> </w:t>
      </w:r>
      <w:r w:rsidR="00AB54B0" w:rsidRPr="00AB54B0">
        <w:rPr>
          <w:b w:val="0"/>
          <w:bCs/>
        </w:rPr>
        <w:t>show</w:t>
      </w:r>
      <w:r w:rsidR="00AB54B0">
        <w:rPr>
          <w:b w:val="0"/>
          <w:bCs/>
        </w:rPr>
        <w:t xml:space="preserve"> the number of policy actions taken.</w:t>
      </w:r>
    </w:p>
    <w:p w14:paraId="156B2BD1" w14:textId="52C58384" w:rsidR="00E473F0" w:rsidRDefault="00E727A1" w:rsidP="006039F1">
      <w:pPr>
        <w:ind w:firstLine="284"/>
      </w:pPr>
      <w:r>
        <w:lastRenderedPageBreak/>
        <w:t xml:space="preserve">To </w:t>
      </w:r>
      <w:r w:rsidR="00D21118" w:rsidRPr="00D21118">
        <w:t>analyze</w:t>
      </w:r>
      <w:r>
        <w:t xml:space="preserve"> the </w:t>
      </w:r>
      <w:r w:rsidR="00E473F0">
        <w:t>impact</w:t>
      </w:r>
      <w:r>
        <w:t xml:space="preserve"> of these policies </w:t>
      </w:r>
      <w:r w:rsidR="00D21118" w:rsidRPr="00D21118">
        <w:t xml:space="preserve">we compare the GDP </w:t>
      </w:r>
      <w:r w:rsidR="00D21118">
        <w:t xml:space="preserve">growth </w:t>
      </w:r>
      <w:r w:rsidR="00D21118" w:rsidRPr="00D21118">
        <w:t xml:space="preserve">distribution of Armenia </w:t>
      </w:r>
      <w:r w:rsidR="00D21118">
        <w:t xml:space="preserve">one year after </w:t>
      </w:r>
      <w:r w:rsidR="00D21118" w:rsidRPr="00D21118">
        <w:t xml:space="preserve">tightening </w:t>
      </w:r>
      <w:r w:rsidR="00D21118">
        <w:t>actions</w:t>
      </w:r>
      <w:r w:rsidR="00E473F0">
        <w:t>,</w:t>
      </w:r>
      <w:r w:rsidR="00D21118">
        <w:t xml:space="preserve"> </w:t>
      </w:r>
      <w:r w:rsidR="00E473F0">
        <w:t xml:space="preserve">as shown </w:t>
      </w:r>
      <w:r>
        <w:t xml:space="preserve">in </w:t>
      </w:r>
      <w:r w:rsidRPr="00E727A1">
        <w:rPr>
          <w:b/>
          <w:bCs/>
        </w:rPr>
        <w:fldChar w:fldCharType="begin"/>
      </w:r>
      <w:r w:rsidRPr="00E727A1">
        <w:rPr>
          <w:b/>
          <w:bCs/>
        </w:rPr>
        <w:instrText xml:space="preserve"> REF _Ref176938083 \h </w:instrText>
      </w:r>
      <w:r>
        <w:rPr>
          <w:b/>
          <w:bCs/>
        </w:rPr>
        <w:instrText xml:space="preserve"> \* MERGEFORMAT </w:instrText>
      </w:r>
      <w:r w:rsidRPr="00E727A1">
        <w:rPr>
          <w:b/>
          <w:bCs/>
        </w:rPr>
      </w:r>
      <w:r w:rsidRPr="00E727A1">
        <w:rPr>
          <w:b/>
          <w:bCs/>
        </w:rPr>
        <w:fldChar w:fldCharType="separate"/>
      </w:r>
      <w:r w:rsidRPr="00E727A1">
        <w:rPr>
          <w:b/>
          <w:bCs/>
          <w:szCs w:val="18"/>
        </w:rPr>
        <w:t xml:space="preserve">Figure </w:t>
      </w:r>
      <w:r w:rsidRPr="00E727A1">
        <w:rPr>
          <w:b/>
          <w:bCs/>
          <w:noProof/>
          <w:szCs w:val="18"/>
        </w:rPr>
        <w:t>3</w:t>
      </w:r>
      <w:r w:rsidRPr="00E727A1">
        <w:rPr>
          <w:b/>
          <w:bCs/>
        </w:rPr>
        <w:fldChar w:fldCharType="end"/>
      </w:r>
      <w:r w:rsidR="00D21118">
        <w:t>.</w:t>
      </w:r>
      <w:r w:rsidR="00E473F0">
        <w:t xml:space="preserve"> The comparison distinguishes between stable and crisis periods. The results indicate that when tightening actions are not followed by a crisis, there is little effect on the left tail of the distribution. However, these actions tend to reduce the right tail, suggesting that they may limit the potential for excessive economic growth. Meanwhile, when a tightening action is followed by a crisis, the distribution shows a less</w:t>
      </w:r>
      <w:r w:rsidR="00902DAC">
        <w:t xml:space="preserve"> </w:t>
      </w:r>
      <w:r w:rsidR="00A410A6" w:rsidRPr="00A410A6">
        <w:t>severe</w:t>
      </w:r>
      <w:r w:rsidR="00902DAC">
        <w:t xml:space="preserve"> </w:t>
      </w:r>
      <w:r w:rsidR="00E473F0">
        <w:t xml:space="preserve">left </w:t>
      </w:r>
      <w:r w:rsidR="00902DAC">
        <w:t>tail</w:t>
      </w:r>
      <w:r w:rsidR="00E473F0">
        <w:t xml:space="preserve">. </w:t>
      </w:r>
      <w:r w:rsidR="006D591E">
        <w:t xml:space="preserve">This suggests that tightening policies may mitigate the severity of economic downturns. </w:t>
      </w:r>
      <w:r w:rsidR="00E473F0">
        <w:t>Finally, the right tail</w:t>
      </w:r>
      <w:r w:rsidR="00592494">
        <w:t xml:space="preserve"> remains </w:t>
      </w:r>
      <w:r w:rsidR="00592494" w:rsidRPr="00592494">
        <w:t>relatively</w:t>
      </w:r>
      <w:r w:rsidR="00592494">
        <w:t xml:space="preserve"> </w:t>
      </w:r>
      <w:r w:rsidR="00592494" w:rsidRPr="00592494">
        <w:t>unaffected</w:t>
      </w:r>
      <w:r w:rsidR="00E473F0">
        <w:t>.</w:t>
      </w:r>
    </w:p>
    <w:p w14:paraId="09D912D9" w14:textId="77777777" w:rsidR="009C48FC" w:rsidRDefault="0001707B" w:rsidP="00ED6A45">
      <w:pPr>
        <w:spacing w:after="0" w:line="240" w:lineRule="auto"/>
      </w:pPr>
      <w:r>
        <w:rPr>
          <w:noProof/>
        </w:rPr>
        <w:drawing>
          <wp:inline distT="0" distB="0" distL="0" distR="0" wp14:anchorId="2EC07A30" wp14:editId="7621F87F">
            <wp:extent cx="5800280" cy="1563554"/>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stretch>
                      <a:fillRect/>
                    </a:stretch>
                  </pic:blipFill>
                  <pic:spPr>
                    <a:xfrm>
                      <a:off x="0" y="0"/>
                      <a:ext cx="5882199" cy="1585637"/>
                    </a:xfrm>
                    <a:prstGeom prst="rect">
                      <a:avLst/>
                    </a:prstGeom>
                  </pic:spPr>
                </pic:pic>
              </a:graphicData>
            </a:graphic>
          </wp:inline>
        </w:drawing>
      </w:r>
    </w:p>
    <w:p w14:paraId="4F142338" w14:textId="460D5D6E" w:rsidR="0001707B" w:rsidRPr="009C48FC" w:rsidRDefault="009C48FC" w:rsidP="009C48FC">
      <w:pPr>
        <w:pStyle w:val="Caption"/>
        <w:jc w:val="both"/>
        <w:rPr>
          <w:szCs w:val="18"/>
        </w:rPr>
      </w:pPr>
      <w:bookmarkStart w:id="2" w:name="_Ref176938083"/>
      <w:r w:rsidRPr="009C48FC">
        <w:rPr>
          <w:szCs w:val="18"/>
        </w:rPr>
        <w:t xml:space="preserve">Figure </w:t>
      </w:r>
      <w:r w:rsidRPr="009C48FC">
        <w:rPr>
          <w:szCs w:val="18"/>
        </w:rPr>
        <w:fldChar w:fldCharType="begin"/>
      </w:r>
      <w:r w:rsidRPr="009C48FC">
        <w:rPr>
          <w:szCs w:val="18"/>
        </w:rPr>
        <w:instrText xml:space="preserve"> SEQ Figure \* ARABIC </w:instrText>
      </w:r>
      <w:r w:rsidRPr="009C48FC">
        <w:rPr>
          <w:szCs w:val="18"/>
        </w:rPr>
        <w:fldChar w:fldCharType="separate"/>
      </w:r>
      <w:r w:rsidR="00E941CA">
        <w:rPr>
          <w:noProof/>
          <w:szCs w:val="18"/>
        </w:rPr>
        <w:t>3</w:t>
      </w:r>
      <w:r w:rsidRPr="009C48FC">
        <w:rPr>
          <w:szCs w:val="18"/>
        </w:rPr>
        <w:fldChar w:fldCharType="end"/>
      </w:r>
      <w:bookmarkEnd w:id="2"/>
      <w:r w:rsidRPr="009C48FC">
        <w:rPr>
          <w:szCs w:val="18"/>
        </w:rPr>
        <w:t xml:space="preserve">. </w:t>
      </w:r>
      <w:r w:rsidRPr="009C48FC">
        <w:rPr>
          <w:b w:val="0"/>
          <w:bCs/>
          <w:szCs w:val="18"/>
        </w:rPr>
        <w:t xml:space="preserve">GDP growth distribution of Armenia, </w:t>
      </w:r>
      <w:r w:rsidR="00F05122">
        <w:rPr>
          <w:b w:val="0"/>
          <w:bCs/>
          <w:szCs w:val="18"/>
        </w:rPr>
        <w:t>one year after</w:t>
      </w:r>
      <w:r w:rsidRPr="009C48FC">
        <w:rPr>
          <w:b w:val="0"/>
          <w:bCs/>
          <w:szCs w:val="18"/>
        </w:rPr>
        <w:t xml:space="preserve"> macroprudential policy tightening </w:t>
      </w:r>
      <w:r w:rsidR="003A0E04">
        <w:rPr>
          <w:b w:val="0"/>
          <w:bCs/>
          <w:szCs w:val="18"/>
        </w:rPr>
        <w:t xml:space="preserve">and during different </w:t>
      </w:r>
      <w:r w:rsidR="003A0E04" w:rsidRPr="003A0E04">
        <w:rPr>
          <w:b w:val="0"/>
          <w:bCs/>
          <w:szCs w:val="18"/>
        </w:rPr>
        <w:t>economic phases</w:t>
      </w:r>
      <w:r w:rsidR="003A0E04">
        <w:rPr>
          <w:b w:val="0"/>
          <w:bCs/>
          <w:szCs w:val="18"/>
        </w:rPr>
        <w:t>.</w:t>
      </w:r>
    </w:p>
    <w:p w14:paraId="1549EE1B" w14:textId="30E4594B" w:rsidR="00CA1878" w:rsidRDefault="006039F1" w:rsidP="006039F1">
      <w:pPr>
        <w:ind w:firstLine="284"/>
      </w:pPr>
      <w:r>
        <w:t xml:space="preserve">To continue our analysis on the evolution of </w:t>
      </w:r>
      <w:r w:rsidRPr="009C48FC">
        <w:rPr>
          <w:bCs/>
          <w:szCs w:val="18"/>
        </w:rPr>
        <w:t>macroprudential policy</w:t>
      </w:r>
      <w:r>
        <w:rPr>
          <w:bCs/>
          <w:szCs w:val="18"/>
        </w:rPr>
        <w:t xml:space="preserve">, in </w:t>
      </w:r>
      <w:r w:rsidRPr="006039F1">
        <w:rPr>
          <w:b/>
          <w:szCs w:val="18"/>
        </w:rPr>
        <w:fldChar w:fldCharType="begin"/>
      </w:r>
      <w:r w:rsidRPr="006039F1">
        <w:rPr>
          <w:b/>
          <w:szCs w:val="18"/>
        </w:rPr>
        <w:instrText xml:space="preserve"> REF _Ref176950091 \h </w:instrText>
      </w:r>
      <w:r>
        <w:rPr>
          <w:b/>
          <w:szCs w:val="18"/>
        </w:rPr>
        <w:instrText xml:space="preserve"> \* MERGEFORMAT </w:instrText>
      </w:r>
      <w:r w:rsidRPr="006039F1">
        <w:rPr>
          <w:b/>
          <w:szCs w:val="18"/>
        </w:rPr>
      </w:r>
      <w:r w:rsidRPr="006039F1">
        <w:rPr>
          <w:b/>
          <w:szCs w:val="18"/>
        </w:rPr>
        <w:fldChar w:fldCharType="separate"/>
      </w:r>
      <w:r w:rsidRPr="006039F1">
        <w:rPr>
          <w:b/>
        </w:rPr>
        <w:t xml:space="preserve">Figure </w:t>
      </w:r>
      <w:r w:rsidRPr="006039F1">
        <w:rPr>
          <w:b/>
          <w:noProof/>
        </w:rPr>
        <w:t>4</w:t>
      </w:r>
      <w:r w:rsidRPr="006039F1">
        <w:rPr>
          <w:b/>
          <w:szCs w:val="18"/>
        </w:rPr>
        <w:fldChar w:fldCharType="end"/>
      </w:r>
      <w:r>
        <w:rPr>
          <w:bCs/>
          <w:szCs w:val="18"/>
        </w:rPr>
        <w:t xml:space="preserve"> we investigate the </w:t>
      </w:r>
      <w:r>
        <w:t xml:space="preserve">tightening and </w:t>
      </w:r>
      <w:r w:rsidRPr="00692BC4">
        <w:t>loosening</w:t>
      </w:r>
      <w:r>
        <w:t xml:space="preserve"> measures used </w:t>
      </w:r>
      <w:r w:rsidR="005906C6">
        <w:t xml:space="preserve">in </w:t>
      </w:r>
      <w:r>
        <w:t xml:space="preserve">the other 40 countries of our study. </w:t>
      </w:r>
      <w:r w:rsidR="003F0073">
        <w:t xml:space="preserve">We observe an active use of </w:t>
      </w:r>
      <w:r w:rsidR="003F0073" w:rsidRPr="003F0073">
        <w:t>loosening measures</w:t>
      </w:r>
      <w:r w:rsidR="003F0073">
        <w:t xml:space="preserve"> during the 2008-2009 crisis, in 2012 during the </w:t>
      </w:r>
      <w:r w:rsidR="003F0073" w:rsidRPr="003F0073">
        <w:t>European debt crisis</w:t>
      </w:r>
      <w:r w:rsidR="003F0073">
        <w:t xml:space="preserve"> and during the 2020 Covid-19 </w:t>
      </w:r>
      <w:r w:rsidR="003F0073" w:rsidRPr="003F0073">
        <w:t>pandemic</w:t>
      </w:r>
      <w:r w:rsidR="003F0073">
        <w:t xml:space="preserve">. We also observe an increase in the number of tightening measures starting 2015. </w:t>
      </w:r>
      <w:r w:rsidR="003F0073" w:rsidRPr="003F0073">
        <w:rPr>
          <w:b/>
          <w:bCs/>
        </w:rPr>
        <w:fldChar w:fldCharType="begin"/>
      </w:r>
      <w:r w:rsidR="003F0073" w:rsidRPr="003F0073">
        <w:rPr>
          <w:b/>
          <w:bCs/>
        </w:rPr>
        <w:instrText xml:space="preserve"> REF _Ref176950624 \h </w:instrText>
      </w:r>
      <w:r w:rsidR="003F0073">
        <w:rPr>
          <w:b/>
          <w:bCs/>
        </w:rPr>
        <w:instrText xml:space="preserve"> \* MERGEFORMAT </w:instrText>
      </w:r>
      <w:r w:rsidR="003F0073" w:rsidRPr="003F0073">
        <w:rPr>
          <w:b/>
          <w:bCs/>
        </w:rPr>
      </w:r>
      <w:r w:rsidR="003F0073" w:rsidRPr="003F0073">
        <w:rPr>
          <w:b/>
          <w:bCs/>
        </w:rPr>
        <w:fldChar w:fldCharType="separate"/>
      </w:r>
      <w:r w:rsidR="003F0073" w:rsidRPr="003F0073">
        <w:rPr>
          <w:b/>
          <w:bCs/>
        </w:rPr>
        <w:t xml:space="preserve">Figure </w:t>
      </w:r>
      <w:r w:rsidR="003F0073" w:rsidRPr="003F0073">
        <w:rPr>
          <w:b/>
          <w:bCs/>
          <w:noProof/>
        </w:rPr>
        <w:t>5</w:t>
      </w:r>
      <w:r w:rsidR="003F0073" w:rsidRPr="003F0073">
        <w:rPr>
          <w:b/>
          <w:bCs/>
        </w:rPr>
        <w:fldChar w:fldCharType="end"/>
      </w:r>
      <w:r w:rsidR="003F0073">
        <w:t xml:space="preserve"> also </w:t>
      </w:r>
      <w:r w:rsidR="005906C6" w:rsidRPr="005906C6">
        <w:t>delves deeper</w:t>
      </w:r>
      <w:r w:rsidR="005906C6">
        <w:t xml:space="preserve"> into the specific measures used over time. In 2009 and 2012 the majority of </w:t>
      </w:r>
      <w:r w:rsidR="005906C6" w:rsidRPr="003F0073">
        <w:t>loosening measures</w:t>
      </w:r>
      <w:r w:rsidR="005906C6">
        <w:t xml:space="preserve"> were implemented thought </w:t>
      </w:r>
      <w:r w:rsidR="005906C6" w:rsidRPr="005906C6">
        <w:t>reserve requirement</w:t>
      </w:r>
      <w:r w:rsidR="005906C6">
        <w:t>s, while in 2020 a much wider array of tools was available for the policymakers</w:t>
      </w:r>
      <w:r w:rsidR="0029705C">
        <w:t>, including capital and liquidity-based measures, l</w:t>
      </w:r>
      <w:r w:rsidR="0029705C" w:rsidRPr="0029705C">
        <w:t>oan loss provision</w:t>
      </w:r>
      <w:r w:rsidR="0029705C">
        <w:t>s (LLPs), L</w:t>
      </w:r>
      <w:r w:rsidR="00055B67">
        <w:t>T</w:t>
      </w:r>
      <w:r w:rsidR="0029705C">
        <w:t>V measures and many others.</w:t>
      </w:r>
      <w:r w:rsidR="00055B67">
        <w:t xml:space="preserve"> Lastly, the increase of </w:t>
      </w:r>
      <w:r w:rsidR="00055B67" w:rsidRPr="00055B67">
        <w:t>tightening measures</w:t>
      </w:r>
      <w:r w:rsidR="00055B67">
        <w:t xml:space="preserve"> in 2015 was primarily driven by the introduction of the </w:t>
      </w:r>
      <w:r w:rsidR="00055B67" w:rsidRPr="00055B67">
        <w:t>capital conservation buffer</w:t>
      </w:r>
      <w:r w:rsidR="00055B67">
        <w:t xml:space="preserve">s and liquidity measures such as </w:t>
      </w:r>
      <w:r w:rsidR="00055B67" w:rsidRPr="00055B67">
        <w:t>liquidity coverage ratio</w:t>
      </w:r>
      <w:r w:rsidR="00055B67">
        <w:t xml:space="preserve"> (LCR)</w:t>
      </w:r>
      <w:r w:rsidR="00055B67" w:rsidRPr="00055B67">
        <w:t>, liquid asset ratio</w:t>
      </w:r>
      <w:r w:rsidR="00055B67">
        <w:t xml:space="preserve"> (LAR) and </w:t>
      </w:r>
      <w:r w:rsidR="00055B67" w:rsidRPr="00055B67">
        <w:t>net stable funding ratio</w:t>
      </w:r>
      <w:r w:rsidR="00055B67">
        <w:t xml:space="preserve"> (NSFR).</w:t>
      </w:r>
    </w:p>
    <w:p w14:paraId="635E7C7A" w14:textId="77777777" w:rsidR="000A4A2A" w:rsidRDefault="000A4A2A" w:rsidP="00ED6A45">
      <w:pPr>
        <w:spacing w:after="0" w:line="240" w:lineRule="auto"/>
      </w:pPr>
      <w:r>
        <w:rPr>
          <w:noProof/>
        </w:rPr>
        <w:lastRenderedPageBreak/>
        <w:drawing>
          <wp:inline distT="0" distB="0" distL="0" distR="0" wp14:anchorId="45626942" wp14:editId="1A6C1ABF">
            <wp:extent cx="5816340" cy="2287324"/>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a:stretch>
                      <a:fillRect/>
                    </a:stretch>
                  </pic:blipFill>
                  <pic:spPr>
                    <a:xfrm>
                      <a:off x="0" y="0"/>
                      <a:ext cx="5816340" cy="2287324"/>
                    </a:xfrm>
                    <a:prstGeom prst="rect">
                      <a:avLst/>
                    </a:prstGeom>
                  </pic:spPr>
                </pic:pic>
              </a:graphicData>
            </a:graphic>
          </wp:inline>
        </w:drawing>
      </w:r>
    </w:p>
    <w:p w14:paraId="4F5D9A1D" w14:textId="3FD73740" w:rsidR="009C48FC" w:rsidRDefault="000A4A2A" w:rsidP="000A4A2A">
      <w:pPr>
        <w:pStyle w:val="Caption"/>
        <w:jc w:val="both"/>
      </w:pPr>
      <w:bookmarkStart w:id="3" w:name="_Ref176950091"/>
      <w:r>
        <w:t xml:space="preserve">Figure </w:t>
      </w:r>
      <w:fldSimple w:instr=" SEQ Figure \* ARABIC ">
        <w:r w:rsidR="00E941CA">
          <w:rPr>
            <w:noProof/>
          </w:rPr>
          <w:t>4</w:t>
        </w:r>
      </w:fldSimple>
      <w:bookmarkEnd w:id="3"/>
      <w:r>
        <w:t xml:space="preserve">. </w:t>
      </w:r>
      <w:r w:rsidRPr="000A4A2A">
        <w:rPr>
          <w:b w:val="0"/>
          <w:bCs/>
        </w:rPr>
        <w:t xml:space="preserve">Use of macroprudential policy in 41 </w:t>
      </w:r>
      <w:r w:rsidR="00EF25B2" w:rsidRPr="00EF25B2">
        <w:rPr>
          <w:b w:val="0"/>
          <w:bCs/>
        </w:rPr>
        <w:t>countries</w:t>
      </w:r>
      <w:r w:rsidR="007F5D17">
        <w:rPr>
          <w:b w:val="0"/>
          <w:bCs/>
        </w:rPr>
        <w:t xml:space="preserve">. </w:t>
      </w:r>
      <w:r w:rsidR="007F5D17" w:rsidRPr="00AB54B0">
        <w:rPr>
          <w:b w:val="0"/>
          <w:bCs/>
        </w:rPr>
        <w:t>Y-axis</w:t>
      </w:r>
      <w:r w:rsidR="007F5D17">
        <w:rPr>
          <w:b w:val="0"/>
          <w:bCs/>
        </w:rPr>
        <w:t xml:space="preserve"> </w:t>
      </w:r>
      <w:r w:rsidR="007F5D17" w:rsidRPr="00AB54B0">
        <w:rPr>
          <w:b w:val="0"/>
          <w:bCs/>
        </w:rPr>
        <w:t>show</w:t>
      </w:r>
      <w:r w:rsidR="007F5D17">
        <w:rPr>
          <w:b w:val="0"/>
          <w:bCs/>
        </w:rPr>
        <w:t xml:space="preserve"> the number of </w:t>
      </w:r>
      <w:r w:rsidR="00E941CA">
        <w:rPr>
          <w:b w:val="0"/>
          <w:bCs/>
        </w:rPr>
        <w:t>policy</w:t>
      </w:r>
      <w:r w:rsidR="007F5D17">
        <w:rPr>
          <w:b w:val="0"/>
          <w:bCs/>
        </w:rPr>
        <w:t xml:space="preserve"> actions taken.</w:t>
      </w:r>
    </w:p>
    <w:p w14:paraId="6E3EF071" w14:textId="77777777" w:rsidR="00E941CA" w:rsidRDefault="00E941CA" w:rsidP="00ED6A45">
      <w:pPr>
        <w:spacing w:after="0" w:line="240" w:lineRule="auto"/>
      </w:pPr>
      <w:r>
        <w:rPr>
          <w:noProof/>
        </w:rPr>
        <w:drawing>
          <wp:inline distT="0" distB="0" distL="0" distR="0" wp14:anchorId="222B17D0" wp14:editId="31DCD7EF">
            <wp:extent cx="5943600" cy="24466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a:stretch>
                      <a:fillRect/>
                    </a:stretch>
                  </pic:blipFill>
                  <pic:spPr>
                    <a:xfrm>
                      <a:off x="0" y="0"/>
                      <a:ext cx="5943600" cy="2446655"/>
                    </a:xfrm>
                    <a:prstGeom prst="rect">
                      <a:avLst/>
                    </a:prstGeom>
                  </pic:spPr>
                </pic:pic>
              </a:graphicData>
            </a:graphic>
          </wp:inline>
        </w:drawing>
      </w:r>
    </w:p>
    <w:p w14:paraId="403B2B81" w14:textId="55B78753" w:rsidR="00C13F98" w:rsidRDefault="00E941CA" w:rsidP="00E941CA">
      <w:pPr>
        <w:pStyle w:val="Caption"/>
        <w:spacing w:before="0"/>
        <w:jc w:val="left"/>
      </w:pPr>
      <w:bookmarkStart w:id="4" w:name="_Ref176950624"/>
      <w:r>
        <w:t xml:space="preserve">Figure </w:t>
      </w:r>
      <w:fldSimple w:instr=" SEQ Figure \* ARABIC ">
        <w:r>
          <w:rPr>
            <w:noProof/>
          </w:rPr>
          <w:t>5</w:t>
        </w:r>
      </w:fldSimple>
      <w:bookmarkEnd w:id="4"/>
      <w:r>
        <w:t xml:space="preserve">. </w:t>
      </w:r>
      <w:r w:rsidRPr="000A4A2A">
        <w:rPr>
          <w:b w:val="0"/>
          <w:bCs/>
        </w:rPr>
        <w:t xml:space="preserve">Use of macroprudential </w:t>
      </w:r>
      <w:r>
        <w:rPr>
          <w:b w:val="0"/>
          <w:bCs/>
        </w:rPr>
        <w:t>policy</w:t>
      </w:r>
      <w:r w:rsidRPr="000A4A2A">
        <w:rPr>
          <w:b w:val="0"/>
          <w:bCs/>
        </w:rPr>
        <w:t xml:space="preserve"> in 41 </w:t>
      </w:r>
      <w:r w:rsidRPr="00EF25B2">
        <w:rPr>
          <w:b w:val="0"/>
          <w:bCs/>
        </w:rPr>
        <w:t>countries</w:t>
      </w:r>
      <w:r>
        <w:rPr>
          <w:b w:val="0"/>
          <w:bCs/>
        </w:rPr>
        <w:t xml:space="preserve"> and </w:t>
      </w:r>
      <w:r w:rsidRPr="00E941CA">
        <w:rPr>
          <w:b w:val="0"/>
          <w:bCs/>
        </w:rPr>
        <w:t>decomposition</w:t>
      </w:r>
      <w:r>
        <w:rPr>
          <w:b w:val="0"/>
          <w:bCs/>
        </w:rPr>
        <w:t xml:space="preserve"> of </w:t>
      </w:r>
      <w:r w:rsidRPr="00E941CA">
        <w:rPr>
          <w:b w:val="0"/>
          <w:bCs/>
        </w:rPr>
        <w:t>macroprudential measures</w:t>
      </w:r>
      <w:r>
        <w:rPr>
          <w:b w:val="0"/>
          <w:bCs/>
        </w:rPr>
        <w:t xml:space="preserve">. </w:t>
      </w:r>
      <w:r w:rsidRPr="00AB54B0">
        <w:rPr>
          <w:b w:val="0"/>
          <w:bCs/>
        </w:rPr>
        <w:t>Y-axis</w:t>
      </w:r>
      <w:r>
        <w:rPr>
          <w:b w:val="0"/>
          <w:bCs/>
        </w:rPr>
        <w:t xml:space="preserve"> </w:t>
      </w:r>
      <w:r w:rsidRPr="00AB54B0">
        <w:rPr>
          <w:b w:val="0"/>
          <w:bCs/>
        </w:rPr>
        <w:t>show</w:t>
      </w:r>
      <w:r>
        <w:rPr>
          <w:b w:val="0"/>
          <w:bCs/>
        </w:rPr>
        <w:t xml:space="preserve"> the net number of tightening vs </w:t>
      </w:r>
      <w:r w:rsidRPr="00E941CA">
        <w:rPr>
          <w:b w:val="0"/>
          <w:bCs/>
        </w:rPr>
        <w:t>loosening</w:t>
      </w:r>
      <w:r>
        <w:rPr>
          <w:b w:val="0"/>
          <w:bCs/>
        </w:rPr>
        <w:t xml:space="preserve"> policy actions taken.</w:t>
      </w:r>
    </w:p>
    <w:p w14:paraId="106D7A9E" w14:textId="22C9B3A7" w:rsidR="009C48FC" w:rsidRDefault="00886D28" w:rsidP="00F57D81">
      <w:pPr>
        <w:ind w:firstLine="284"/>
      </w:pPr>
      <w:r>
        <w:t xml:space="preserve">We examine the impact of </w:t>
      </w:r>
      <w:r w:rsidRPr="000A4A2A">
        <w:rPr>
          <w:bCs/>
        </w:rPr>
        <w:t xml:space="preserve">macroprudential </w:t>
      </w:r>
      <w:r>
        <w:rPr>
          <w:bCs/>
        </w:rPr>
        <w:t xml:space="preserve">policy </w:t>
      </w:r>
      <w:r w:rsidR="005527ED">
        <w:rPr>
          <w:bCs/>
        </w:rPr>
        <w:t>on</w:t>
      </w:r>
      <w:r>
        <w:rPr>
          <w:bCs/>
        </w:rPr>
        <w:t xml:space="preserve"> the GDP growth </w:t>
      </w:r>
      <w:r w:rsidRPr="00D21118">
        <w:t>distribution</w:t>
      </w:r>
      <w:r>
        <w:t xml:space="preserve"> of the 41 countries in </w:t>
      </w:r>
      <w:r w:rsidRPr="00886D28">
        <w:rPr>
          <w:b/>
          <w:bCs/>
        </w:rPr>
        <w:fldChar w:fldCharType="begin"/>
      </w:r>
      <w:r w:rsidRPr="00886D28">
        <w:rPr>
          <w:b/>
          <w:bCs/>
        </w:rPr>
        <w:instrText xml:space="preserve"> REF _Ref176956405 \h </w:instrText>
      </w:r>
      <w:r>
        <w:rPr>
          <w:b/>
          <w:bCs/>
        </w:rPr>
        <w:instrText xml:space="preserve"> \* MERGEFORMAT </w:instrText>
      </w:r>
      <w:r w:rsidRPr="00886D28">
        <w:rPr>
          <w:b/>
          <w:bCs/>
        </w:rPr>
      </w:r>
      <w:r w:rsidRPr="00886D28">
        <w:rPr>
          <w:b/>
          <w:bCs/>
        </w:rPr>
        <w:fldChar w:fldCharType="separate"/>
      </w:r>
      <w:r w:rsidRPr="00886D28">
        <w:rPr>
          <w:b/>
          <w:bCs/>
        </w:rPr>
        <w:t xml:space="preserve">Figure </w:t>
      </w:r>
      <w:r w:rsidRPr="00886D28">
        <w:rPr>
          <w:b/>
          <w:bCs/>
          <w:noProof/>
        </w:rPr>
        <w:t>6</w:t>
      </w:r>
      <w:r w:rsidRPr="00886D28">
        <w:rPr>
          <w:b/>
          <w:bCs/>
        </w:rPr>
        <w:fldChar w:fldCharType="end"/>
      </w:r>
      <w:r>
        <w:t>.</w:t>
      </w:r>
      <w:r w:rsidR="00815240">
        <w:t xml:space="preserve"> During the crisis period </w:t>
      </w:r>
      <w:r w:rsidR="005527ED">
        <w:t xml:space="preserve">the major difference is observed on the right tail of the </w:t>
      </w:r>
      <w:r w:rsidR="005527ED" w:rsidRPr="005527ED">
        <w:t>distribution</w:t>
      </w:r>
      <w:r w:rsidR="005527ED">
        <w:t xml:space="preserve">, which may imply faster recovery. The difference becomes more </w:t>
      </w:r>
      <w:r w:rsidR="005527ED" w:rsidRPr="005527ED">
        <w:t>significant</w:t>
      </w:r>
      <w:r w:rsidR="005527ED">
        <w:t xml:space="preserve"> when examining the recovery period. Countries that had implemented tightening measures had higher GDP growth in </w:t>
      </w:r>
      <w:r w:rsidR="00AA7C9C">
        <w:t>this</w:t>
      </w:r>
      <w:r w:rsidR="005527ED">
        <w:t xml:space="preserve"> period.</w:t>
      </w:r>
    </w:p>
    <w:p w14:paraId="2AF14046" w14:textId="77777777" w:rsidR="00F30D8F" w:rsidRDefault="00F30D8F" w:rsidP="00ED6A45">
      <w:pPr>
        <w:spacing w:after="0" w:line="240" w:lineRule="auto"/>
      </w:pPr>
      <w:r>
        <w:rPr>
          <w:noProof/>
        </w:rPr>
        <w:lastRenderedPageBreak/>
        <w:drawing>
          <wp:inline distT="0" distB="0" distL="0" distR="0" wp14:anchorId="3C147669" wp14:editId="49B14A66">
            <wp:extent cx="5943600" cy="16833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a:stretch>
                      <a:fillRect/>
                    </a:stretch>
                  </pic:blipFill>
                  <pic:spPr>
                    <a:xfrm>
                      <a:off x="0" y="0"/>
                      <a:ext cx="5943600" cy="1683385"/>
                    </a:xfrm>
                    <a:prstGeom prst="rect">
                      <a:avLst/>
                    </a:prstGeom>
                  </pic:spPr>
                </pic:pic>
              </a:graphicData>
            </a:graphic>
          </wp:inline>
        </w:drawing>
      </w:r>
    </w:p>
    <w:p w14:paraId="6D9C468E" w14:textId="080CC5C1" w:rsidR="00F30D8F" w:rsidRDefault="00F30D8F" w:rsidP="00DD1F46">
      <w:pPr>
        <w:pStyle w:val="Caption"/>
        <w:jc w:val="both"/>
      </w:pPr>
      <w:bookmarkStart w:id="5" w:name="_Ref176956405"/>
      <w:r>
        <w:t xml:space="preserve">Figure </w:t>
      </w:r>
      <w:fldSimple w:instr=" SEQ Figure \* ARABIC ">
        <w:r w:rsidR="00E941CA">
          <w:rPr>
            <w:noProof/>
          </w:rPr>
          <w:t>6</w:t>
        </w:r>
      </w:fldSimple>
      <w:bookmarkEnd w:id="5"/>
      <w:r>
        <w:t xml:space="preserve">. </w:t>
      </w:r>
      <w:r w:rsidR="003A0E04" w:rsidRPr="009C48FC">
        <w:rPr>
          <w:b w:val="0"/>
          <w:bCs/>
          <w:szCs w:val="18"/>
        </w:rPr>
        <w:t>GDP growth distribution of</w:t>
      </w:r>
      <w:r w:rsidR="003A0E04">
        <w:rPr>
          <w:b w:val="0"/>
          <w:bCs/>
          <w:szCs w:val="18"/>
        </w:rPr>
        <w:t xml:space="preserve"> 41</w:t>
      </w:r>
      <w:r w:rsidRPr="00F30D8F">
        <w:rPr>
          <w:b w:val="0"/>
          <w:bCs/>
        </w:rPr>
        <w:t xml:space="preserve"> countries that implemented </w:t>
      </w:r>
      <w:r w:rsidR="003A0E04" w:rsidRPr="009C48FC">
        <w:rPr>
          <w:b w:val="0"/>
          <w:bCs/>
          <w:szCs w:val="18"/>
        </w:rPr>
        <w:t>macroprudential policy tightening</w:t>
      </w:r>
      <w:r w:rsidR="003A0E04">
        <w:rPr>
          <w:b w:val="0"/>
          <w:bCs/>
          <w:szCs w:val="18"/>
        </w:rPr>
        <w:t xml:space="preserve"> one year</w:t>
      </w:r>
      <w:r w:rsidRPr="00F30D8F">
        <w:rPr>
          <w:b w:val="0"/>
          <w:bCs/>
        </w:rPr>
        <w:t xml:space="preserve"> before </w:t>
      </w:r>
      <w:r w:rsidR="003309FD">
        <w:rPr>
          <w:b w:val="0"/>
          <w:bCs/>
        </w:rPr>
        <w:t xml:space="preserve">a </w:t>
      </w:r>
      <w:r w:rsidRPr="00F30D8F">
        <w:rPr>
          <w:b w:val="0"/>
          <w:bCs/>
        </w:rPr>
        <w:t>major cris</w:t>
      </w:r>
      <w:r w:rsidR="003309FD">
        <w:rPr>
          <w:b w:val="0"/>
          <w:bCs/>
        </w:rPr>
        <w:t>is</w:t>
      </w:r>
      <w:r w:rsidR="003A0E04">
        <w:rPr>
          <w:b w:val="0"/>
          <w:bCs/>
        </w:rPr>
        <w:t>.</w:t>
      </w:r>
    </w:p>
    <w:p w14:paraId="405B88F3" w14:textId="300DADD7" w:rsidR="004525E8" w:rsidRDefault="00E96391" w:rsidP="004525E8">
      <w:pPr>
        <w:pStyle w:val="SectionHeading"/>
        <w:numPr>
          <w:ilvl w:val="1"/>
          <w:numId w:val="8"/>
        </w:numPr>
      </w:pPr>
      <w:r>
        <w:t>M</w:t>
      </w:r>
      <w:r w:rsidRPr="00E96391">
        <w:t>aterialization of risk</w:t>
      </w:r>
      <w:r>
        <w:t>s</w:t>
      </w:r>
    </w:p>
    <w:p w14:paraId="2F923406" w14:textId="73DD0128" w:rsidR="006E3063" w:rsidRDefault="00D57B0A" w:rsidP="00E650CA">
      <w:r>
        <w:t>M</w:t>
      </w:r>
      <w:r w:rsidR="00855DC2" w:rsidRPr="00E650CA">
        <w:t xml:space="preserve">acroprudential policy affects </w:t>
      </w:r>
      <w:r w:rsidR="00203BBD">
        <w:t xml:space="preserve">the </w:t>
      </w:r>
      <w:r w:rsidR="00855DC2" w:rsidRPr="00E650CA">
        <w:t xml:space="preserve">GDP growth distribution by </w:t>
      </w:r>
      <w:r w:rsidR="00DF5AA0" w:rsidRPr="00E650CA">
        <w:t xml:space="preserve">regulating </w:t>
      </w:r>
      <w:r w:rsidR="00855DC2" w:rsidRPr="00E650CA">
        <w:t>the buildup of systemic risk</w:t>
      </w:r>
      <w:r w:rsidR="00203BBD">
        <w:t>s</w:t>
      </w:r>
      <w:r w:rsidR="00855DC2" w:rsidRPr="00E650CA">
        <w:t>.</w:t>
      </w:r>
      <w:r w:rsidR="00C0532B" w:rsidRPr="00E650CA">
        <w:t xml:space="preserve"> </w:t>
      </w:r>
      <w:r w:rsidR="0007555B">
        <w:t xml:space="preserve">These vulnerabilities tend to accumulate during periods characterized by rising asset prices and low market volatility. In such environments, the ease of borrowing encourages economic agents to increase leverage. </w:t>
      </w:r>
      <w:r w:rsidR="00A61CC1" w:rsidRPr="00E650CA">
        <w:t>These conditions reduce the incentives of financial intermediaries to manage liquidity</w:t>
      </w:r>
      <w:r w:rsidR="00F80EFF" w:rsidRPr="00E650CA">
        <w:t xml:space="preserve"> and </w:t>
      </w:r>
      <w:r w:rsidR="00A61CC1" w:rsidRPr="00E650CA">
        <w:t>solvency</w:t>
      </w:r>
      <w:r w:rsidR="0007555B">
        <w:t xml:space="preserve"> </w:t>
      </w:r>
      <w:r w:rsidR="00A61CC1" w:rsidRPr="00E650CA">
        <w:t>risks</w:t>
      </w:r>
      <w:r w:rsidR="0007555B">
        <w:t xml:space="preserve"> while simultaneously expanding their lending capacity and risk appetite.</w:t>
      </w:r>
      <w:r w:rsidR="005F359A">
        <w:t xml:space="preserve"> </w:t>
      </w:r>
      <w:r w:rsidR="0007555B">
        <w:t xml:space="preserve">Consequently, this leads to negative externalities, manifesting as </w:t>
      </w:r>
      <w:r w:rsidR="0007555B" w:rsidRPr="00E650CA">
        <w:t xml:space="preserve">“increased leverage, mismatches of maturity and financial positions, growing indebtedness, reduced debt servicing capacity, and other balance sheet weaknesses” </w:t>
      </w:r>
      <w:sdt>
        <w:sdtPr>
          <w:id w:val="-1642646198"/>
          <w:citation/>
        </w:sdtPr>
        <w:sdtContent>
          <w:r w:rsidR="0007555B" w:rsidRPr="00E650CA">
            <w:fldChar w:fldCharType="begin"/>
          </w:r>
          <w:r w:rsidR="0007555B" w:rsidRPr="00E650CA">
            <w:instrText xml:space="preserve"> CITATION Pra19 \l 1033 </w:instrText>
          </w:r>
          <w:r w:rsidR="0007555B" w:rsidRPr="00E650CA">
            <w:fldChar w:fldCharType="separate"/>
          </w:r>
          <w:r w:rsidR="00C8403C">
            <w:rPr>
              <w:noProof/>
            </w:rPr>
            <w:t>(Adrian, et al., 2019)</w:t>
          </w:r>
          <w:r w:rsidR="0007555B" w:rsidRPr="00E650CA">
            <w:fldChar w:fldCharType="end"/>
          </w:r>
        </w:sdtContent>
      </w:sdt>
      <w:r w:rsidR="0007555B" w:rsidRPr="00E650CA">
        <w:t>.</w:t>
      </w:r>
      <w:r w:rsidR="006E3063">
        <w:t xml:space="preserve"> During periods of financial stress, banks </w:t>
      </w:r>
      <w:r w:rsidR="006E3063" w:rsidRPr="00E650CA">
        <w:t>reduce lending</w:t>
      </w:r>
      <w:r w:rsidR="006E3063">
        <w:t xml:space="preserve"> and engage in deleveraging, which further exacerbates the decline in asset prices. Ultimately, these exposures contribute to deeper, more prolonged, and severe economic downturns </w:t>
      </w:r>
      <w:sdt>
        <w:sdtPr>
          <w:id w:val="-486785085"/>
          <w:citation/>
        </w:sdtPr>
        <w:sdtContent>
          <w:r w:rsidR="009300A2" w:rsidRPr="00E650CA">
            <w:fldChar w:fldCharType="begin"/>
          </w:r>
          <w:r w:rsidR="009300A2" w:rsidRPr="00E650CA">
            <w:instrText xml:space="preserve"> CITATION Car11 \l 1033 </w:instrText>
          </w:r>
          <w:r w:rsidR="009300A2" w:rsidRPr="00E650CA">
            <w:fldChar w:fldCharType="separate"/>
          </w:r>
          <w:r w:rsidR="00C8403C">
            <w:rPr>
              <w:noProof/>
            </w:rPr>
            <w:t>(Cardarelli, Elekdag, &amp; Lall, 2011)</w:t>
          </w:r>
          <w:r w:rsidR="009300A2" w:rsidRPr="00E650CA">
            <w:fldChar w:fldCharType="end"/>
          </w:r>
        </w:sdtContent>
      </w:sdt>
      <w:r w:rsidR="009300A2" w:rsidRPr="00E650CA">
        <w:t>.</w:t>
      </w:r>
    </w:p>
    <w:p w14:paraId="3D7DB08D" w14:textId="13759426" w:rsidR="00C3634A" w:rsidRPr="00C3634A" w:rsidRDefault="00203BBD" w:rsidP="00C3634A">
      <w:pPr>
        <w:ind w:firstLine="284"/>
        <w:rPr>
          <w:bCs/>
        </w:rPr>
      </w:pPr>
      <w:r>
        <w:rPr>
          <w:bCs/>
        </w:rPr>
        <w:t xml:space="preserve">In </w:t>
      </w:r>
      <w:r w:rsidRPr="00203BBD">
        <w:rPr>
          <w:b/>
        </w:rPr>
        <w:fldChar w:fldCharType="begin"/>
      </w:r>
      <w:r w:rsidRPr="00203BBD">
        <w:rPr>
          <w:b/>
        </w:rPr>
        <w:instrText xml:space="preserve"> REF _Ref177026109 \h </w:instrText>
      </w:r>
      <w:r>
        <w:rPr>
          <w:b/>
        </w:rPr>
        <w:instrText xml:space="preserve"> \* MERGEFORMAT </w:instrText>
      </w:r>
      <w:r w:rsidRPr="00203BBD">
        <w:rPr>
          <w:b/>
        </w:rPr>
      </w:r>
      <w:r w:rsidRPr="00203BBD">
        <w:rPr>
          <w:b/>
        </w:rPr>
        <w:fldChar w:fldCharType="separate"/>
      </w:r>
      <w:r w:rsidRPr="00203BBD">
        <w:rPr>
          <w:b/>
        </w:rPr>
        <w:t xml:space="preserve">Figure </w:t>
      </w:r>
      <w:r w:rsidRPr="00203BBD">
        <w:rPr>
          <w:b/>
          <w:noProof/>
        </w:rPr>
        <w:t>7</w:t>
      </w:r>
      <w:r w:rsidRPr="00203BBD">
        <w:rPr>
          <w:b/>
        </w:rPr>
        <w:fldChar w:fldCharType="end"/>
      </w:r>
      <w:r>
        <w:rPr>
          <w:bCs/>
        </w:rPr>
        <w:t xml:space="preserve">, we </w:t>
      </w:r>
      <w:r w:rsidR="003871F7">
        <w:t>present</w:t>
      </w:r>
      <w:r>
        <w:rPr>
          <w:bCs/>
        </w:rPr>
        <w:t xml:space="preserve"> the </w:t>
      </w:r>
      <w:r w:rsidRPr="00E650CA">
        <w:rPr>
          <w:bCs/>
        </w:rPr>
        <w:t>unconditional</w:t>
      </w:r>
      <w:r>
        <w:rPr>
          <w:bCs/>
        </w:rPr>
        <w:t xml:space="preserve"> GDP growth </w:t>
      </w:r>
      <w:r w:rsidRPr="00E650CA">
        <w:t>distribution</w:t>
      </w:r>
      <w:r>
        <w:t xml:space="preserve"> of Armenia</w:t>
      </w:r>
      <w:r w:rsidR="0075790B">
        <w:t xml:space="preserve">. </w:t>
      </w:r>
      <w:r w:rsidR="003871F7" w:rsidRPr="003871F7">
        <w:t>The dotted lines represent the median and the 10th percentile (or tail) of the distribution.</w:t>
      </w:r>
      <w:r w:rsidR="0075790B">
        <w:t xml:space="preserve"> </w:t>
      </w:r>
      <w:r w:rsidR="003871F7" w:rsidRPr="003871F7">
        <w:t>The difference between the median and the tail, referred to as the “distance-to-tail,” reflects the unconditional risks faced by the financial system.</w:t>
      </w:r>
      <w:r w:rsidR="003871F7">
        <w:t xml:space="preserve"> This metric captures not only the direct impact of potential crises but also the amplifying effects of systemic risks.</w:t>
      </w:r>
      <w:r w:rsidR="00C3634A">
        <w:t xml:space="preserve"> In the case of Armenia, a crisis, defined as the worst 10% of possible outcomes, could reduce GDP growth by up to 12.4%.</w:t>
      </w:r>
    </w:p>
    <w:p w14:paraId="2939ACA7" w14:textId="433A71C5" w:rsidR="004A4BED" w:rsidRDefault="004A4BED" w:rsidP="00ED6A45">
      <w:pPr>
        <w:spacing w:after="0" w:line="240" w:lineRule="auto"/>
      </w:pPr>
      <w:r>
        <w:rPr>
          <w:b/>
          <w:bCs/>
          <w:noProof/>
        </w:rPr>
        <w:lastRenderedPageBreak/>
        <w:drawing>
          <wp:inline distT="0" distB="0" distL="0" distR="0" wp14:anchorId="15F28670" wp14:editId="2606689D">
            <wp:extent cx="5943600" cy="295084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7"/>
                    <a:stretch>
                      <a:fillRect/>
                    </a:stretch>
                  </pic:blipFill>
                  <pic:spPr>
                    <a:xfrm>
                      <a:off x="0" y="0"/>
                      <a:ext cx="5943600" cy="2950845"/>
                    </a:xfrm>
                    <a:prstGeom prst="rect">
                      <a:avLst/>
                    </a:prstGeom>
                  </pic:spPr>
                </pic:pic>
              </a:graphicData>
            </a:graphic>
          </wp:inline>
        </w:drawing>
      </w:r>
    </w:p>
    <w:p w14:paraId="76889465" w14:textId="227DAAF3" w:rsidR="004A4BED" w:rsidRPr="004A4BED" w:rsidRDefault="004A4BED" w:rsidP="004A4BED">
      <w:pPr>
        <w:pStyle w:val="Caption"/>
        <w:jc w:val="left"/>
        <w:rPr>
          <w:b w:val="0"/>
          <w:bCs/>
        </w:rPr>
      </w:pPr>
      <w:bookmarkStart w:id="6" w:name="_Ref177026109"/>
      <w:r>
        <w:t xml:space="preserve">Figure </w:t>
      </w:r>
      <w:fldSimple w:instr=" SEQ Figure \* ARABIC ">
        <w:r w:rsidR="00E941CA">
          <w:rPr>
            <w:noProof/>
          </w:rPr>
          <w:t>7</w:t>
        </w:r>
      </w:fldSimple>
      <w:bookmarkEnd w:id="6"/>
      <w:r>
        <w:t xml:space="preserve">. </w:t>
      </w:r>
      <w:r w:rsidR="00D67C69">
        <w:rPr>
          <w:b w:val="0"/>
          <w:bCs/>
        </w:rPr>
        <w:t>U</w:t>
      </w:r>
      <w:r w:rsidR="00D67C69" w:rsidRPr="004A4BED">
        <w:rPr>
          <w:b w:val="0"/>
          <w:bCs/>
        </w:rPr>
        <w:t xml:space="preserve">nconditional </w:t>
      </w:r>
      <w:r w:rsidR="00D67C69">
        <w:rPr>
          <w:b w:val="0"/>
          <w:bCs/>
        </w:rPr>
        <w:t>G</w:t>
      </w:r>
      <w:r w:rsidRPr="004A4BED">
        <w:rPr>
          <w:b w:val="0"/>
          <w:bCs/>
        </w:rPr>
        <w:t xml:space="preserve">DP </w:t>
      </w:r>
      <w:r w:rsidR="00D67C69">
        <w:rPr>
          <w:b w:val="0"/>
          <w:bCs/>
        </w:rPr>
        <w:t xml:space="preserve">growth </w:t>
      </w:r>
      <w:r w:rsidR="00D67C69" w:rsidRPr="00D67C69">
        <w:rPr>
          <w:b w:val="0"/>
          <w:bCs/>
        </w:rPr>
        <w:t>distribution</w:t>
      </w:r>
      <w:r w:rsidR="00D67C69">
        <w:rPr>
          <w:b w:val="0"/>
          <w:bCs/>
        </w:rPr>
        <w:t xml:space="preserve"> of Armenia and distance-to-tail.</w:t>
      </w:r>
    </w:p>
    <w:p w14:paraId="389F1F56" w14:textId="3BFDB27A" w:rsidR="000D4D6C" w:rsidRPr="001C2D42" w:rsidRDefault="005328EB" w:rsidP="00FD0BB6">
      <w:pPr>
        <w:ind w:firstLine="284"/>
      </w:pPr>
      <w:r>
        <w:rPr>
          <w:bCs/>
        </w:rPr>
        <w:t xml:space="preserve">In </w:t>
      </w:r>
      <w:r w:rsidRPr="005328EB">
        <w:rPr>
          <w:b/>
        </w:rPr>
        <w:fldChar w:fldCharType="begin"/>
      </w:r>
      <w:r w:rsidRPr="005328EB">
        <w:rPr>
          <w:b/>
        </w:rPr>
        <w:instrText xml:space="preserve"> REF _Ref177026757 \h </w:instrText>
      </w:r>
      <w:r>
        <w:rPr>
          <w:b/>
        </w:rPr>
        <w:instrText xml:space="preserve"> \* MERGEFORMAT </w:instrText>
      </w:r>
      <w:r w:rsidRPr="005328EB">
        <w:rPr>
          <w:b/>
        </w:rPr>
      </w:r>
      <w:r w:rsidRPr="005328EB">
        <w:rPr>
          <w:b/>
        </w:rPr>
        <w:fldChar w:fldCharType="separate"/>
      </w:r>
      <w:r w:rsidRPr="005328EB">
        <w:rPr>
          <w:b/>
        </w:rPr>
        <w:t xml:space="preserve">Figure </w:t>
      </w:r>
      <w:r w:rsidRPr="005328EB">
        <w:rPr>
          <w:b/>
          <w:noProof/>
        </w:rPr>
        <w:t>8</w:t>
      </w:r>
      <w:r w:rsidRPr="005328EB">
        <w:rPr>
          <w:b/>
        </w:rPr>
        <w:fldChar w:fldCharType="end"/>
      </w:r>
      <w:r>
        <w:rPr>
          <w:bCs/>
        </w:rPr>
        <w:t xml:space="preserve">, we illustrate the GDP growth </w:t>
      </w:r>
      <w:r w:rsidRPr="00D67C69">
        <w:rPr>
          <w:bCs/>
        </w:rPr>
        <w:t>distribution</w:t>
      </w:r>
      <w:r>
        <w:rPr>
          <w:bCs/>
        </w:rPr>
        <w:t xml:space="preserve"> of Armenia conditional on systemic risks. </w:t>
      </w:r>
      <w:r w:rsidR="00434777">
        <w:t>This</w:t>
      </w:r>
      <w:r w:rsidR="00A86BA3" w:rsidRPr="00E650CA">
        <w:t xml:space="preserve"> conditional</w:t>
      </w:r>
      <w:r w:rsidR="00434777">
        <w:t xml:space="preserve"> </w:t>
      </w:r>
      <w:r w:rsidR="00A86BA3" w:rsidRPr="00E650CA">
        <w:t>distribution displays how the risks shape the uncertainty</w:t>
      </w:r>
      <w:r w:rsidR="00FD0BB6">
        <w:t xml:space="preserve"> </w:t>
      </w:r>
      <w:r w:rsidR="00FD0BB6" w:rsidRPr="00FD0BB6">
        <w:t>surrounding</w:t>
      </w:r>
      <w:r w:rsidR="00A86BA3" w:rsidRPr="00E650CA">
        <w:t xml:space="preserve"> GDP growth expectations.</w:t>
      </w:r>
      <w:r w:rsidR="00FD0BB6">
        <w:rPr>
          <w:bCs/>
        </w:rPr>
        <w:t xml:space="preserve"> </w:t>
      </w:r>
      <w:r w:rsidR="00164626">
        <w:rPr>
          <w:bCs/>
        </w:rPr>
        <w:t xml:space="preserve">The conditional </w:t>
      </w:r>
      <w:r w:rsidR="00164626" w:rsidRPr="00E650CA">
        <w:rPr>
          <w:bCs/>
        </w:rPr>
        <w:t>distance-to-tail</w:t>
      </w:r>
      <w:r w:rsidR="00164626">
        <w:rPr>
          <w:bCs/>
        </w:rPr>
        <w:t xml:space="preserve"> serves as a means to </w:t>
      </w:r>
      <w:r w:rsidR="00164626" w:rsidRPr="00164626">
        <w:rPr>
          <w:bCs/>
        </w:rPr>
        <w:t>quantify</w:t>
      </w:r>
      <w:r w:rsidR="00164626">
        <w:rPr>
          <w:bCs/>
        </w:rPr>
        <w:t xml:space="preserve"> the negative impact that the buildup of systemic risks can </w:t>
      </w:r>
      <w:r w:rsidR="00FD0BB6">
        <w:t>exert</w:t>
      </w:r>
      <w:r w:rsidR="00164626">
        <w:rPr>
          <w:bCs/>
        </w:rPr>
        <w:t xml:space="preserve"> on the economy.</w:t>
      </w:r>
      <w:r w:rsidR="00FD0BB6">
        <w:rPr>
          <w:bCs/>
        </w:rPr>
        <w:t xml:space="preserve"> </w:t>
      </w:r>
      <w:r w:rsidR="00164626">
        <w:rPr>
          <w:bCs/>
        </w:rPr>
        <w:t>In the same figure</w:t>
      </w:r>
      <w:r w:rsidR="00F141A9">
        <w:rPr>
          <w:bCs/>
        </w:rPr>
        <w:t>,</w:t>
      </w:r>
      <w:r w:rsidR="00164626">
        <w:rPr>
          <w:bCs/>
        </w:rPr>
        <w:t xml:space="preserve"> we simulate how a buildup of financial vulnerabilities, such as </w:t>
      </w:r>
      <w:r w:rsidR="00164626">
        <w:t>e</w:t>
      </w:r>
      <w:r w:rsidR="00E650CA" w:rsidRPr="00E650CA">
        <w:t>xcessive credit growth a year prior will affect the shape of the distribution</w:t>
      </w:r>
      <w:r w:rsidR="00164626">
        <w:t xml:space="preserve"> (</w:t>
      </w:r>
      <w:r w:rsidR="00FD0BB6">
        <w:t>shown</w:t>
      </w:r>
      <w:r w:rsidR="00164626">
        <w:t xml:space="preserve"> in </w:t>
      </w:r>
      <w:r w:rsidR="00164626" w:rsidRPr="00164626">
        <w:t>yellow</w:t>
      </w:r>
      <w:r w:rsidR="00164626">
        <w:t>)</w:t>
      </w:r>
      <w:r w:rsidR="00E650CA" w:rsidRPr="00E650CA">
        <w:t>.</w:t>
      </w:r>
      <w:r w:rsidR="00FD0BB6">
        <w:rPr>
          <w:bCs/>
        </w:rPr>
        <w:t xml:space="preserve"> </w:t>
      </w:r>
      <w:r w:rsidR="00A86BA3">
        <w:t>This type of environment</w:t>
      </w:r>
      <w:r w:rsidR="00E650CA" w:rsidRPr="00E650CA">
        <w:t xml:space="preserve"> may </w:t>
      </w:r>
      <w:r w:rsidR="00E650CA" w:rsidRPr="00A86BA3">
        <w:t>increase or decrease the median</w:t>
      </w:r>
      <w:r w:rsidR="00A86BA3" w:rsidRPr="00A86BA3">
        <w:t xml:space="preserve"> depending on the </w:t>
      </w:r>
      <w:r w:rsidR="00FD0BB6">
        <w:t>nature</w:t>
      </w:r>
      <w:r w:rsidR="00A86BA3" w:rsidRPr="00A86BA3">
        <w:t xml:space="preserve"> of externalities</w:t>
      </w:r>
      <w:r w:rsidR="00E650CA" w:rsidRPr="00A86BA3">
        <w:t xml:space="preserve">, but </w:t>
      </w:r>
      <w:r w:rsidR="00A86BA3" w:rsidRPr="00A86BA3">
        <w:t xml:space="preserve">it </w:t>
      </w:r>
      <w:r w:rsidR="00E650CA" w:rsidRPr="00A86BA3">
        <w:t>will always negatively affect the tail.</w:t>
      </w:r>
      <w:r w:rsidR="00FD0BB6">
        <w:t xml:space="preserve"> </w:t>
      </w:r>
      <w:r w:rsidR="00E650CA" w:rsidRPr="00A86BA3">
        <w:t>The distance-to-tail will sharply increase as a result</w:t>
      </w:r>
      <w:r w:rsidR="00A86BA3" w:rsidRPr="00A86BA3">
        <w:t xml:space="preserve">, </w:t>
      </w:r>
      <w:r w:rsidR="00FD0BB6">
        <w:t xml:space="preserve">reflecting the potential severity of these risks. </w:t>
      </w:r>
      <w:r w:rsidR="00A86BA3" w:rsidRPr="00A86BA3">
        <w:t xml:space="preserve">Lastly, we </w:t>
      </w:r>
      <w:r w:rsidR="00A86BA3">
        <w:rPr>
          <w:bCs/>
        </w:rPr>
        <w:t xml:space="preserve">simulate the impact that a </w:t>
      </w:r>
      <w:r w:rsidR="00A86BA3" w:rsidRPr="00A86BA3">
        <w:t>tightening</w:t>
      </w:r>
      <w:r w:rsidR="00A86BA3">
        <w:t xml:space="preserve"> of </w:t>
      </w:r>
      <w:r w:rsidR="00A86BA3" w:rsidRPr="00A86BA3">
        <w:t>macroprudential policy</w:t>
      </w:r>
      <w:r w:rsidR="00A86BA3">
        <w:t xml:space="preserve"> during e</w:t>
      </w:r>
      <w:r w:rsidR="00A86BA3" w:rsidRPr="00E650CA">
        <w:t>xcessive credit growth</w:t>
      </w:r>
      <w:r w:rsidR="00A86BA3">
        <w:t xml:space="preserve"> might have on the </w:t>
      </w:r>
      <w:r w:rsidR="00A86BA3" w:rsidRPr="00E650CA">
        <w:t>distribution</w:t>
      </w:r>
      <w:r w:rsidR="00A86BA3">
        <w:t xml:space="preserve"> (</w:t>
      </w:r>
      <w:r w:rsidR="00FD0BB6">
        <w:t>shown</w:t>
      </w:r>
      <w:r w:rsidR="00A86BA3">
        <w:t xml:space="preserve"> in green).</w:t>
      </w:r>
      <w:r w:rsidR="00FD0BB6">
        <w:t xml:space="preserve"> While tightening policies tend to lower the median due to the short-term costs imposed on banks, they also improve the tail outcomes. </w:t>
      </w:r>
      <w:r w:rsidR="00FD0BB6" w:rsidRPr="00FD0BB6">
        <w:t>As a result, the distance-to-tail decreases, signaling a reduction in negative outcomes related to systemic risks</w:t>
      </w:r>
      <w:r w:rsidR="00FD0BB6">
        <w:t xml:space="preserve">. </w:t>
      </w:r>
      <w:r w:rsidR="000D4D6C">
        <w:t>This is both a result of the reduction in risks, but also the increased resilience of the system.</w:t>
      </w:r>
    </w:p>
    <w:p w14:paraId="3B035774" w14:textId="77777777" w:rsidR="004A4BED" w:rsidRPr="00C76BAC" w:rsidRDefault="004A4BED" w:rsidP="00ED6A45">
      <w:pPr>
        <w:spacing w:after="0" w:line="240" w:lineRule="auto"/>
      </w:pPr>
      <w:r>
        <w:rPr>
          <w:noProof/>
        </w:rPr>
        <w:lastRenderedPageBreak/>
        <w:drawing>
          <wp:inline distT="0" distB="0" distL="0" distR="0" wp14:anchorId="57702B91" wp14:editId="4BE68AC4">
            <wp:extent cx="5943600" cy="295084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8"/>
                    <a:stretch>
                      <a:fillRect/>
                    </a:stretch>
                  </pic:blipFill>
                  <pic:spPr>
                    <a:xfrm>
                      <a:off x="0" y="0"/>
                      <a:ext cx="5943600" cy="2950845"/>
                    </a:xfrm>
                    <a:prstGeom prst="rect">
                      <a:avLst/>
                    </a:prstGeom>
                  </pic:spPr>
                </pic:pic>
              </a:graphicData>
            </a:graphic>
          </wp:inline>
        </w:drawing>
      </w:r>
    </w:p>
    <w:p w14:paraId="483415CC" w14:textId="05493F2D" w:rsidR="004A4BED" w:rsidRPr="004A4BED" w:rsidRDefault="004A4BED" w:rsidP="00C76BAC">
      <w:pPr>
        <w:pStyle w:val="Caption"/>
        <w:spacing w:before="0"/>
        <w:jc w:val="left"/>
        <w:rPr>
          <w:b w:val="0"/>
          <w:bCs/>
        </w:rPr>
      </w:pPr>
      <w:bookmarkStart w:id="7" w:name="_Ref177026757"/>
      <w:r>
        <w:t xml:space="preserve">Figure </w:t>
      </w:r>
      <w:fldSimple w:instr=" SEQ Figure \* ARABIC ">
        <w:r w:rsidR="00E941CA">
          <w:rPr>
            <w:noProof/>
          </w:rPr>
          <w:t>8</w:t>
        </w:r>
      </w:fldSimple>
      <w:bookmarkEnd w:id="7"/>
      <w:r>
        <w:t xml:space="preserve">. </w:t>
      </w:r>
      <w:r w:rsidR="005433B7">
        <w:rPr>
          <w:b w:val="0"/>
          <w:bCs/>
        </w:rPr>
        <w:t>G</w:t>
      </w:r>
      <w:r w:rsidR="005433B7" w:rsidRPr="004A4BED">
        <w:rPr>
          <w:b w:val="0"/>
          <w:bCs/>
        </w:rPr>
        <w:t xml:space="preserve">DP </w:t>
      </w:r>
      <w:r w:rsidR="005433B7">
        <w:rPr>
          <w:b w:val="0"/>
          <w:bCs/>
        </w:rPr>
        <w:t xml:space="preserve">growth </w:t>
      </w:r>
      <w:r w:rsidR="005433B7" w:rsidRPr="00D67C69">
        <w:rPr>
          <w:b w:val="0"/>
          <w:bCs/>
        </w:rPr>
        <w:t>distribution</w:t>
      </w:r>
      <w:r w:rsidR="005433B7">
        <w:rPr>
          <w:b w:val="0"/>
          <w:bCs/>
        </w:rPr>
        <w:t xml:space="preserve"> of Armenia conditional on systemic risks in 2024Q1. The yellow </w:t>
      </w:r>
      <w:r w:rsidR="005433B7" w:rsidRPr="005433B7">
        <w:rPr>
          <w:b w:val="0"/>
          <w:bCs/>
        </w:rPr>
        <w:t>distribution</w:t>
      </w:r>
      <w:r w:rsidR="005433B7">
        <w:rPr>
          <w:b w:val="0"/>
          <w:bCs/>
        </w:rPr>
        <w:t xml:space="preserve"> considers the effect of an increase in </w:t>
      </w:r>
      <w:r w:rsidR="005433B7" w:rsidRPr="005433B7">
        <w:rPr>
          <w:b w:val="0"/>
          <w:bCs/>
        </w:rPr>
        <w:t>financial vulnerabilities</w:t>
      </w:r>
      <w:r w:rsidR="005433B7">
        <w:rPr>
          <w:b w:val="0"/>
          <w:bCs/>
        </w:rPr>
        <w:t xml:space="preserve">, while the green </w:t>
      </w:r>
      <w:r w:rsidR="005433B7" w:rsidRPr="005433B7">
        <w:rPr>
          <w:b w:val="0"/>
          <w:bCs/>
        </w:rPr>
        <w:t>distribution</w:t>
      </w:r>
      <w:r w:rsidR="005433B7">
        <w:rPr>
          <w:b w:val="0"/>
          <w:bCs/>
        </w:rPr>
        <w:t xml:space="preserve"> considers the former, but also a </w:t>
      </w:r>
      <w:r w:rsidR="005433B7" w:rsidRPr="005433B7">
        <w:rPr>
          <w:b w:val="0"/>
          <w:bCs/>
        </w:rPr>
        <w:t>tightening of macroprudential policy</w:t>
      </w:r>
      <w:r w:rsidR="005433B7">
        <w:rPr>
          <w:b w:val="0"/>
          <w:bCs/>
        </w:rPr>
        <w:t>.</w:t>
      </w:r>
    </w:p>
    <w:p w14:paraId="633913B4" w14:textId="33A71989" w:rsidR="00E96391" w:rsidRDefault="00E96391" w:rsidP="004525E8">
      <w:pPr>
        <w:pStyle w:val="SectionHeading"/>
        <w:numPr>
          <w:ilvl w:val="1"/>
          <w:numId w:val="8"/>
        </w:numPr>
      </w:pPr>
      <w:r>
        <w:t>M</w:t>
      </w:r>
      <w:r w:rsidRPr="004F1BA1">
        <w:t>acroprudential</w:t>
      </w:r>
      <w:r>
        <w:t xml:space="preserve"> stance</w:t>
      </w:r>
    </w:p>
    <w:p w14:paraId="6A0FFF4A" w14:textId="5C14364A" w:rsidR="002824C7" w:rsidRPr="00473BD4" w:rsidRDefault="000201E9" w:rsidP="00085A0D">
      <w:pPr>
        <w:jc w:val="left"/>
      </w:pPr>
      <w:r>
        <w:t xml:space="preserve">Generally, when considering macroprudential policy through the “risk-resilience framework,” a stance metric represents the residual systemic risk in the financial system </w:t>
      </w:r>
      <w:r w:rsidR="00735992">
        <w:t>(ESRB, 2019).</w:t>
      </w:r>
      <w:r w:rsidR="00F86EF1">
        <w:t xml:space="preserve"> We derive the residual risk by “assessing the aggregate risk and subtracting any exogenous and/or policy-induced resilience”</w:t>
      </w:r>
      <w:r w:rsidR="00597573">
        <w:t xml:space="preserve"> (ESRB, 2021). From this perspective, macroprudential policy is a risk management approach, where we balance systemic risk and resilience, </w:t>
      </w:r>
      <w:r w:rsidR="00500024">
        <w:t>while accounting</w:t>
      </w:r>
      <w:r w:rsidR="00597573">
        <w:t xml:space="preserve"> </w:t>
      </w:r>
      <w:r w:rsidR="00500024">
        <w:t>for</w:t>
      </w:r>
      <w:r w:rsidR="00597573">
        <w:t xml:space="preserve"> </w:t>
      </w:r>
      <w:r w:rsidR="00597573" w:rsidRPr="002824C7">
        <w:t>policymakers' tolerance</w:t>
      </w:r>
      <w:r w:rsidR="00597573">
        <w:t xml:space="preserve"> of the net </w:t>
      </w:r>
      <w:r w:rsidR="00597573" w:rsidRPr="002824C7">
        <w:t>residual risk</w:t>
      </w:r>
      <w:r w:rsidR="00597573">
        <w:t xml:space="preserve">. </w:t>
      </w:r>
      <w:r w:rsidR="00085A0D" w:rsidRPr="00085A0D">
        <w:t xml:space="preserve">As part of the indicator-based approach for </w:t>
      </w:r>
      <w:r w:rsidR="00500024" w:rsidRPr="00500024">
        <w:t xml:space="preserve">Borrower-Based Measures </w:t>
      </w:r>
      <w:r w:rsidR="00500024">
        <w:t>(</w:t>
      </w:r>
      <w:r w:rsidR="00085A0D" w:rsidRPr="00085A0D">
        <w:t>BBMs</w:t>
      </w:r>
      <w:r w:rsidR="00500024">
        <w:t>)</w:t>
      </w:r>
      <w:r w:rsidR="00085A0D" w:rsidRPr="00085A0D">
        <w:t>, ESRB</w:t>
      </w:r>
      <w:r w:rsidR="00597573">
        <w:t xml:space="preserve"> (2024)</w:t>
      </w:r>
      <w:r w:rsidR="00085A0D" w:rsidRPr="00085A0D">
        <w:t xml:space="preserve"> defines the macroprudential stance</w:t>
      </w:r>
      <w:r w:rsidR="003B0361">
        <w:t xml:space="preserve"> as</w:t>
      </w:r>
      <w:r w:rsidR="00597573">
        <w:t>:</w:t>
      </w:r>
    </w:p>
    <w:p w14:paraId="4336E41C" w14:textId="48F80F6A" w:rsidR="00085A0D" w:rsidRPr="00473BD4" w:rsidRDefault="00000000" w:rsidP="00473BD4">
      <w:pPr>
        <w:pStyle w:val="Caption"/>
        <w:rPr>
          <w:i/>
          <w:sz w:val="20"/>
        </w:rPr>
      </w:pPr>
      <m:oMathPara>
        <m:oMath>
          <m:eqArr>
            <m:eqArrPr>
              <m:maxDist m:val="1"/>
              <m:ctrlPr>
                <w:rPr>
                  <w:rFonts w:ascii="Cambria Math" w:hAnsi="Cambria Math"/>
                  <w:i/>
                  <w:sz w:val="20"/>
                </w:rPr>
              </m:ctrlPr>
            </m:eqArrPr>
            <m:e>
              <m:r>
                <m:rPr>
                  <m:sty m:val="bi"/>
                </m:rPr>
                <w:rPr>
                  <w:rFonts w:ascii="Cambria Math" w:hAnsi="Cambria Math"/>
                  <w:sz w:val="20"/>
                </w:rPr>
                <m:t>Stance=Risk-Resilience-Policy#</m:t>
              </m:r>
              <m:d>
                <m:dPr>
                  <m:ctrlPr>
                    <w:rPr>
                      <w:rFonts w:ascii="Cambria Math" w:hAnsi="Cambria Math"/>
                      <w:i/>
                      <w:sz w:val="20"/>
                    </w:rPr>
                  </m:ctrlPr>
                </m:dPr>
                <m:e>
                  <m:r>
                    <m:rPr>
                      <m:sty m:val="bi"/>
                    </m:rPr>
                    <w:rPr>
                      <w:rFonts w:ascii="Cambria Math" w:hAnsi="Cambria Math"/>
                      <w:i/>
                      <w:sz w:val="20"/>
                    </w:rPr>
                    <w:fldChar w:fldCharType="begin"/>
                  </m:r>
                  <m:r>
                    <m:rPr>
                      <m:sty m:val="b"/>
                    </m:rPr>
                    <w:rPr>
                      <w:rFonts w:ascii="Cambria Math" w:hAnsi="Cambria Math"/>
                      <w:sz w:val="20"/>
                    </w:rPr>
                    <m:t xml:space="preserve"> SEQ Equation \* ARABIC </m:t>
                  </m:r>
                  <m:r>
                    <m:rPr>
                      <m:sty m:val="bi"/>
                    </m:rPr>
                    <w:rPr>
                      <w:rFonts w:ascii="Cambria Math" w:hAnsi="Cambria Math"/>
                      <w:i/>
                      <w:sz w:val="20"/>
                    </w:rPr>
                    <w:fldChar w:fldCharType="separate"/>
                  </m:r>
                  <m:r>
                    <m:rPr>
                      <m:sty m:val="b"/>
                    </m:rPr>
                    <w:rPr>
                      <w:rFonts w:ascii="Cambria Math" w:hAnsi="Cambria Math"/>
                      <w:noProof/>
                      <w:sz w:val="20"/>
                    </w:rPr>
                    <m:t>1</m:t>
                  </m:r>
                  <m:r>
                    <m:rPr>
                      <m:sty m:val="bi"/>
                    </m:rPr>
                    <w:rPr>
                      <w:rFonts w:ascii="Cambria Math" w:hAnsi="Cambria Math"/>
                      <w:i/>
                      <w:sz w:val="20"/>
                    </w:rPr>
                    <w:fldChar w:fldCharType="end"/>
                  </m:r>
                </m:e>
              </m:d>
            </m:e>
          </m:eqArr>
        </m:oMath>
      </m:oMathPara>
    </w:p>
    <w:p w14:paraId="79F48830" w14:textId="7BD54B5D" w:rsidR="00267D0E" w:rsidRPr="00517D2F" w:rsidRDefault="00267D0E" w:rsidP="00481B72">
      <w:pPr>
        <w:ind w:firstLine="284"/>
        <w:rPr>
          <w:bCs/>
        </w:rPr>
      </w:pPr>
      <w:r>
        <w:rPr>
          <w:bCs/>
        </w:rPr>
        <w:t>In the GaR framework</w:t>
      </w:r>
      <w:r w:rsidR="00481B72">
        <w:rPr>
          <w:bCs/>
        </w:rPr>
        <w:t>,</w:t>
      </w:r>
      <w:r>
        <w:rPr>
          <w:bCs/>
        </w:rPr>
        <w:t xml:space="preserve"> t</w:t>
      </w:r>
      <w:r w:rsidRPr="00A86BA3">
        <w:rPr>
          <w:bCs/>
        </w:rPr>
        <w:t>he conditional distance-to-tail tracks the changes in systemic risk over time</w:t>
      </w:r>
      <w:r>
        <w:rPr>
          <w:bCs/>
        </w:rPr>
        <w:t xml:space="preserve">, thus it can be used </w:t>
      </w:r>
      <w:r w:rsidR="00164626" w:rsidRPr="00E650CA">
        <w:rPr>
          <w:bCs/>
        </w:rPr>
        <w:t xml:space="preserve">as </w:t>
      </w:r>
      <w:r>
        <w:rPr>
          <w:bCs/>
        </w:rPr>
        <w:t xml:space="preserve">one of the </w:t>
      </w:r>
      <w:r w:rsidR="00164626" w:rsidRPr="00E650CA">
        <w:rPr>
          <w:bCs/>
        </w:rPr>
        <w:t>main indicator</w:t>
      </w:r>
      <w:r>
        <w:rPr>
          <w:bCs/>
        </w:rPr>
        <w:t>s</w:t>
      </w:r>
      <w:r w:rsidR="00164626" w:rsidRPr="00E650CA">
        <w:rPr>
          <w:bCs/>
        </w:rPr>
        <w:t xml:space="preserve"> for the macroprudential stance.</w:t>
      </w:r>
      <w:r>
        <w:rPr>
          <w:bCs/>
        </w:rPr>
        <w:t xml:space="preserve"> </w:t>
      </w:r>
      <w:r w:rsidR="00085A0D" w:rsidRPr="00473BD4">
        <w:t xml:space="preserve">The metric primarily focuses on risks and policy, while using </w:t>
      </w:r>
      <w:r>
        <w:t xml:space="preserve">systemic </w:t>
      </w:r>
      <w:r w:rsidR="00085A0D" w:rsidRPr="00473BD4">
        <w:t xml:space="preserve">thresholds as a reference </w:t>
      </w:r>
      <w:r w:rsidR="00085A0D" w:rsidRPr="00516AEA">
        <w:t>for resilience.</w:t>
      </w:r>
      <w:r w:rsidR="005D3535" w:rsidRPr="00516AEA">
        <w:t xml:space="preserve"> </w:t>
      </w:r>
      <w:r>
        <w:t xml:space="preserve">The systemic thresholds are calculated from the </w:t>
      </w:r>
      <w:r w:rsidRPr="00267D0E">
        <w:t>quantiles of the historical</w:t>
      </w:r>
      <w:r>
        <w:t xml:space="preserve"> distance-to-tail series. </w:t>
      </w:r>
      <w:r w:rsidR="00517D2F">
        <w:rPr>
          <w:bCs/>
        </w:rPr>
        <w:t xml:space="preserve">The loss function for the </w:t>
      </w:r>
      <w:r w:rsidR="00517D2F">
        <w:t>distance-to-tail approach takes the form:</w:t>
      </w:r>
    </w:p>
    <w:p w14:paraId="20786AA4" w14:textId="4136AB6F" w:rsidR="00516AEA" w:rsidRPr="002824C7" w:rsidRDefault="00000000" w:rsidP="00516AEA">
      <w:pPr>
        <w:pStyle w:val="Caption"/>
        <w:rPr>
          <w:iCs/>
          <w:sz w:val="20"/>
        </w:rPr>
      </w:pPr>
      <m:oMathPara>
        <m:oMath>
          <m:eqArr>
            <m:eqArrPr>
              <m:maxDist m:val="1"/>
              <m:ctrlPr>
                <w:rPr>
                  <w:rFonts w:ascii="Cambria Math" w:hAnsi="Cambria Math"/>
                  <w:i/>
                  <w:iCs/>
                  <w:sz w:val="20"/>
                </w:rPr>
              </m:ctrlPr>
            </m:eqArrPr>
            <m:e>
              <m:func>
                <m:funcPr>
                  <m:ctrlPr>
                    <w:rPr>
                      <w:rFonts w:ascii="Cambria Math" w:hAnsi="Cambria Math"/>
                      <w:i/>
                      <w:iCs/>
                      <w:sz w:val="20"/>
                    </w:rPr>
                  </m:ctrlPr>
                </m:funcPr>
                <m:fName>
                  <m:limLow>
                    <m:limLowPr>
                      <m:ctrlPr>
                        <w:rPr>
                          <w:rFonts w:ascii="Cambria Math" w:hAnsi="Cambria Math"/>
                          <w:i/>
                          <w:iCs/>
                          <w:sz w:val="20"/>
                        </w:rPr>
                      </m:ctrlPr>
                    </m:limLowPr>
                    <m:e>
                      <m:r>
                        <m:rPr>
                          <m:sty m:val="bi"/>
                        </m:rPr>
                        <w:rPr>
                          <w:rFonts w:ascii="Cambria Math" w:hAnsi="Cambria Math"/>
                          <w:sz w:val="20"/>
                        </w:rPr>
                        <m:t>min</m:t>
                      </m:r>
                    </m:e>
                    <m:lim>
                      <m:sSub>
                        <m:sSubPr>
                          <m:ctrlPr>
                            <w:rPr>
                              <w:rFonts w:ascii="Cambria Math" w:hAnsi="Cambria Math"/>
                              <w:i/>
                              <w:iCs/>
                              <w:sz w:val="20"/>
                            </w:rPr>
                          </m:ctrlPr>
                        </m:sSubPr>
                        <m:e>
                          <m:r>
                            <m:rPr>
                              <m:sty m:val="bi"/>
                            </m:rPr>
                            <w:rPr>
                              <w:rFonts w:ascii="Cambria Math" w:hAnsi="Cambria Math"/>
                              <w:sz w:val="20"/>
                            </w:rPr>
                            <m:t>ρ</m:t>
                          </m:r>
                        </m:e>
                        <m:sub>
                          <m:r>
                            <m:rPr>
                              <m:sty m:val="bi"/>
                            </m:rPr>
                            <w:rPr>
                              <w:rFonts w:ascii="Cambria Math" w:hAnsi="Cambria Math"/>
                              <w:sz w:val="20"/>
                            </w:rPr>
                            <m:t>t</m:t>
                          </m:r>
                        </m:sub>
                      </m:sSub>
                    </m:lim>
                  </m:limLow>
                  <m:ctrlPr>
                    <w:rPr>
                      <w:rFonts w:ascii="Cambria Math" w:hAnsi="Cambria Math"/>
                      <w:iCs/>
                      <w:sz w:val="20"/>
                      <w:lang w:val="en-GB"/>
                    </w:rPr>
                  </m:ctrlPr>
                </m:fName>
                <m:e>
                  <m:r>
                    <m:rPr>
                      <m:scr m:val="script"/>
                      <m:sty m:val="bi"/>
                    </m:rPr>
                    <w:rPr>
                      <w:rFonts w:ascii="Cambria Math" w:hAnsi="Cambria Math"/>
                      <w:sz w:val="20"/>
                      <w:lang w:val="en-GB"/>
                    </w:rPr>
                    <m:t>L</m:t>
                  </m:r>
                </m:e>
              </m:func>
              <m:r>
                <m:rPr>
                  <m:sty m:val="bi"/>
                </m:rPr>
                <w:rPr>
                  <w:rFonts w:ascii="Cambria Math" w:hAnsi="Cambria Math"/>
                  <w:sz w:val="20"/>
                </w:rPr>
                <m:t>=</m:t>
              </m:r>
              <m:func>
                <m:funcPr>
                  <m:ctrlPr>
                    <w:rPr>
                      <w:rFonts w:ascii="Cambria Math" w:hAnsi="Cambria Math"/>
                      <w:i/>
                      <w:iCs/>
                      <w:sz w:val="20"/>
                    </w:rPr>
                  </m:ctrlPr>
                </m:funcPr>
                <m:fName>
                  <m:r>
                    <m:rPr>
                      <m:sty m:val="bi"/>
                    </m:rPr>
                    <w:rPr>
                      <w:rFonts w:ascii="Cambria Math" w:hAnsi="Cambria Math"/>
                      <w:sz w:val="20"/>
                    </w:rPr>
                    <m:t>max</m:t>
                  </m:r>
                </m:fName>
                <m:e>
                  <m:d>
                    <m:dPr>
                      <m:ctrlPr>
                        <w:rPr>
                          <w:rFonts w:ascii="Cambria Math" w:hAnsi="Cambria Math"/>
                          <w:i/>
                          <w:iCs/>
                          <w:sz w:val="20"/>
                        </w:rPr>
                      </m:ctrlPr>
                    </m:dPr>
                    <m:e>
                      <m:d>
                        <m:dPr>
                          <m:ctrlPr>
                            <w:rPr>
                              <w:rFonts w:ascii="Cambria Math" w:hAnsi="Cambria Math"/>
                              <w:i/>
                              <w:iCs/>
                              <w:sz w:val="20"/>
                            </w:rPr>
                          </m:ctrlPr>
                        </m:dPr>
                        <m:e>
                          <m:sSub>
                            <m:sSubPr>
                              <m:ctrlPr>
                                <w:rPr>
                                  <w:rFonts w:ascii="Cambria Math" w:hAnsi="Cambria Math"/>
                                  <w:i/>
                                  <w:iCs/>
                                  <w:sz w:val="20"/>
                                </w:rPr>
                              </m:ctrlPr>
                            </m:sSubPr>
                            <m:e>
                              <m:r>
                                <m:rPr>
                                  <m:sty m:val="bi"/>
                                </m:rPr>
                                <w:rPr>
                                  <w:rFonts w:ascii="Cambria Math" w:hAnsi="Cambria Math"/>
                                  <w:sz w:val="20"/>
                                </w:rPr>
                                <m:t>y</m:t>
                              </m:r>
                            </m:e>
                            <m:sub>
                              <m:r>
                                <m:rPr>
                                  <m:sty m:val="bi"/>
                                </m:rPr>
                                <w:rPr>
                                  <w:rFonts w:ascii="Cambria Math" w:hAnsi="Cambria Math"/>
                                  <w:sz w:val="20"/>
                                </w:rPr>
                                <m:t>m</m:t>
                              </m:r>
                            </m:sub>
                          </m:sSub>
                          <m:r>
                            <m:rPr>
                              <m:sty m:val="bi"/>
                            </m:rPr>
                            <w:rPr>
                              <w:rFonts w:ascii="Cambria Math" w:hAnsi="Cambria Math"/>
                              <w:sz w:val="20"/>
                            </w:rPr>
                            <m:t>-</m:t>
                          </m:r>
                          <m:sSub>
                            <m:sSubPr>
                              <m:ctrlPr>
                                <w:rPr>
                                  <w:rFonts w:ascii="Cambria Math" w:hAnsi="Cambria Math"/>
                                  <w:i/>
                                  <w:iCs/>
                                  <w:sz w:val="20"/>
                                </w:rPr>
                              </m:ctrlPr>
                            </m:sSubPr>
                            <m:e>
                              <m:r>
                                <m:rPr>
                                  <m:sty m:val="bi"/>
                                </m:rPr>
                                <w:rPr>
                                  <w:rFonts w:ascii="Cambria Math" w:hAnsi="Cambria Math"/>
                                  <w:sz w:val="20"/>
                                </w:rPr>
                                <m:t>y</m:t>
                              </m:r>
                            </m:e>
                            <m:sub>
                              <m:r>
                                <m:rPr>
                                  <m:sty m:val="bi"/>
                                </m:rPr>
                                <w:rPr>
                                  <w:rFonts w:ascii="Cambria Math" w:hAnsi="Cambria Math"/>
                                  <w:sz w:val="20"/>
                                </w:rPr>
                                <m:t>c</m:t>
                              </m:r>
                            </m:sub>
                          </m:sSub>
                        </m:e>
                      </m:d>
                      <m:r>
                        <m:rPr>
                          <m:sty m:val="bi"/>
                        </m:rPr>
                        <w:rPr>
                          <w:rFonts w:ascii="Cambria Math" w:hAnsi="Cambria Math"/>
                          <w:sz w:val="20"/>
                        </w:rPr>
                        <m:t>,threshold</m:t>
                      </m:r>
                    </m:e>
                  </m:d>
                </m:e>
              </m:func>
              <m:r>
                <m:rPr>
                  <m:sty m:val="bi"/>
                </m:rPr>
                <w:rPr>
                  <w:rFonts w:ascii="Cambria Math" w:hAnsi="Cambria Math"/>
                  <w:sz w:val="20"/>
                </w:rPr>
                <m:t>#</m:t>
              </m:r>
              <m:d>
                <m:dPr>
                  <m:ctrlPr>
                    <w:rPr>
                      <w:rFonts w:ascii="Cambria Math" w:hAnsi="Cambria Math"/>
                      <w:i/>
                      <w:iCs/>
                      <w:sz w:val="20"/>
                    </w:rPr>
                  </m:ctrlPr>
                </m:dPr>
                <m:e>
                  <m:r>
                    <m:rPr>
                      <m:sty m:val="bi"/>
                    </m:rPr>
                    <w:rPr>
                      <w:rFonts w:ascii="Cambria Math" w:hAnsi="Cambria Math"/>
                      <w:i/>
                      <w:iCs/>
                      <w:sz w:val="20"/>
                    </w:rPr>
                    <w:fldChar w:fldCharType="begin"/>
                  </m:r>
                  <m:r>
                    <m:rPr>
                      <m:sty m:val="b"/>
                    </m:rPr>
                    <w:rPr>
                      <w:rFonts w:ascii="Cambria Math" w:hAnsi="Cambria Math"/>
                      <w:sz w:val="20"/>
                    </w:rPr>
                    <m:t xml:space="preserve"> SEQ Equation \* ARABIC </m:t>
                  </m:r>
                  <m:r>
                    <m:rPr>
                      <m:sty m:val="bi"/>
                    </m:rPr>
                    <w:rPr>
                      <w:rFonts w:ascii="Cambria Math" w:hAnsi="Cambria Math"/>
                      <w:i/>
                      <w:iCs/>
                      <w:sz w:val="20"/>
                    </w:rPr>
                    <w:fldChar w:fldCharType="separate"/>
                  </m:r>
                  <m:r>
                    <m:rPr>
                      <m:sty m:val="b"/>
                    </m:rPr>
                    <w:rPr>
                      <w:rFonts w:ascii="Cambria Math" w:hAnsi="Cambria Math"/>
                      <w:noProof/>
                      <w:sz w:val="20"/>
                    </w:rPr>
                    <m:t>2</m:t>
                  </m:r>
                  <m:r>
                    <m:rPr>
                      <m:sty m:val="bi"/>
                    </m:rPr>
                    <w:rPr>
                      <w:rFonts w:ascii="Cambria Math" w:hAnsi="Cambria Math"/>
                      <w:i/>
                      <w:iCs/>
                      <w:sz w:val="20"/>
                    </w:rPr>
                    <w:fldChar w:fldCharType="end"/>
                  </m:r>
                </m:e>
              </m:d>
            </m:e>
          </m:eqArr>
        </m:oMath>
      </m:oMathPara>
    </w:p>
    <w:p w14:paraId="0EA3CA7B" w14:textId="348F24C6" w:rsidR="00481B72" w:rsidRDefault="00517D2F" w:rsidP="00481B72">
      <w:pPr>
        <w:ind w:firstLine="284"/>
        <w:jc w:val="left"/>
      </w:pPr>
      <w:r>
        <w:lastRenderedPageBreak/>
        <w:t xml:space="preserve">Where </w:t>
      </w:r>
      <m:oMath>
        <m:sSub>
          <m:sSubPr>
            <m:ctrlPr>
              <w:rPr>
                <w:rFonts w:ascii="Cambria Math" w:hAnsi="Cambria Math"/>
                <w:i/>
              </w:rPr>
            </m:ctrlPr>
          </m:sSubPr>
          <m:e>
            <m:r>
              <w:rPr>
                <w:rFonts w:ascii="Cambria Math" w:hAnsi="Cambria Math"/>
              </w:rPr>
              <m:t>y</m:t>
            </m:r>
          </m:e>
          <m:sub>
            <m:r>
              <w:rPr>
                <w:rFonts w:ascii="Cambria Math" w:hAnsi="Cambria Math"/>
              </w:rPr>
              <m:t>m</m:t>
            </m:r>
          </m:sub>
        </m:sSub>
      </m:oMath>
      <w:r>
        <w:t xml:space="preserve"> and </w:t>
      </w:r>
      <m:oMath>
        <m:sSub>
          <m:sSubPr>
            <m:ctrlPr>
              <w:rPr>
                <w:rFonts w:ascii="Cambria Math" w:hAnsi="Cambria Math"/>
                <w:i/>
              </w:rPr>
            </m:ctrlPr>
          </m:sSubPr>
          <m:e>
            <m:r>
              <w:rPr>
                <w:rFonts w:ascii="Cambria Math" w:hAnsi="Cambria Math"/>
              </w:rPr>
              <m:t>y</m:t>
            </m:r>
          </m:e>
          <m:sub>
            <m:r>
              <w:rPr>
                <w:rFonts w:ascii="Cambria Math" w:hAnsi="Cambria Math"/>
              </w:rPr>
              <m:t>c</m:t>
            </m:r>
          </m:sub>
        </m:sSub>
      </m:oMath>
      <w:r>
        <w:t xml:space="preserve"> are the median and the tail, while </w:t>
      </w:r>
      <m:oMath>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y</m:t>
                </m:r>
              </m:e>
              <m:sub>
                <m:r>
                  <m:rPr>
                    <m:sty m:val="bi"/>
                  </m:rPr>
                  <w:rPr>
                    <w:rFonts w:ascii="Cambria Math" w:hAnsi="Cambria Math"/>
                  </w:rPr>
                  <m:t>m</m:t>
                </m:r>
              </m:sub>
            </m:sSub>
            <m:r>
              <w:rPr>
                <w:rFonts w:ascii="Cambria Math" w:hAnsi="Cambria Math"/>
              </w:rPr>
              <m:t>-</m:t>
            </m:r>
            <m:sSub>
              <m:sSubPr>
                <m:ctrlPr>
                  <w:rPr>
                    <w:rFonts w:ascii="Cambria Math" w:hAnsi="Cambria Math"/>
                    <w:i/>
                    <w:iCs/>
                  </w:rPr>
                </m:ctrlPr>
              </m:sSubPr>
              <m:e>
                <m:r>
                  <m:rPr>
                    <m:sty m:val="bi"/>
                  </m:rPr>
                  <w:rPr>
                    <w:rFonts w:ascii="Cambria Math" w:hAnsi="Cambria Math"/>
                  </w:rPr>
                  <m:t>y</m:t>
                </m:r>
              </m:e>
              <m:sub>
                <m:r>
                  <m:rPr>
                    <m:sty m:val="bi"/>
                  </m:rPr>
                  <w:rPr>
                    <w:rFonts w:ascii="Cambria Math" w:hAnsi="Cambria Math"/>
                  </w:rPr>
                  <m:t>c</m:t>
                </m:r>
              </m:sub>
            </m:sSub>
          </m:e>
        </m:d>
      </m:oMath>
      <w:r>
        <w:rPr>
          <w:iCs/>
        </w:rPr>
        <w:t xml:space="preserve"> is the </w:t>
      </w:r>
      <w:r>
        <w:t xml:space="preserve">distance-to-tail. When this value exceeds the threshold, we are </w:t>
      </w:r>
      <w:r w:rsidRPr="00517D2F">
        <w:t>incentivized</w:t>
      </w:r>
      <w:r>
        <w:t xml:space="preserve"> to </w:t>
      </w:r>
      <w:r w:rsidR="00BC3EB5" w:rsidRPr="00BC3EB5">
        <w:t>tighten</w:t>
      </w:r>
      <w:r w:rsidR="00BC3EB5">
        <w:t xml:space="preserve"> the</w:t>
      </w:r>
      <w:r>
        <w:t xml:space="preserve"> macroprudential policy to </w:t>
      </w:r>
      <w:r w:rsidRPr="00517D2F">
        <w:t>minimize the loss</w:t>
      </w:r>
      <w:r>
        <w:t xml:space="preserve">. </w:t>
      </w:r>
      <w:r w:rsidR="000654D2">
        <w:t xml:space="preserve">The complete ESRB (2024) formulation includes multiple thresholds at </w:t>
      </w:r>
      <w:r w:rsidR="00BC3EB5">
        <w:t xml:space="preserve">the </w:t>
      </w:r>
      <w:r w:rsidR="000654D2">
        <w:t>10</w:t>
      </w:r>
      <w:r w:rsidR="000654D2" w:rsidRPr="000654D2">
        <w:rPr>
          <w:vertAlign w:val="superscript"/>
        </w:rPr>
        <w:t>th</w:t>
      </w:r>
      <w:r w:rsidR="000654D2">
        <w:t>, 30</w:t>
      </w:r>
      <w:r w:rsidR="000654D2" w:rsidRPr="000654D2">
        <w:rPr>
          <w:vertAlign w:val="superscript"/>
        </w:rPr>
        <w:t>th</w:t>
      </w:r>
      <w:r w:rsidR="000654D2">
        <w:t>, 70</w:t>
      </w:r>
      <w:r w:rsidR="000654D2" w:rsidRPr="000654D2">
        <w:rPr>
          <w:vertAlign w:val="superscript"/>
        </w:rPr>
        <w:t>th</w:t>
      </w:r>
      <w:r w:rsidR="00BC3EB5">
        <w:t xml:space="preserve">, </w:t>
      </w:r>
      <w:r w:rsidR="000654D2">
        <w:t>and 90</w:t>
      </w:r>
      <w:r w:rsidR="000654D2" w:rsidRPr="000654D2">
        <w:rPr>
          <w:vertAlign w:val="superscript"/>
        </w:rPr>
        <w:t>th</w:t>
      </w:r>
      <w:r w:rsidR="000654D2">
        <w:t xml:space="preserve"> percentiles of the distance-to-tail </w:t>
      </w:r>
      <w:r w:rsidR="000654D2" w:rsidRPr="000654D2">
        <w:t>distribution</w:t>
      </w:r>
      <w:r w:rsidR="000654D2">
        <w:t xml:space="preserve">. The resulting stances are </w:t>
      </w:r>
      <w:r w:rsidR="000654D2" w:rsidRPr="000654D2">
        <w:t>classified</w:t>
      </w:r>
      <w:r w:rsidR="000654D2">
        <w:t xml:space="preserve"> into 5 categories: tight, grey-tight, neutral, grey-loose</w:t>
      </w:r>
      <w:r w:rsidR="00BC3EB5">
        <w:t>,</w:t>
      </w:r>
      <w:r w:rsidR="000654D2">
        <w:t xml:space="preserve"> and loose. Thus, the long-term </w:t>
      </w:r>
      <w:r w:rsidR="002E5185">
        <w:t>goal of the policy is to maintain the stance at the neutral level.</w:t>
      </w:r>
    </w:p>
    <w:p w14:paraId="7BFF88C1" w14:textId="3670918F" w:rsidR="002824C7" w:rsidRPr="002824C7" w:rsidRDefault="00267D0E" w:rsidP="00AD7406">
      <w:pPr>
        <w:ind w:firstLine="284"/>
        <w:jc w:val="left"/>
      </w:pPr>
      <w:r w:rsidRPr="00516AEA">
        <w:t>The main limitation of this approach is that it does not consider the costs that macroprudential policy will impose for reducing systemic risks.</w:t>
      </w:r>
      <w:r w:rsidR="005C6284">
        <w:t xml:space="preserve"> Additionally, the systemic thresholds are not a dynamic measure </w:t>
      </w:r>
      <w:r w:rsidR="008D2003">
        <w:t>of</w:t>
      </w:r>
      <w:r w:rsidR="005C6284">
        <w:t xml:space="preserve"> the </w:t>
      </w:r>
      <w:r w:rsidR="005C6284" w:rsidRPr="005C6284">
        <w:t>resilience</w:t>
      </w:r>
      <w:r w:rsidR="005C6284">
        <w:t xml:space="preserve"> of the </w:t>
      </w:r>
      <w:r w:rsidR="005C6284" w:rsidRPr="005C6284">
        <w:t>financial system</w:t>
      </w:r>
      <w:r w:rsidR="005C6284">
        <w:t>.</w:t>
      </w:r>
      <w:r w:rsidR="00E60788">
        <w:t xml:space="preserve"> As an alternative </w:t>
      </w:r>
      <w:r w:rsidR="008D2003">
        <w:t>to</w:t>
      </w:r>
      <w:r w:rsidR="00E60788">
        <w:t xml:space="preserve"> the distance-to-tail approach</w:t>
      </w:r>
      <w:r w:rsidR="008D2003">
        <w:t>,</w:t>
      </w:r>
      <w:r w:rsidR="00E60788">
        <w:t xml:space="preserve"> we consider the </w:t>
      </w:r>
      <w:r w:rsidR="00E60788" w:rsidRPr="00D163F7">
        <w:t xml:space="preserve">welfare </w:t>
      </w:r>
      <w:r w:rsidR="00E60788">
        <w:t>function proposed by Suarez (2021).</w:t>
      </w:r>
      <w:r w:rsidR="0070343E">
        <w:t xml:space="preserve"> The function takes the form:</w:t>
      </w:r>
    </w:p>
    <w:p w14:paraId="227B169F" w14:textId="6311BBA0" w:rsidR="00516AEA" w:rsidRPr="00516AEA" w:rsidRDefault="00000000" w:rsidP="00516AEA">
      <w:pPr>
        <w:pStyle w:val="Caption"/>
        <w:rPr>
          <w:sz w:val="20"/>
        </w:rPr>
      </w:pPr>
      <m:oMathPara>
        <m:oMath>
          <m:eqArr>
            <m:eqArrPr>
              <m:maxDist m:val="1"/>
              <m:ctrlPr>
                <w:rPr>
                  <w:rFonts w:ascii="Cambria Math" w:hAnsi="Cambria Math"/>
                  <w:i/>
                  <w:sz w:val="20"/>
                </w:rPr>
              </m:ctrlPr>
            </m:eqArrPr>
            <m:e>
              <m:r>
                <m:rPr>
                  <m:sty m:val="bi"/>
                </m:rPr>
                <w:rPr>
                  <w:rFonts w:ascii="Cambria Math" w:hAnsi="Cambria Math"/>
                  <w:sz w:val="20"/>
                </w:rPr>
                <m:t>W=</m:t>
              </m:r>
              <m:sSub>
                <m:sSubPr>
                  <m:ctrlPr>
                    <w:rPr>
                      <w:rFonts w:ascii="Cambria Math" w:hAnsi="Cambria Math"/>
                      <w:i/>
                      <w:sz w:val="20"/>
                    </w:rPr>
                  </m:ctrlPr>
                </m:sSubPr>
                <m:e>
                  <m:r>
                    <m:rPr>
                      <m:sty m:val="bi"/>
                    </m:rPr>
                    <w:rPr>
                      <w:rFonts w:ascii="Cambria Math" w:hAnsi="Cambria Math"/>
                      <w:sz w:val="20"/>
                    </w:rPr>
                    <m:t>y</m:t>
                  </m:r>
                </m:e>
                <m:sub>
                  <m:r>
                    <m:rPr>
                      <m:sty m:val="bi"/>
                    </m:rPr>
                    <w:rPr>
                      <w:rFonts w:ascii="Cambria Math" w:hAnsi="Cambria Math"/>
                      <w:sz w:val="20"/>
                    </w:rPr>
                    <m:t>m</m:t>
                  </m:r>
                </m:sub>
              </m:sSub>
              <m:r>
                <m:rPr>
                  <m:sty m:val="bi"/>
                </m:rPr>
                <w:rPr>
                  <w:rFonts w:ascii="Cambria Math" w:hAnsi="Cambria Math"/>
                  <w:sz w:val="20"/>
                </w:rPr>
                <m:t>-</m:t>
              </m:r>
              <m:f>
                <m:fPr>
                  <m:ctrlPr>
                    <w:rPr>
                      <w:rFonts w:ascii="Cambria Math" w:hAnsi="Cambria Math"/>
                      <w:i/>
                      <w:sz w:val="20"/>
                    </w:rPr>
                  </m:ctrlPr>
                </m:fPr>
                <m:num>
                  <m:r>
                    <m:rPr>
                      <m:sty m:val="bi"/>
                    </m:rPr>
                    <w:rPr>
                      <w:rFonts w:ascii="Cambria Math" w:hAnsi="Cambria Math"/>
                      <w:sz w:val="20"/>
                    </w:rPr>
                    <m:t>1</m:t>
                  </m:r>
                </m:num>
                <m:den>
                  <m:r>
                    <m:rPr>
                      <m:sty m:val="bi"/>
                    </m:rPr>
                    <w:rPr>
                      <w:rFonts w:ascii="Cambria Math" w:hAnsi="Cambria Math"/>
                      <w:sz w:val="20"/>
                    </w:rPr>
                    <m:t>2</m:t>
                  </m:r>
                </m:den>
              </m:f>
              <m:r>
                <m:rPr>
                  <m:sty m:val="bi"/>
                </m:rPr>
                <w:rPr>
                  <w:rFonts w:ascii="Cambria Math" w:hAnsi="Cambria Math"/>
                  <w:sz w:val="20"/>
                </w:rPr>
                <m:t>w</m:t>
              </m:r>
              <m:sSup>
                <m:sSupPr>
                  <m:ctrlPr>
                    <w:rPr>
                      <w:rFonts w:ascii="Cambria Math" w:hAnsi="Cambria Math"/>
                      <w:i/>
                      <w:sz w:val="20"/>
                    </w:rPr>
                  </m:ctrlPr>
                </m:sSupPr>
                <m:e>
                  <m:d>
                    <m:dPr>
                      <m:ctrlPr>
                        <w:rPr>
                          <w:rFonts w:ascii="Cambria Math" w:hAnsi="Cambria Math"/>
                          <w:i/>
                          <w:sz w:val="20"/>
                        </w:rPr>
                      </m:ctrlPr>
                    </m:dPr>
                    <m:e>
                      <m:sSub>
                        <m:sSubPr>
                          <m:ctrlPr>
                            <w:rPr>
                              <w:rFonts w:ascii="Cambria Math" w:hAnsi="Cambria Math"/>
                              <w:i/>
                              <w:sz w:val="20"/>
                            </w:rPr>
                          </m:ctrlPr>
                        </m:sSubPr>
                        <m:e>
                          <m:r>
                            <m:rPr>
                              <m:sty m:val="bi"/>
                            </m:rPr>
                            <w:rPr>
                              <w:rFonts w:ascii="Cambria Math" w:hAnsi="Cambria Math"/>
                              <w:sz w:val="20"/>
                            </w:rPr>
                            <m:t>y</m:t>
                          </m:r>
                        </m:e>
                        <m:sub>
                          <m:r>
                            <m:rPr>
                              <m:sty m:val="bi"/>
                            </m:rPr>
                            <w:rPr>
                              <w:rFonts w:ascii="Cambria Math" w:hAnsi="Cambria Math"/>
                              <w:sz w:val="20"/>
                            </w:rPr>
                            <m:t>m</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y</m:t>
                          </m:r>
                        </m:e>
                        <m:sub>
                          <m:r>
                            <m:rPr>
                              <m:sty m:val="bi"/>
                            </m:rPr>
                            <w:rPr>
                              <w:rFonts w:ascii="Cambria Math" w:hAnsi="Cambria Math"/>
                              <w:sz w:val="20"/>
                            </w:rPr>
                            <m:t>c</m:t>
                          </m:r>
                        </m:sub>
                      </m:sSub>
                    </m:e>
                  </m:d>
                </m:e>
                <m:sup>
                  <m:r>
                    <m:rPr>
                      <m:sty m:val="bi"/>
                    </m:rPr>
                    <w:rPr>
                      <w:rFonts w:ascii="Cambria Math" w:hAnsi="Cambria Math"/>
                      <w:sz w:val="20"/>
                    </w:rPr>
                    <m:t>2</m:t>
                  </m:r>
                </m:sup>
              </m:sSup>
              <m:r>
                <m:rPr>
                  <m:sty m:val="bi"/>
                </m:rPr>
                <w:rPr>
                  <w:rFonts w:ascii="Cambria Math" w:hAnsi="Cambria Math"/>
                  <w:sz w:val="20"/>
                </w:rPr>
                <m:t>#</m:t>
              </m:r>
              <m:d>
                <m:dPr>
                  <m:ctrlPr>
                    <w:rPr>
                      <w:rFonts w:ascii="Cambria Math" w:hAnsi="Cambria Math"/>
                      <w:i/>
                      <w:sz w:val="20"/>
                    </w:rPr>
                  </m:ctrlPr>
                </m:dPr>
                <m:e>
                  <m:r>
                    <m:rPr>
                      <m:sty m:val="bi"/>
                    </m:rPr>
                    <w:rPr>
                      <w:rFonts w:ascii="Cambria Math" w:hAnsi="Cambria Math"/>
                      <w:i/>
                      <w:sz w:val="20"/>
                    </w:rPr>
                    <w:fldChar w:fldCharType="begin"/>
                  </m:r>
                  <m:r>
                    <m:rPr>
                      <m:sty m:val="b"/>
                    </m:rPr>
                    <w:rPr>
                      <w:rFonts w:ascii="Cambria Math" w:hAnsi="Cambria Math"/>
                      <w:sz w:val="20"/>
                    </w:rPr>
                    <m:t xml:space="preserve"> SEQ Equation \* ARABIC </m:t>
                  </m:r>
                  <m:r>
                    <m:rPr>
                      <m:sty m:val="bi"/>
                    </m:rPr>
                    <w:rPr>
                      <w:rFonts w:ascii="Cambria Math" w:hAnsi="Cambria Math"/>
                      <w:i/>
                      <w:sz w:val="20"/>
                    </w:rPr>
                    <w:fldChar w:fldCharType="separate"/>
                  </m:r>
                  <m:r>
                    <m:rPr>
                      <m:sty m:val="b"/>
                    </m:rPr>
                    <w:rPr>
                      <w:rFonts w:ascii="Cambria Math" w:hAnsi="Cambria Math"/>
                      <w:noProof/>
                      <w:sz w:val="20"/>
                    </w:rPr>
                    <m:t>3</m:t>
                  </m:r>
                  <m:r>
                    <m:rPr>
                      <m:sty m:val="bi"/>
                    </m:rPr>
                    <w:rPr>
                      <w:rFonts w:ascii="Cambria Math" w:hAnsi="Cambria Math"/>
                      <w:i/>
                      <w:sz w:val="20"/>
                    </w:rPr>
                    <w:fldChar w:fldCharType="end"/>
                  </m:r>
                </m:e>
              </m:d>
            </m:e>
          </m:eqArr>
        </m:oMath>
      </m:oMathPara>
    </w:p>
    <w:p w14:paraId="0FB4CB3F" w14:textId="06AB0BFD" w:rsidR="00516AEA" w:rsidRPr="00516AEA" w:rsidRDefault="00000000" w:rsidP="00516AEA">
      <w:pPr>
        <w:pStyle w:val="Caption"/>
        <w:rPr>
          <w:sz w:val="20"/>
        </w:rPr>
      </w:pPr>
      <m:oMathPara>
        <m:oMath>
          <m:eqArr>
            <m:eqArrPr>
              <m:maxDist m:val="1"/>
              <m:ctrlPr>
                <w:rPr>
                  <w:rFonts w:ascii="Cambria Math" w:hAnsi="Cambria Math"/>
                  <w:i/>
                  <w:iCs/>
                  <w:sz w:val="20"/>
                </w:rPr>
              </m:ctrlPr>
            </m:eqArrPr>
            <m:e>
              <m:func>
                <m:funcPr>
                  <m:ctrlPr>
                    <w:rPr>
                      <w:rFonts w:ascii="Cambria Math" w:hAnsi="Cambria Math"/>
                      <w:i/>
                      <w:iCs/>
                      <w:sz w:val="20"/>
                    </w:rPr>
                  </m:ctrlPr>
                </m:funcPr>
                <m:fName>
                  <m:limLow>
                    <m:limLowPr>
                      <m:ctrlPr>
                        <w:rPr>
                          <w:rFonts w:ascii="Cambria Math" w:hAnsi="Cambria Math"/>
                          <w:i/>
                          <w:iCs/>
                          <w:sz w:val="20"/>
                        </w:rPr>
                      </m:ctrlPr>
                    </m:limLowPr>
                    <m:e>
                      <m:r>
                        <m:rPr>
                          <m:sty m:val="bi"/>
                        </m:rPr>
                        <w:rPr>
                          <w:rFonts w:ascii="Cambria Math" w:hAnsi="Cambria Math"/>
                          <w:sz w:val="20"/>
                        </w:rPr>
                        <m:t>min</m:t>
                      </m:r>
                    </m:e>
                    <m:lim>
                      <m:sSub>
                        <m:sSubPr>
                          <m:ctrlPr>
                            <w:rPr>
                              <w:rFonts w:ascii="Cambria Math" w:hAnsi="Cambria Math"/>
                              <w:i/>
                              <w:iCs/>
                              <w:sz w:val="20"/>
                            </w:rPr>
                          </m:ctrlPr>
                        </m:sSubPr>
                        <m:e>
                          <m:r>
                            <m:rPr>
                              <m:sty m:val="bi"/>
                            </m:rPr>
                            <w:rPr>
                              <w:rFonts w:ascii="Cambria Math" w:hAnsi="Cambria Math"/>
                              <w:sz w:val="20"/>
                            </w:rPr>
                            <m:t>ρ</m:t>
                          </m:r>
                        </m:e>
                        <m:sub>
                          <m:r>
                            <m:rPr>
                              <m:sty m:val="bi"/>
                            </m:rPr>
                            <w:rPr>
                              <w:rFonts w:ascii="Cambria Math" w:hAnsi="Cambria Math"/>
                              <w:sz w:val="20"/>
                            </w:rPr>
                            <m:t>t</m:t>
                          </m:r>
                        </m:sub>
                      </m:sSub>
                    </m:lim>
                  </m:limLow>
                  <m:ctrlPr>
                    <w:rPr>
                      <w:rFonts w:ascii="Cambria Math" w:hAnsi="Cambria Math"/>
                      <w:iCs/>
                      <w:sz w:val="20"/>
                      <w:lang w:val="en-GB"/>
                    </w:rPr>
                  </m:ctrlPr>
                </m:fName>
                <m:e>
                  <m:r>
                    <m:rPr>
                      <m:scr m:val="script"/>
                      <m:sty m:val="bi"/>
                    </m:rPr>
                    <w:rPr>
                      <w:rFonts w:ascii="Cambria Math" w:hAnsi="Cambria Math"/>
                      <w:sz w:val="20"/>
                      <w:lang w:val="en-GB"/>
                    </w:rPr>
                    <m:t>L</m:t>
                  </m:r>
                </m:e>
              </m:func>
              <m:r>
                <m:rPr>
                  <m:sty m:val="bi"/>
                </m:rPr>
                <w:rPr>
                  <w:rFonts w:ascii="Cambria Math" w:hAnsi="Cambria Math"/>
                  <w:sz w:val="20"/>
                </w:rPr>
                <m:t>=-</m:t>
              </m:r>
              <m:sSub>
                <m:sSubPr>
                  <m:ctrlPr>
                    <w:rPr>
                      <w:rFonts w:ascii="Cambria Math" w:hAnsi="Cambria Math"/>
                      <w:i/>
                      <w:iCs/>
                      <w:sz w:val="20"/>
                    </w:rPr>
                  </m:ctrlPr>
                </m:sSubPr>
                <m:e>
                  <m:r>
                    <m:rPr>
                      <m:sty m:val="bi"/>
                    </m:rPr>
                    <w:rPr>
                      <w:rFonts w:ascii="Cambria Math" w:hAnsi="Cambria Math"/>
                      <w:sz w:val="20"/>
                    </w:rPr>
                    <m:t>E</m:t>
                  </m:r>
                </m:e>
                <m:sub>
                  <m:r>
                    <m:rPr>
                      <m:sty m:val="bi"/>
                    </m:rPr>
                    <w:rPr>
                      <w:rFonts w:ascii="Cambria Math" w:hAnsi="Cambria Math"/>
                      <w:sz w:val="20"/>
                    </w:rPr>
                    <m:t>t</m:t>
                  </m:r>
                </m:sub>
              </m:sSub>
              <m:d>
                <m:dPr>
                  <m:begChr m:val="{"/>
                  <m:endChr m:val="}"/>
                  <m:ctrlPr>
                    <w:rPr>
                      <w:rFonts w:ascii="Cambria Math" w:hAnsi="Cambria Math"/>
                      <w:i/>
                      <w:iCs/>
                      <w:sz w:val="20"/>
                    </w:rPr>
                  </m:ctrlPr>
                </m:dPr>
                <m:e>
                  <m:nary>
                    <m:naryPr>
                      <m:chr m:val="∑"/>
                      <m:limLoc m:val="undOvr"/>
                      <m:ctrlPr>
                        <w:rPr>
                          <w:rFonts w:ascii="Cambria Math" w:hAnsi="Cambria Math"/>
                          <w:i/>
                          <w:iCs/>
                          <w:sz w:val="20"/>
                        </w:rPr>
                      </m:ctrlPr>
                    </m:naryPr>
                    <m:sub>
                      <m:r>
                        <m:rPr>
                          <m:sty m:val="bi"/>
                        </m:rPr>
                        <w:rPr>
                          <w:rFonts w:ascii="Cambria Math" w:hAnsi="Cambria Math"/>
                          <w:sz w:val="20"/>
                        </w:rPr>
                        <m:t>t=0</m:t>
                      </m:r>
                    </m:sub>
                    <m:sup>
                      <m:r>
                        <m:rPr>
                          <m:sty m:val="bi"/>
                        </m:rPr>
                        <w:rPr>
                          <w:rFonts w:ascii="Cambria Math" w:hAnsi="Cambria Math"/>
                          <w:sz w:val="20"/>
                        </w:rPr>
                        <m:t>T</m:t>
                      </m:r>
                    </m:sup>
                    <m:e>
                      <m:sSup>
                        <m:sSupPr>
                          <m:ctrlPr>
                            <w:rPr>
                              <w:rFonts w:ascii="Cambria Math" w:hAnsi="Cambria Math"/>
                              <w:i/>
                              <w:iCs/>
                              <w:sz w:val="20"/>
                            </w:rPr>
                          </m:ctrlPr>
                        </m:sSupPr>
                        <m:e>
                          <m:r>
                            <m:rPr>
                              <m:sty m:val="bi"/>
                            </m:rPr>
                            <w:rPr>
                              <w:rFonts w:ascii="Cambria Math" w:hAnsi="Cambria Math"/>
                              <w:sz w:val="20"/>
                            </w:rPr>
                            <m:t>b</m:t>
                          </m:r>
                        </m:e>
                        <m:sup>
                          <m:r>
                            <m:rPr>
                              <m:sty m:val="bi"/>
                            </m:rPr>
                            <w:rPr>
                              <w:rFonts w:ascii="Cambria Math" w:hAnsi="Cambria Math"/>
                              <w:sz w:val="20"/>
                            </w:rPr>
                            <m:t>t</m:t>
                          </m:r>
                        </m:sup>
                      </m:sSup>
                      <m:sSub>
                        <m:sSubPr>
                          <m:ctrlPr>
                            <w:rPr>
                              <w:rFonts w:ascii="Cambria Math" w:hAnsi="Cambria Math"/>
                              <w:i/>
                              <w:iCs/>
                              <w:sz w:val="20"/>
                            </w:rPr>
                          </m:ctrlPr>
                        </m:sSubPr>
                        <m:e>
                          <m:r>
                            <m:rPr>
                              <m:sty m:val="bi"/>
                            </m:rPr>
                            <w:rPr>
                              <w:rFonts w:ascii="Cambria Math" w:hAnsi="Cambria Math"/>
                              <w:sz w:val="20"/>
                            </w:rPr>
                            <m:t>W</m:t>
                          </m:r>
                        </m:e>
                        <m:sub>
                          <m:r>
                            <m:rPr>
                              <m:sty m:val="bi"/>
                            </m:rPr>
                            <w:rPr>
                              <w:rFonts w:ascii="Cambria Math" w:hAnsi="Cambria Math"/>
                              <w:sz w:val="20"/>
                            </w:rPr>
                            <m:t>t+1</m:t>
                          </m:r>
                        </m:sub>
                      </m:sSub>
                    </m:e>
                  </m:nary>
                </m:e>
              </m:d>
              <m:r>
                <m:rPr>
                  <m:sty m:val="bi"/>
                </m:rPr>
                <w:rPr>
                  <w:rFonts w:ascii="Cambria Math" w:hAnsi="Cambria Math"/>
                  <w:sz w:val="20"/>
                </w:rPr>
                <m:t>#</m:t>
              </m:r>
              <m:d>
                <m:dPr>
                  <m:ctrlPr>
                    <w:rPr>
                      <w:rFonts w:ascii="Cambria Math" w:hAnsi="Cambria Math"/>
                      <w:i/>
                      <w:iCs/>
                      <w:sz w:val="20"/>
                    </w:rPr>
                  </m:ctrlPr>
                </m:dPr>
                <m:e>
                  <m:r>
                    <m:rPr>
                      <m:sty m:val="bi"/>
                    </m:rPr>
                    <w:rPr>
                      <w:rFonts w:ascii="Cambria Math" w:hAnsi="Cambria Math"/>
                      <w:i/>
                      <w:iCs/>
                      <w:sz w:val="20"/>
                    </w:rPr>
                    <w:fldChar w:fldCharType="begin"/>
                  </m:r>
                  <m:r>
                    <m:rPr>
                      <m:sty m:val="b"/>
                    </m:rPr>
                    <w:rPr>
                      <w:rFonts w:ascii="Cambria Math" w:hAnsi="Cambria Math"/>
                      <w:sz w:val="20"/>
                    </w:rPr>
                    <m:t xml:space="preserve"> SEQ Equation \* ARABIC </m:t>
                  </m:r>
                  <m:r>
                    <m:rPr>
                      <m:sty m:val="bi"/>
                    </m:rPr>
                    <w:rPr>
                      <w:rFonts w:ascii="Cambria Math" w:hAnsi="Cambria Math"/>
                      <w:i/>
                      <w:iCs/>
                      <w:sz w:val="20"/>
                    </w:rPr>
                    <w:fldChar w:fldCharType="separate"/>
                  </m:r>
                  <m:r>
                    <m:rPr>
                      <m:sty m:val="b"/>
                    </m:rPr>
                    <w:rPr>
                      <w:rFonts w:ascii="Cambria Math" w:hAnsi="Cambria Math"/>
                      <w:noProof/>
                      <w:sz w:val="20"/>
                    </w:rPr>
                    <m:t>4</m:t>
                  </m:r>
                  <m:r>
                    <m:rPr>
                      <m:sty m:val="bi"/>
                    </m:rPr>
                    <w:rPr>
                      <w:rFonts w:ascii="Cambria Math" w:hAnsi="Cambria Math"/>
                      <w:i/>
                      <w:iCs/>
                      <w:sz w:val="20"/>
                    </w:rPr>
                    <w:fldChar w:fldCharType="end"/>
                  </m:r>
                </m:e>
              </m:d>
            </m:e>
          </m:eqArr>
        </m:oMath>
      </m:oMathPara>
    </w:p>
    <w:p w14:paraId="4C7F633F" w14:textId="2D22F1FF" w:rsidR="002811E6" w:rsidRPr="00085A0D" w:rsidRDefault="009061CC" w:rsidP="000E5CC3">
      <w:pPr>
        <w:ind w:firstLine="284"/>
        <w:jc w:val="left"/>
      </w:pPr>
      <w:r>
        <w:t xml:space="preserve">where </w:t>
      </w:r>
      <m:oMath>
        <m:r>
          <m:rPr>
            <m:sty m:val="bi"/>
          </m:rPr>
          <w:rPr>
            <w:rFonts w:ascii="Cambria Math" w:hAnsi="Cambria Math"/>
          </w:rPr>
          <m:t>w</m:t>
        </m:r>
      </m:oMath>
      <w:r>
        <w:rPr>
          <w:b/>
          <w:bCs/>
        </w:rPr>
        <w:t xml:space="preserve"> </w:t>
      </w:r>
      <w:r w:rsidRPr="009061CC">
        <w:t>is</w:t>
      </w:r>
      <w:r>
        <w:t xml:space="preserve"> interpreted </w:t>
      </w:r>
      <w:r w:rsidRPr="00516AEA">
        <w:t xml:space="preserve">as the aversion </w:t>
      </w:r>
      <w:r w:rsidR="00867EE0">
        <w:t>to</w:t>
      </w:r>
      <w:r w:rsidRPr="00516AEA">
        <w:t xml:space="preserve"> financial instability</w:t>
      </w:r>
      <w:r>
        <w:t xml:space="preserve">, while </w:t>
      </w:r>
      <m:oMath>
        <m:r>
          <m:rPr>
            <m:sty m:val="bi"/>
          </m:rPr>
          <w:rPr>
            <w:rFonts w:ascii="Cambria Math" w:hAnsi="Cambria Math"/>
          </w:rPr>
          <m:t>b</m:t>
        </m:r>
      </m:oMath>
      <w:r>
        <w:rPr>
          <w:b/>
        </w:rPr>
        <w:t xml:space="preserve"> </w:t>
      </w:r>
      <w:r>
        <w:rPr>
          <w:bCs/>
        </w:rPr>
        <w:t xml:space="preserve">is a discount factor. </w:t>
      </w:r>
      <w:r w:rsidR="00AB1973">
        <w:rPr>
          <w:bCs/>
        </w:rPr>
        <w:t xml:space="preserve">This formulation considers both the median and the </w:t>
      </w:r>
      <w:r w:rsidR="00AB1973">
        <w:t xml:space="preserve">distance-to-tail, capturing the costs of </w:t>
      </w:r>
      <w:r w:rsidR="00AB1973" w:rsidRPr="00AB1973">
        <w:t>macroprudential policy</w:t>
      </w:r>
      <w:r w:rsidR="00AB1973">
        <w:t xml:space="preserve"> along with its benefits. It is </w:t>
      </w:r>
      <w:r w:rsidR="00AB1973" w:rsidRPr="00AB1973">
        <w:t>apparent</w:t>
      </w:r>
      <w:r w:rsidR="00AB1973">
        <w:t xml:space="preserve"> from </w:t>
      </w:r>
      <w:r w:rsidR="006E4D5F" w:rsidRPr="006E4D5F">
        <w:rPr>
          <w:b/>
          <w:bCs/>
        </w:rPr>
        <w:t>Equation 3</w:t>
      </w:r>
      <w:r w:rsidR="006E4D5F">
        <w:t xml:space="preserve">, that </w:t>
      </w:r>
      <w:r w:rsidR="006E4D5F">
        <w:rPr>
          <w:bCs/>
        </w:rPr>
        <w:t>t</w:t>
      </w:r>
      <w:r w:rsidR="005D3535" w:rsidRPr="00516AEA">
        <w:t xml:space="preserve">he optimal policy is subject to the choice of </w:t>
      </w:r>
      <m:oMath>
        <m:r>
          <m:rPr>
            <m:sty m:val="bi"/>
          </m:rPr>
          <w:rPr>
            <w:rFonts w:ascii="Cambria Math" w:hAnsi="Cambria Math"/>
          </w:rPr>
          <m:t>w∈(0,1)</m:t>
        </m:r>
      </m:oMath>
      <w:r w:rsidR="006E4D5F" w:rsidRPr="006E4D5F">
        <w:t>.</w:t>
      </w:r>
      <w:r w:rsidR="006E4D5F">
        <w:t xml:space="preserve"> This term</w:t>
      </w:r>
      <w:r w:rsidR="005D3535" w:rsidRPr="00516AEA">
        <w:t xml:space="preserve"> includes the policymakers’ appetite for risk, but also the probability of crisis. </w:t>
      </w:r>
      <w:r w:rsidR="006E4D5F">
        <w:t xml:space="preserve">A higher value of </w:t>
      </w:r>
      <m:oMath>
        <m:r>
          <m:rPr>
            <m:sty m:val="bi"/>
          </m:rPr>
          <w:rPr>
            <w:rFonts w:ascii="Cambria Math" w:hAnsi="Cambria Math"/>
          </w:rPr>
          <m:t>w</m:t>
        </m:r>
      </m:oMath>
      <w:r w:rsidR="006E4D5F">
        <w:rPr>
          <w:b/>
          <w:bCs/>
        </w:rPr>
        <w:t xml:space="preserve"> </w:t>
      </w:r>
      <w:r w:rsidR="006E4D5F" w:rsidRPr="006E4D5F">
        <w:t>indicates</w:t>
      </w:r>
      <w:r w:rsidR="006E4D5F">
        <w:t xml:space="preserve"> that the </w:t>
      </w:r>
      <w:r w:rsidR="006E4D5F" w:rsidRPr="00516AEA">
        <w:t>policymaker</w:t>
      </w:r>
      <w:r w:rsidR="006E4D5F">
        <w:t xml:space="preserve"> is more </w:t>
      </w:r>
      <w:r w:rsidR="006E4D5F" w:rsidRPr="006E4D5F">
        <w:t>sensitive</w:t>
      </w:r>
      <w:r w:rsidR="006E4D5F">
        <w:t xml:space="preserve"> to risk</w:t>
      </w:r>
      <w:r w:rsidR="009943A3">
        <w:t>s</w:t>
      </w:r>
      <w:r w:rsidR="006E4D5F">
        <w:t xml:space="preserve">, while a value of </w:t>
      </w:r>
      <w:r w:rsidR="00010842">
        <w:t>zero</w:t>
      </w:r>
      <w:r w:rsidR="006E4D5F">
        <w:t xml:space="preserve"> would </w:t>
      </w:r>
      <w:r w:rsidR="009943A3">
        <w:t xml:space="preserve">imply a </w:t>
      </w:r>
      <w:r w:rsidR="009943A3" w:rsidRPr="009943A3">
        <w:t>complete</w:t>
      </w:r>
      <w:r w:rsidR="009943A3">
        <w:t xml:space="preserve"> </w:t>
      </w:r>
      <w:r w:rsidR="009943A3" w:rsidRPr="009943A3">
        <w:t>disregard</w:t>
      </w:r>
      <w:r w:rsidR="009943A3">
        <w:t xml:space="preserve"> for the systemic risks in the economy. The calibration results </w:t>
      </w:r>
      <w:r w:rsidR="00010842">
        <w:t xml:space="preserve">indicate </w:t>
      </w:r>
      <w:r w:rsidR="008F0A31">
        <w:t xml:space="preserve">that the </w:t>
      </w:r>
      <w:r w:rsidR="008F0A31" w:rsidRPr="008F0A31">
        <w:t>reasonable</w:t>
      </w:r>
      <w:r w:rsidR="008F0A31">
        <w:t xml:space="preserve"> value of </w:t>
      </w:r>
      <m:oMath>
        <m:r>
          <m:rPr>
            <m:sty m:val="bi"/>
          </m:rPr>
          <w:rPr>
            <w:rFonts w:ascii="Cambria Math" w:hAnsi="Cambria Math"/>
          </w:rPr>
          <m:t>w</m:t>
        </m:r>
      </m:oMath>
      <w:r w:rsidR="008F0A31">
        <w:rPr>
          <w:b/>
          <w:bCs/>
        </w:rPr>
        <w:t xml:space="preserve"> </w:t>
      </w:r>
      <w:r w:rsidR="008F0A31" w:rsidRPr="008F0A31">
        <w:t xml:space="preserve">in Armenia </w:t>
      </w:r>
      <w:r w:rsidR="008F0A31">
        <w:t xml:space="preserve">is around </w:t>
      </w:r>
      <w:r w:rsidR="008F0A31" w:rsidRPr="003B348B">
        <w:rPr>
          <w:b/>
          <w:bCs/>
        </w:rPr>
        <w:t>0.11</w:t>
      </w:r>
      <w:r w:rsidR="00DD7D78">
        <w:rPr>
          <w:rStyle w:val="FootnoteReference"/>
        </w:rPr>
        <w:footnoteReference w:id="1"/>
      </w:r>
      <w:r w:rsidR="008F0A31">
        <w:t>.</w:t>
      </w:r>
      <w:r w:rsidR="000E5CC3">
        <w:t xml:space="preserve"> </w:t>
      </w:r>
      <w:r w:rsidR="008F0A31">
        <w:t xml:space="preserve">The </w:t>
      </w:r>
      <w:r w:rsidR="008F0A31" w:rsidRPr="002811E6">
        <w:t>specific</w:t>
      </w:r>
      <w:r w:rsidR="008F0A31" w:rsidRPr="008F0A31">
        <w:t xml:space="preserve"> </w:t>
      </w:r>
      <w:r w:rsidR="008F0A31" w:rsidRPr="002811E6">
        <w:t xml:space="preserve">trade-off </w:t>
      </w:r>
      <w:r w:rsidR="008F0A31">
        <w:t>for the</w:t>
      </w:r>
      <w:r w:rsidR="008F0A31" w:rsidRPr="002811E6">
        <w:t xml:space="preserve"> policymakers</w:t>
      </w:r>
      <w:r w:rsidR="008F0A31">
        <w:t xml:space="preserve"> will </w:t>
      </w:r>
      <w:r w:rsidR="008F0A31" w:rsidRPr="002811E6">
        <w:t>depend</w:t>
      </w:r>
      <w:r w:rsidR="008F0A31">
        <w:t xml:space="preserve"> on their </w:t>
      </w:r>
      <w:r w:rsidR="008F0A31" w:rsidRPr="002811E6">
        <w:t>tolerance for downside risks</w:t>
      </w:r>
      <w:r w:rsidR="008F0A31">
        <w:t xml:space="preserve">, but also </w:t>
      </w:r>
      <w:r w:rsidR="008F0A31" w:rsidRPr="002811E6">
        <w:t>the effectiveness of macroprudential polic</w:t>
      </w:r>
      <w:r w:rsidR="008F0A31">
        <w:t>y (ESRB, 2021</w:t>
      </w:r>
      <w:r w:rsidR="007F3153">
        <w:t xml:space="preserve">; </w:t>
      </w:r>
      <w:r w:rsidR="008F0A31">
        <w:t>Suarez, 2021).</w:t>
      </w:r>
    </w:p>
    <w:p w14:paraId="036A5AAE" w14:textId="0438D3DA" w:rsidR="000770C1" w:rsidRDefault="000770C1" w:rsidP="004525E8">
      <w:pPr>
        <w:pStyle w:val="SectionHeading"/>
      </w:pPr>
      <w:r>
        <w:t>Methodology</w:t>
      </w:r>
    </w:p>
    <w:p w14:paraId="30A1FFAB" w14:textId="34BEC8CE" w:rsidR="00646075" w:rsidRDefault="00646075" w:rsidP="00646075">
      <w:pPr>
        <w:pStyle w:val="SectionHeading"/>
        <w:numPr>
          <w:ilvl w:val="1"/>
          <w:numId w:val="9"/>
        </w:numPr>
      </w:pPr>
      <w:r>
        <w:t>Panel quantile regression</w:t>
      </w:r>
    </w:p>
    <w:p w14:paraId="774F931E" w14:textId="3D9B292D" w:rsidR="00646075" w:rsidRPr="00AF7DC7" w:rsidRDefault="004B1F17" w:rsidP="00056173">
      <w:r>
        <w:t xml:space="preserve">As we have discussed before, </w:t>
      </w:r>
      <w:r w:rsidR="00765F0E">
        <w:t xml:space="preserve">macroprudential policy </w:t>
      </w:r>
      <w:r>
        <w:t xml:space="preserve">has different effects on the GDP growth distribution </w:t>
      </w:r>
      <w:r w:rsidR="00087BEC">
        <w:t>(</w:t>
      </w:r>
      <w:r w:rsidR="00087BEC">
        <w:rPr>
          <w:noProof/>
        </w:rPr>
        <w:t>Boar et al., 2017)</w:t>
      </w:r>
      <w:r w:rsidR="00040473">
        <w:rPr>
          <w:noProof/>
        </w:rPr>
        <w:t>.</w:t>
      </w:r>
      <w:r w:rsidR="00765F0E">
        <w:rPr>
          <w:noProof/>
        </w:rPr>
        <w:t xml:space="preserve"> </w:t>
      </w:r>
      <w:r w:rsidR="00040473">
        <w:rPr>
          <w:noProof/>
        </w:rPr>
        <w:t>T</w:t>
      </w:r>
      <w:r w:rsidR="00765F0E">
        <w:rPr>
          <w:noProof/>
        </w:rPr>
        <w:t>o model these n</w:t>
      </w:r>
      <w:r w:rsidR="00765F0E" w:rsidRPr="00765F0E">
        <w:rPr>
          <w:noProof/>
        </w:rPr>
        <w:t>onlinearities</w:t>
      </w:r>
      <w:r w:rsidR="00765F0E">
        <w:rPr>
          <w:noProof/>
        </w:rPr>
        <w:t xml:space="preserve"> we use the </w:t>
      </w:r>
      <w:r w:rsidR="00765F0E" w:rsidRPr="00765F0E">
        <w:rPr>
          <w:noProof/>
        </w:rPr>
        <w:t xml:space="preserve">quantile regression </w:t>
      </w:r>
      <w:r w:rsidR="00765F0E">
        <w:rPr>
          <w:noProof/>
        </w:rPr>
        <w:t xml:space="preserve">framework </w:t>
      </w:r>
      <w:sdt>
        <w:sdtPr>
          <w:rPr>
            <w:noProof/>
          </w:rPr>
          <w:id w:val="-178891202"/>
          <w:citation/>
        </w:sdtPr>
        <w:sdtContent>
          <w:r w:rsidR="00765F0E">
            <w:rPr>
              <w:noProof/>
            </w:rPr>
            <w:fldChar w:fldCharType="begin"/>
          </w:r>
          <w:r w:rsidR="00765F0E">
            <w:rPr>
              <w:noProof/>
            </w:rPr>
            <w:instrText xml:space="preserve"> CITATION Koe78 \l 1033 </w:instrText>
          </w:r>
          <w:r w:rsidR="00765F0E">
            <w:rPr>
              <w:noProof/>
            </w:rPr>
            <w:fldChar w:fldCharType="separate"/>
          </w:r>
          <w:r w:rsidR="00C8403C">
            <w:rPr>
              <w:noProof/>
            </w:rPr>
            <w:t>(Koenker &amp; Bassett, 1978)</w:t>
          </w:r>
          <w:r w:rsidR="00765F0E">
            <w:rPr>
              <w:noProof/>
            </w:rPr>
            <w:fldChar w:fldCharType="end"/>
          </w:r>
        </w:sdtContent>
      </w:sdt>
      <w:r w:rsidR="00765F0E">
        <w:rPr>
          <w:noProof/>
        </w:rPr>
        <w:t xml:space="preserve"> </w:t>
      </w:r>
      <w:r w:rsidR="00040473">
        <w:rPr>
          <w:noProof/>
        </w:rPr>
        <w:t xml:space="preserve">which </w:t>
      </w:r>
      <w:r w:rsidR="00040473">
        <w:rPr>
          <w:noProof/>
        </w:rPr>
        <w:lastRenderedPageBreak/>
        <w:t xml:space="preserve">allows us to </w:t>
      </w:r>
      <w:r w:rsidR="00765F0E">
        <w:rPr>
          <w:noProof/>
        </w:rPr>
        <w:t xml:space="preserve">focus </w:t>
      </w:r>
      <w:r w:rsidR="00040473">
        <w:rPr>
          <w:noProof/>
        </w:rPr>
        <w:t xml:space="preserve">on different conditional </w:t>
      </w:r>
      <w:r w:rsidR="00040473" w:rsidRPr="00765F0E">
        <w:rPr>
          <w:noProof/>
        </w:rPr>
        <w:t>quantile</w:t>
      </w:r>
      <w:r w:rsidR="00040473">
        <w:rPr>
          <w:noProof/>
        </w:rPr>
        <w:t xml:space="preserve">s of the </w:t>
      </w:r>
      <w:r w:rsidR="0077447A" w:rsidRPr="0077447A">
        <w:rPr>
          <w:noProof/>
        </w:rPr>
        <w:t>distribution</w:t>
      </w:r>
      <w:r w:rsidR="0077447A">
        <w:rPr>
          <w:noProof/>
        </w:rPr>
        <w:t xml:space="preserve"> </w:t>
      </w:r>
      <w:r w:rsidR="00040473">
        <w:rPr>
          <w:noProof/>
        </w:rPr>
        <w:t>and no</w:t>
      </w:r>
      <w:r w:rsidR="00D41CAA">
        <w:rPr>
          <w:noProof/>
        </w:rPr>
        <w:t>t</w:t>
      </w:r>
      <w:r w:rsidR="00040473">
        <w:rPr>
          <w:noProof/>
        </w:rPr>
        <w:t xml:space="preserve"> just the conditional mean. </w:t>
      </w:r>
      <w:r w:rsidR="00D41CAA">
        <w:rPr>
          <w:noProof/>
        </w:rPr>
        <w:t xml:space="preserve">Quantile regression has also become quite popular in forecasting growth-at-risk, which is the expected loss in GDP growth given a tail event. In fact, it has proven to outperform </w:t>
      </w:r>
      <w:r w:rsidR="00D41CAA" w:rsidRPr="00D41CAA">
        <w:rPr>
          <w:noProof/>
        </w:rPr>
        <w:t xml:space="preserve">GARCH-type </w:t>
      </w:r>
      <w:r w:rsidR="00D41CAA">
        <w:rPr>
          <w:noProof/>
        </w:rPr>
        <w:t xml:space="preserve">models </w:t>
      </w:r>
      <w:sdt>
        <w:sdtPr>
          <w:rPr>
            <w:noProof/>
          </w:rPr>
          <w:id w:val="-1849712911"/>
          <w:citation/>
        </w:sdtPr>
        <w:sdtContent>
          <w:r w:rsidR="00040473">
            <w:rPr>
              <w:noProof/>
            </w:rPr>
            <w:fldChar w:fldCharType="begin"/>
          </w:r>
          <w:r w:rsidR="00040473">
            <w:rPr>
              <w:noProof/>
            </w:rPr>
            <w:instrText xml:space="preserve"> CITATION Kip22 \l 1033 </w:instrText>
          </w:r>
          <w:r w:rsidR="00040473">
            <w:rPr>
              <w:noProof/>
            </w:rPr>
            <w:fldChar w:fldCharType="separate"/>
          </w:r>
          <w:r w:rsidR="00C8403C">
            <w:rPr>
              <w:noProof/>
            </w:rPr>
            <w:t>(Kipriyanov, 2022)</w:t>
          </w:r>
          <w:r w:rsidR="00040473">
            <w:rPr>
              <w:noProof/>
            </w:rPr>
            <w:fldChar w:fldCharType="end"/>
          </w:r>
        </w:sdtContent>
      </w:sdt>
      <w:r w:rsidR="00D41CAA">
        <w:rPr>
          <w:noProof/>
        </w:rPr>
        <w:t xml:space="preserve"> in this task. In a panel framework, </w:t>
      </w:r>
      <w:r w:rsidR="00D41CAA">
        <w:t xml:space="preserve">quantile regression helps to account for heterogeneous covariates, while the </w:t>
      </w:r>
      <w:r w:rsidR="00D41CAA" w:rsidRPr="00D41CAA">
        <w:t>fixed effects</w:t>
      </w:r>
      <w:r w:rsidR="00D41CAA">
        <w:t xml:space="preserve"> consider the unobserved heterogeneity which doesn’t change with respect to time </w:t>
      </w:r>
      <w:sdt>
        <w:sdtPr>
          <w:id w:val="139548121"/>
          <w:citation/>
        </w:sdtPr>
        <w:sdtContent>
          <w:r w:rsidR="00D41CAA">
            <w:fldChar w:fldCharType="begin"/>
          </w:r>
          <w:r w:rsidR="00D41CAA">
            <w:instrText xml:space="preserve"> CITATION Galan \l 1033 </w:instrText>
          </w:r>
          <w:r w:rsidR="00D41CAA">
            <w:fldChar w:fldCharType="separate"/>
          </w:r>
          <w:r w:rsidR="00C8403C">
            <w:rPr>
              <w:noProof/>
            </w:rPr>
            <w:t>(Galán, 2020)</w:t>
          </w:r>
          <w:r w:rsidR="00D41CAA">
            <w:fldChar w:fldCharType="end"/>
          </w:r>
        </w:sdtContent>
      </w:sdt>
      <w:r w:rsidR="00B62631">
        <w:t xml:space="preserve">. It is important to note that in this framework the fixed effects are </w:t>
      </w:r>
      <w:r w:rsidR="00B62631" w:rsidRPr="00AF7DC7">
        <w:t>subject to change depending on the quantile. For a general case, a panel quantile regression takes the following form:</w:t>
      </w:r>
    </w:p>
    <w:p w14:paraId="194C7171" w14:textId="4F4B6385" w:rsidR="00B62631" w:rsidRPr="00AF7DC7" w:rsidRDefault="00000000" w:rsidP="00AF7DC7">
      <w:pPr>
        <w:pStyle w:val="Caption"/>
        <w:rPr>
          <w:b w:val="0"/>
          <w:sz w:val="20"/>
        </w:rPr>
      </w:pPr>
      <m:oMathPara>
        <m:oMath>
          <m:eqArr>
            <m:eqArrPr>
              <m:maxDist m:val="1"/>
              <m:ctrlPr>
                <w:rPr>
                  <w:rFonts w:ascii="Cambria Math" w:hAnsi="Cambria Math"/>
                  <w:i/>
                  <w:sz w:val="20"/>
                </w:rPr>
              </m:ctrlPr>
            </m:eqArrPr>
            <m:e>
              <m:sSub>
                <m:sSubPr>
                  <m:ctrlPr>
                    <w:rPr>
                      <w:rFonts w:ascii="Cambria Math" w:hAnsi="Cambria Math"/>
                      <w:b w:val="0"/>
                      <w:i/>
                      <w:sz w:val="20"/>
                    </w:rPr>
                  </m:ctrlPr>
                </m:sSubPr>
                <m:e>
                  <m:r>
                    <m:rPr>
                      <m:sty m:val="bi"/>
                    </m:rPr>
                    <w:rPr>
                      <w:rFonts w:ascii="Cambria Math" w:hAnsi="Cambria Math"/>
                      <w:sz w:val="20"/>
                    </w:rPr>
                    <m:t>y</m:t>
                  </m:r>
                  <m:ctrlPr>
                    <w:rPr>
                      <w:rFonts w:ascii="Cambria Math" w:hAnsi="Cambria Math"/>
                      <w:i/>
                      <w:sz w:val="20"/>
                    </w:rPr>
                  </m:ctrlPr>
                </m:e>
                <m:sub>
                  <m:r>
                    <m:rPr>
                      <m:sty m:val="bi"/>
                    </m:rPr>
                    <w:rPr>
                      <w:rFonts w:ascii="Cambria Math" w:hAnsi="Cambria Math"/>
                      <w:sz w:val="20"/>
                    </w:rPr>
                    <m:t>i,t+h</m:t>
                  </m:r>
                </m:sub>
              </m:sSub>
              <m:r>
                <m:rPr>
                  <m:sty m:val="bi"/>
                </m:rPr>
                <w:rPr>
                  <w:rFonts w:ascii="Cambria Math" w:hAnsi="Cambria Math"/>
                  <w:sz w:val="20"/>
                </w:rPr>
                <m:t>=</m:t>
              </m:r>
              <m:sSub>
                <m:sSubPr>
                  <m:ctrlPr>
                    <w:rPr>
                      <w:rFonts w:ascii="Cambria Math" w:hAnsi="Cambria Math"/>
                      <w:b w:val="0"/>
                      <w:i/>
                      <w:sz w:val="20"/>
                    </w:rPr>
                  </m:ctrlPr>
                </m:sSubPr>
                <m:e>
                  <m:r>
                    <m:rPr>
                      <m:sty m:val="bi"/>
                    </m:rPr>
                    <w:rPr>
                      <w:rFonts w:ascii="Cambria Math" w:hAnsi="Cambria Math"/>
                      <w:sz w:val="20"/>
                    </w:rPr>
                    <m:t>α</m:t>
                  </m:r>
                  <m:ctrlPr>
                    <w:rPr>
                      <w:rFonts w:ascii="Cambria Math" w:hAnsi="Cambria Math"/>
                      <w:i/>
                      <w:sz w:val="20"/>
                    </w:rPr>
                  </m:ctrlPr>
                </m:e>
                <m:sub>
                  <m:r>
                    <m:rPr>
                      <m:sty m:val="bi"/>
                    </m:rPr>
                    <w:rPr>
                      <w:rFonts w:ascii="Cambria Math" w:hAnsi="Cambria Math"/>
                      <w:sz w:val="20"/>
                    </w:rPr>
                    <m:t>i,τ</m:t>
                  </m:r>
                </m:sub>
              </m:sSub>
              <m:r>
                <m:rPr>
                  <m:sty m:val="bi"/>
                </m:rPr>
                <w:rPr>
                  <w:rFonts w:ascii="Cambria Math" w:hAnsi="Cambria Math"/>
                  <w:sz w:val="20"/>
                </w:rPr>
                <m:t>+</m:t>
              </m:r>
              <m:sSub>
                <m:sSubPr>
                  <m:ctrlPr>
                    <w:rPr>
                      <w:rFonts w:ascii="Cambria Math" w:hAnsi="Cambria Math"/>
                      <w:b w:val="0"/>
                      <w:i/>
                      <w:sz w:val="20"/>
                    </w:rPr>
                  </m:ctrlPr>
                </m:sSubPr>
                <m:e>
                  <m:r>
                    <m:rPr>
                      <m:sty m:val="bi"/>
                    </m:rPr>
                    <w:rPr>
                      <w:rFonts w:ascii="Cambria Math" w:hAnsi="Cambria Math"/>
                      <w:sz w:val="20"/>
                    </w:rPr>
                    <m:t>X</m:t>
                  </m:r>
                  <m:ctrlPr>
                    <w:rPr>
                      <w:rFonts w:ascii="Cambria Math" w:hAnsi="Cambria Math"/>
                      <w:i/>
                      <w:sz w:val="20"/>
                    </w:rPr>
                  </m:ctrlPr>
                </m:e>
                <m:sub>
                  <m:r>
                    <m:rPr>
                      <m:sty m:val="bi"/>
                    </m:rPr>
                    <w:rPr>
                      <w:rFonts w:ascii="Cambria Math" w:hAnsi="Cambria Math"/>
                      <w:sz w:val="20"/>
                    </w:rPr>
                    <m:t>i,t</m:t>
                  </m:r>
                </m:sub>
              </m:sSub>
              <m:sSub>
                <m:sSubPr>
                  <m:ctrlPr>
                    <w:rPr>
                      <w:rFonts w:ascii="Cambria Math" w:hAnsi="Cambria Math"/>
                      <w:b w:val="0"/>
                      <w:i/>
                      <w:sz w:val="20"/>
                    </w:rPr>
                  </m:ctrlPr>
                </m:sSubPr>
                <m:e>
                  <m:r>
                    <m:rPr>
                      <m:sty m:val="bi"/>
                    </m:rPr>
                    <w:rPr>
                      <w:rFonts w:ascii="Cambria Math" w:hAnsi="Cambria Math"/>
                      <w:sz w:val="20"/>
                    </w:rPr>
                    <m:t>β</m:t>
                  </m:r>
                  <m:ctrlPr>
                    <w:rPr>
                      <w:rFonts w:ascii="Cambria Math" w:hAnsi="Cambria Math"/>
                      <w:i/>
                      <w:sz w:val="20"/>
                    </w:rPr>
                  </m:ctrlPr>
                </m:e>
                <m:sub>
                  <m:r>
                    <m:rPr>
                      <m:sty m:val="bi"/>
                    </m:rPr>
                    <w:rPr>
                      <w:rFonts w:ascii="Cambria Math" w:hAnsi="Cambria Math"/>
                      <w:sz w:val="20"/>
                    </w:rPr>
                    <m:t>τ</m:t>
                  </m:r>
                </m:sub>
              </m:sSub>
              <m:r>
                <m:rPr>
                  <m:sty m:val="bi"/>
                </m:rPr>
                <w:rPr>
                  <w:rFonts w:ascii="Cambria Math" w:hAnsi="Cambria Math"/>
                  <w:sz w:val="20"/>
                </w:rPr>
                <m:t>+</m:t>
              </m:r>
              <m:sSub>
                <m:sSubPr>
                  <m:ctrlPr>
                    <w:rPr>
                      <w:rFonts w:ascii="Cambria Math" w:hAnsi="Cambria Math"/>
                      <w:b w:val="0"/>
                      <w:i/>
                      <w:sz w:val="20"/>
                    </w:rPr>
                  </m:ctrlPr>
                </m:sSubPr>
                <m:e>
                  <m:r>
                    <m:rPr>
                      <m:sty m:val="bi"/>
                    </m:rPr>
                    <w:rPr>
                      <w:rFonts w:ascii="Cambria Math" w:hAnsi="Cambria Math"/>
                      <w:sz w:val="20"/>
                    </w:rPr>
                    <m:t>v</m:t>
                  </m:r>
                  <m:ctrlPr>
                    <w:rPr>
                      <w:rFonts w:ascii="Cambria Math" w:hAnsi="Cambria Math"/>
                      <w:i/>
                      <w:sz w:val="20"/>
                    </w:rPr>
                  </m:ctrlPr>
                </m:e>
                <m:sub>
                  <m:r>
                    <m:rPr>
                      <m:sty m:val="bi"/>
                    </m:rPr>
                    <w:rPr>
                      <w:rFonts w:ascii="Cambria Math" w:hAnsi="Cambria Math"/>
                      <w:sz w:val="20"/>
                    </w:rPr>
                    <m:t>τ,t+h</m:t>
                  </m:r>
                </m:sub>
              </m:sSub>
              <m:r>
                <m:rPr>
                  <m:sty m:val="bi"/>
                </m:rPr>
                <w:rPr>
                  <w:rFonts w:ascii="Cambria Math" w:hAnsi="Cambria Math"/>
                  <w:sz w:val="20"/>
                </w:rPr>
                <m:t>#</m:t>
              </m:r>
              <m:d>
                <m:dPr>
                  <m:ctrlPr>
                    <w:rPr>
                      <w:rFonts w:ascii="Cambria Math" w:hAnsi="Cambria Math"/>
                      <w:b w:val="0"/>
                      <w:i/>
                      <w:sz w:val="20"/>
                    </w:rPr>
                  </m:ctrlPr>
                </m:dPr>
                <m:e>
                  <m:r>
                    <w:rPr>
                      <w:rFonts w:ascii="Cambria Math" w:hAnsi="Cambria Math"/>
                      <w:b w:val="0"/>
                      <w:i/>
                      <w:sz w:val="20"/>
                    </w:rPr>
                    <w:fldChar w:fldCharType="begin"/>
                  </m:r>
                  <m:r>
                    <m:rPr>
                      <m:sty m:val="b"/>
                    </m:rPr>
                    <w:rPr>
                      <w:rFonts w:ascii="Cambria Math" w:hAnsi="Cambria Math"/>
                      <w:sz w:val="20"/>
                    </w:rPr>
                    <m:t xml:space="preserve"> SEQ Equation \* ARABIC </m:t>
                  </m:r>
                  <m:r>
                    <w:rPr>
                      <w:rFonts w:ascii="Cambria Math" w:hAnsi="Cambria Math"/>
                      <w:b w:val="0"/>
                      <w:i/>
                      <w:sz w:val="20"/>
                    </w:rPr>
                    <w:fldChar w:fldCharType="separate"/>
                  </m:r>
                  <m:r>
                    <m:rPr>
                      <m:sty m:val="b"/>
                    </m:rPr>
                    <w:rPr>
                      <w:rFonts w:ascii="Cambria Math" w:hAnsi="Cambria Math"/>
                      <w:noProof/>
                      <w:sz w:val="20"/>
                    </w:rPr>
                    <m:t>5</m:t>
                  </m:r>
                  <m:r>
                    <w:rPr>
                      <w:rFonts w:ascii="Cambria Math" w:hAnsi="Cambria Math"/>
                      <w:b w:val="0"/>
                      <w:i/>
                      <w:sz w:val="20"/>
                    </w:rPr>
                    <w:fldChar w:fldCharType="end"/>
                  </m:r>
                </m:e>
              </m:d>
            </m:e>
          </m:eqArr>
        </m:oMath>
      </m:oMathPara>
    </w:p>
    <w:p w14:paraId="1A922BF6" w14:textId="067F7B71" w:rsidR="00216396" w:rsidRPr="00AF7DC7" w:rsidRDefault="00000000" w:rsidP="00AF7DC7">
      <w:pPr>
        <w:pStyle w:val="Caption"/>
        <w:rPr>
          <w:b w:val="0"/>
          <w:sz w:val="20"/>
        </w:rPr>
      </w:pPr>
      <m:oMathPara>
        <m:oMath>
          <m:eqArr>
            <m:eqArrPr>
              <m:maxDist m:val="1"/>
              <m:ctrlPr>
                <w:rPr>
                  <w:rFonts w:ascii="Cambria Math" w:hAnsi="Cambria Math"/>
                  <w:i/>
                  <w:sz w:val="20"/>
                </w:rPr>
              </m:ctrlPr>
            </m:eqArrPr>
            <m:e>
              <m:sSub>
                <m:sSubPr>
                  <m:ctrlPr>
                    <w:rPr>
                      <w:rFonts w:ascii="Cambria Math" w:hAnsi="Cambria Math"/>
                      <w:b w:val="0"/>
                      <w:i/>
                      <w:sz w:val="20"/>
                    </w:rPr>
                  </m:ctrlPr>
                </m:sSubPr>
                <m:e>
                  <m:r>
                    <m:rPr>
                      <m:sty m:val="bi"/>
                    </m:rPr>
                    <w:rPr>
                      <w:rFonts w:ascii="Cambria Math" w:hAnsi="Cambria Math"/>
                      <w:sz w:val="20"/>
                    </w:rPr>
                    <m:t>v</m:t>
                  </m:r>
                  <m:ctrlPr>
                    <w:rPr>
                      <w:rFonts w:ascii="Cambria Math" w:hAnsi="Cambria Math"/>
                      <w:i/>
                      <w:sz w:val="20"/>
                    </w:rPr>
                  </m:ctrlPr>
                </m:e>
                <m:sub>
                  <m:r>
                    <m:rPr>
                      <m:sty m:val="bi"/>
                    </m:rPr>
                    <w:rPr>
                      <w:rFonts w:ascii="Cambria Math" w:hAnsi="Cambria Math"/>
                      <w:sz w:val="20"/>
                    </w:rPr>
                    <m:t>τ,t+h</m:t>
                  </m:r>
                </m:sub>
              </m:sSub>
              <m:r>
                <m:rPr>
                  <m:sty m:val="bi"/>
                </m:rPr>
                <w:rPr>
                  <w:rFonts w:ascii="Cambria Math" w:hAnsi="Cambria Math"/>
                  <w:sz w:val="20"/>
                </w:rPr>
                <m:t>=</m:t>
              </m:r>
              <m:nary>
                <m:naryPr>
                  <m:chr m:val="∑"/>
                  <m:limLoc m:val="undOvr"/>
                  <m:ctrlPr>
                    <w:rPr>
                      <w:rFonts w:ascii="Cambria Math" w:hAnsi="Cambria Math"/>
                      <w:b w:val="0"/>
                      <w:i/>
                      <w:sz w:val="20"/>
                    </w:rPr>
                  </m:ctrlPr>
                </m:naryPr>
                <m:sub>
                  <m:r>
                    <m:rPr>
                      <m:sty m:val="bi"/>
                    </m:rPr>
                    <w:rPr>
                      <w:rFonts w:ascii="Cambria Math" w:hAnsi="Cambria Math"/>
                      <w:sz w:val="20"/>
                    </w:rPr>
                    <m:t>i=1</m:t>
                  </m:r>
                </m:sub>
                <m:sup>
                  <m:r>
                    <m:rPr>
                      <m:sty m:val="bi"/>
                    </m:rPr>
                    <w:rPr>
                      <w:rFonts w:ascii="Cambria Math" w:hAnsi="Cambria Math"/>
                      <w:sz w:val="20"/>
                    </w:rPr>
                    <m:t>n</m:t>
                  </m:r>
                </m:sup>
                <m:e>
                  <m:nary>
                    <m:naryPr>
                      <m:chr m:val="∑"/>
                      <m:limLoc m:val="undOvr"/>
                      <m:ctrlPr>
                        <w:rPr>
                          <w:rFonts w:ascii="Cambria Math" w:hAnsi="Cambria Math"/>
                          <w:b w:val="0"/>
                          <w:i/>
                          <w:sz w:val="20"/>
                        </w:rPr>
                      </m:ctrlPr>
                    </m:naryPr>
                    <m:sub>
                      <m:r>
                        <m:rPr>
                          <m:sty m:val="bi"/>
                        </m:rPr>
                        <w:rPr>
                          <w:rFonts w:ascii="Cambria Math" w:hAnsi="Cambria Math"/>
                          <w:sz w:val="20"/>
                        </w:rPr>
                        <m:t>t=1</m:t>
                      </m:r>
                    </m:sub>
                    <m:sup>
                      <m:r>
                        <m:rPr>
                          <m:sty m:val="bi"/>
                        </m:rPr>
                        <w:rPr>
                          <w:rFonts w:ascii="Cambria Math" w:hAnsi="Cambria Math"/>
                          <w:sz w:val="20"/>
                        </w:rPr>
                        <m:t>T-h</m:t>
                      </m:r>
                    </m:sup>
                    <m:e>
                      <m:sSub>
                        <m:sSubPr>
                          <m:ctrlPr>
                            <w:rPr>
                              <w:rFonts w:ascii="Cambria Math" w:hAnsi="Cambria Math"/>
                              <w:b w:val="0"/>
                              <w:i/>
                              <w:sz w:val="20"/>
                            </w:rPr>
                          </m:ctrlPr>
                        </m:sSubPr>
                        <m:e>
                          <m:r>
                            <m:rPr>
                              <m:sty m:val="bi"/>
                            </m:rPr>
                            <w:rPr>
                              <w:rFonts w:ascii="Cambria Math" w:hAnsi="Cambria Math"/>
                              <w:sz w:val="20"/>
                            </w:rPr>
                            <m:t>ρ</m:t>
                          </m:r>
                        </m:e>
                        <m:sub>
                          <m:r>
                            <m:rPr>
                              <m:sty m:val="bi"/>
                            </m:rPr>
                            <w:rPr>
                              <w:rFonts w:ascii="Cambria Math" w:hAnsi="Cambria Math"/>
                              <w:sz w:val="20"/>
                            </w:rPr>
                            <m:t>τ</m:t>
                          </m:r>
                        </m:sub>
                      </m:sSub>
                      <m:d>
                        <m:dPr>
                          <m:begChr m:val="|"/>
                          <m:endChr m:val="|"/>
                          <m:ctrlPr>
                            <w:rPr>
                              <w:rFonts w:ascii="Cambria Math" w:hAnsi="Cambria Math"/>
                              <w:b w:val="0"/>
                              <w:i/>
                              <w:sz w:val="20"/>
                            </w:rPr>
                          </m:ctrlPr>
                        </m:dPr>
                        <m:e>
                          <m:sSubSup>
                            <m:sSubSupPr>
                              <m:ctrlPr>
                                <w:rPr>
                                  <w:rFonts w:ascii="Cambria Math" w:hAnsi="Cambria Math"/>
                                  <w:b w:val="0"/>
                                  <w:i/>
                                  <w:sz w:val="20"/>
                                </w:rPr>
                              </m:ctrlPr>
                            </m:sSubSupPr>
                            <m:e>
                              <m:sSub>
                                <m:sSubPr>
                                  <m:ctrlPr>
                                    <w:rPr>
                                      <w:rFonts w:ascii="Cambria Math" w:hAnsi="Cambria Math"/>
                                      <w:b w:val="0"/>
                                      <w:i/>
                                      <w:sz w:val="20"/>
                                    </w:rPr>
                                  </m:ctrlPr>
                                </m:sSubPr>
                                <m:e>
                                  <m:r>
                                    <m:rPr>
                                      <m:sty m:val="bi"/>
                                    </m:rPr>
                                    <w:rPr>
                                      <w:rFonts w:ascii="Cambria Math" w:hAnsi="Cambria Math"/>
                                      <w:sz w:val="20"/>
                                    </w:rPr>
                                    <m:t>y</m:t>
                                  </m:r>
                                </m:e>
                                <m:sub>
                                  <m:r>
                                    <m:rPr>
                                      <m:sty m:val="bi"/>
                                    </m:rPr>
                                    <w:rPr>
                                      <w:rFonts w:ascii="Cambria Math" w:hAnsi="Cambria Math"/>
                                      <w:sz w:val="20"/>
                                    </w:rPr>
                                    <m:t>i,t+h</m:t>
                                  </m:r>
                                </m:sub>
                              </m:sSub>
                              <m:r>
                                <m:rPr>
                                  <m:sty m:val="bi"/>
                                </m:rPr>
                                <w:rPr>
                                  <w:rFonts w:ascii="Cambria Math" w:hAnsi="Cambria Math"/>
                                  <w:sz w:val="20"/>
                                </w:rPr>
                                <m:t>-y</m:t>
                              </m:r>
                            </m:e>
                            <m:sub>
                              <m:r>
                                <m:rPr>
                                  <m:sty m:val="bi"/>
                                </m:rPr>
                                <w:rPr>
                                  <w:rFonts w:ascii="Cambria Math" w:hAnsi="Cambria Math"/>
                                  <w:sz w:val="20"/>
                                </w:rPr>
                                <m:t>i,t+h</m:t>
                              </m:r>
                            </m:sub>
                            <m:sup>
                              <m:r>
                                <m:rPr>
                                  <m:sty m:val="bi"/>
                                </m:rPr>
                                <w:rPr>
                                  <w:rFonts w:ascii="Cambria Math" w:hAnsi="Cambria Math"/>
                                  <w:sz w:val="20"/>
                                </w:rPr>
                                <m:t>*</m:t>
                              </m:r>
                            </m:sup>
                          </m:sSubSup>
                        </m:e>
                      </m:d>
                    </m:e>
                  </m:nary>
                </m:e>
              </m:nary>
              <m:r>
                <m:rPr>
                  <m:sty m:val="bi"/>
                </m:rPr>
                <w:rPr>
                  <w:rFonts w:ascii="Cambria Math" w:hAnsi="Cambria Math"/>
                  <w:sz w:val="20"/>
                </w:rPr>
                <m:t>#</m:t>
              </m:r>
              <m:d>
                <m:dPr>
                  <m:ctrlPr>
                    <w:rPr>
                      <w:rFonts w:ascii="Cambria Math" w:hAnsi="Cambria Math"/>
                      <w:b w:val="0"/>
                      <w:i/>
                      <w:sz w:val="20"/>
                    </w:rPr>
                  </m:ctrlPr>
                </m:dPr>
                <m:e>
                  <m:r>
                    <w:rPr>
                      <w:rFonts w:ascii="Cambria Math" w:hAnsi="Cambria Math"/>
                      <w:b w:val="0"/>
                      <w:i/>
                      <w:sz w:val="20"/>
                    </w:rPr>
                    <w:fldChar w:fldCharType="begin"/>
                  </m:r>
                  <m:r>
                    <m:rPr>
                      <m:sty m:val="b"/>
                    </m:rPr>
                    <w:rPr>
                      <w:rFonts w:ascii="Cambria Math" w:hAnsi="Cambria Math"/>
                      <w:sz w:val="20"/>
                    </w:rPr>
                    <m:t xml:space="preserve"> SEQ Equation \* ARABIC </m:t>
                  </m:r>
                  <m:r>
                    <w:rPr>
                      <w:rFonts w:ascii="Cambria Math" w:hAnsi="Cambria Math"/>
                      <w:b w:val="0"/>
                      <w:i/>
                      <w:sz w:val="20"/>
                    </w:rPr>
                    <w:fldChar w:fldCharType="separate"/>
                  </m:r>
                  <m:r>
                    <m:rPr>
                      <m:sty m:val="b"/>
                    </m:rPr>
                    <w:rPr>
                      <w:rFonts w:ascii="Cambria Math" w:hAnsi="Cambria Math"/>
                      <w:noProof/>
                      <w:sz w:val="20"/>
                    </w:rPr>
                    <m:t>6</m:t>
                  </m:r>
                  <m:r>
                    <w:rPr>
                      <w:rFonts w:ascii="Cambria Math" w:hAnsi="Cambria Math"/>
                      <w:b w:val="0"/>
                      <w:i/>
                      <w:sz w:val="20"/>
                    </w:rPr>
                    <w:fldChar w:fldCharType="end"/>
                  </m:r>
                </m:e>
              </m:d>
            </m:e>
          </m:eqArr>
        </m:oMath>
      </m:oMathPara>
    </w:p>
    <w:p w14:paraId="4802208A" w14:textId="6F8FB626" w:rsidR="00CA3503" w:rsidRPr="00AF7DC7" w:rsidRDefault="00000000" w:rsidP="00AF7DC7">
      <w:pPr>
        <w:pStyle w:val="Caption"/>
        <w:rPr>
          <w:b w:val="0"/>
          <w:sz w:val="20"/>
        </w:rPr>
      </w:pPr>
      <m:oMathPara>
        <m:oMath>
          <m:eqArr>
            <m:eqArrPr>
              <m:maxDist m:val="1"/>
              <m:ctrlPr>
                <w:rPr>
                  <w:rFonts w:ascii="Cambria Math" w:hAnsi="Cambria Math"/>
                  <w:i/>
                  <w:sz w:val="20"/>
                </w:rPr>
              </m:ctrlPr>
            </m:eqArrPr>
            <m:e>
              <m:sSub>
                <m:sSubPr>
                  <m:ctrlPr>
                    <w:rPr>
                      <w:rFonts w:ascii="Cambria Math" w:hAnsi="Cambria Math"/>
                      <w:b w:val="0"/>
                      <w:i/>
                      <w:sz w:val="20"/>
                    </w:rPr>
                  </m:ctrlPr>
                </m:sSubPr>
                <m:e>
                  <m:r>
                    <m:rPr>
                      <m:sty m:val="bi"/>
                    </m:rPr>
                    <w:rPr>
                      <w:rFonts w:ascii="Cambria Math" w:hAnsi="Cambria Math"/>
                      <w:sz w:val="20"/>
                    </w:rPr>
                    <m:t>ρ</m:t>
                  </m:r>
                  <m:ctrlPr>
                    <w:rPr>
                      <w:rFonts w:ascii="Cambria Math" w:hAnsi="Cambria Math"/>
                      <w:i/>
                      <w:sz w:val="20"/>
                    </w:rPr>
                  </m:ctrlPr>
                </m:e>
                <m:sub>
                  <m:r>
                    <m:rPr>
                      <m:sty m:val="bi"/>
                    </m:rPr>
                    <w:rPr>
                      <w:rFonts w:ascii="Cambria Math" w:hAnsi="Cambria Math"/>
                      <w:sz w:val="20"/>
                    </w:rPr>
                    <m:t>τ</m:t>
                  </m:r>
                </m:sub>
              </m:sSub>
              <m:r>
                <m:rPr>
                  <m:sty m:val="bi"/>
                </m:rPr>
                <w:rPr>
                  <w:rFonts w:ascii="Cambria Math" w:hAnsi="Cambria Math"/>
                  <w:sz w:val="20"/>
                </w:rPr>
                <m:t>=τ⋅</m:t>
              </m:r>
              <m:sSub>
                <m:sSubPr>
                  <m:ctrlPr>
                    <w:rPr>
                      <w:rFonts w:ascii="Cambria Math" w:hAnsi="Cambria Math"/>
                      <w:b w:val="0"/>
                      <w:i/>
                      <w:sz w:val="20"/>
                    </w:rPr>
                  </m:ctrlPr>
                </m:sSubPr>
                <m:e>
                  <m:r>
                    <m:rPr>
                      <m:sty m:val="bi"/>
                    </m:rPr>
                    <w:rPr>
                      <w:rFonts w:ascii="Cambria Math" w:hAnsi="Cambria Math"/>
                      <w:sz w:val="20"/>
                    </w:rPr>
                    <m:t>1</m:t>
                  </m:r>
                  <m:ctrlPr>
                    <w:rPr>
                      <w:rFonts w:ascii="Cambria Math" w:hAnsi="Cambria Math"/>
                      <w:i/>
                      <w:sz w:val="20"/>
                    </w:rPr>
                  </m:ctrlPr>
                </m:e>
                <m:sub>
                  <m:sSub>
                    <m:sSubPr>
                      <m:ctrlPr>
                        <w:rPr>
                          <w:rFonts w:ascii="Cambria Math" w:hAnsi="Cambria Math"/>
                          <w:b w:val="0"/>
                          <w:i/>
                          <w:sz w:val="20"/>
                        </w:rPr>
                      </m:ctrlPr>
                    </m:sSubPr>
                    <m:e>
                      <m:r>
                        <m:rPr>
                          <m:sty m:val="bi"/>
                        </m:rPr>
                        <w:rPr>
                          <w:rFonts w:ascii="Cambria Math" w:hAnsi="Cambria Math"/>
                          <w:sz w:val="20"/>
                        </w:rPr>
                        <m:t>y</m:t>
                      </m:r>
                    </m:e>
                    <m:sub>
                      <m:r>
                        <m:rPr>
                          <m:sty m:val="bi"/>
                        </m:rPr>
                        <w:rPr>
                          <w:rFonts w:ascii="Cambria Math" w:hAnsi="Cambria Math"/>
                          <w:sz w:val="20"/>
                        </w:rPr>
                        <m:t>i,t+h</m:t>
                      </m:r>
                    </m:sub>
                  </m:sSub>
                  <m:r>
                    <m:rPr>
                      <m:sty m:val="bi"/>
                    </m:rPr>
                    <w:rPr>
                      <w:rFonts w:ascii="Cambria Math" w:hAnsi="Cambria Math"/>
                      <w:sz w:val="20"/>
                    </w:rPr>
                    <m:t>≥</m:t>
                  </m:r>
                  <m:sSubSup>
                    <m:sSubSupPr>
                      <m:ctrlPr>
                        <w:rPr>
                          <w:rFonts w:ascii="Cambria Math" w:hAnsi="Cambria Math"/>
                          <w:b w:val="0"/>
                          <w:i/>
                          <w:sz w:val="20"/>
                        </w:rPr>
                      </m:ctrlPr>
                    </m:sSubSupPr>
                    <m:e>
                      <m:r>
                        <m:rPr>
                          <m:sty m:val="bi"/>
                        </m:rPr>
                        <w:rPr>
                          <w:rFonts w:ascii="Cambria Math" w:hAnsi="Cambria Math"/>
                          <w:sz w:val="20"/>
                        </w:rPr>
                        <m:t>y</m:t>
                      </m:r>
                      <m:ctrlPr>
                        <w:rPr>
                          <w:rFonts w:ascii="Cambria Math" w:hAnsi="Cambria Math"/>
                          <w:i/>
                          <w:sz w:val="20"/>
                        </w:rPr>
                      </m:ctrlPr>
                    </m:e>
                    <m:sub>
                      <m:r>
                        <m:rPr>
                          <m:sty m:val="bi"/>
                        </m:rPr>
                        <w:rPr>
                          <w:rFonts w:ascii="Cambria Math" w:hAnsi="Cambria Math"/>
                          <w:sz w:val="20"/>
                        </w:rPr>
                        <m:t>i,t+h</m:t>
                      </m:r>
                    </m:sub>
                    <m:sup>
                      <m:r>
                        <m:rPr>
                          <m:sty m:val="bi"/>
                        </m:rPr>
                        <w:rPr>
                          <w:rFonts w:ascii="Cambria Math" w:hAnsi="Cambria Math"/>
                          <w:sz w:val="20"/>
                        </w:rPr>
                        <m:t>*</m:t>
                      </m:r>
                    </m:sup>
                  </m:sSubSup>
                </m:sub>
              </m:sSub>
              <m:r>
                <m:rPr>
                  <m:sty m:val="bi"/>
                </m:rPr>
                <w:rPr>
                  <w:rFonts w:ascii="Cambria Math" w:hAnsi="Cambria Math"/>
                  <w:sz w:val="20"/>
                </w:rPr>
                <m:t>+</m:t>
              </m:r>
              <m:d>
                <m:dPr>
                  <m:ctrlPr>
                    <w:rPr>
                      <w:rFonts w:ascii="Cambria Math" w:hAnsi="Cambria Math"/>
                      <w:b w:val="0"/>
                      <w:i/>
                      <w:sz w:val="20"/>
                    </w:rPr>
                  </m:ctrlPr>
                </m:dPr>
                <m:e>
                  <m:r>
                    <m:rPr>
                      <m:sty m:val="bi"/>
                    </m:rPr>
                    <w:rPr>
                      <w:rFonts w:ascii="Cambria Math" w:hAnsi="Cambria Math"/>
                      <w:sz w:val="20"/>
                    </w:rPr>
                    <m:t>1-τ</m:t>
                  </m:r>
                </m:e>
              </m:d>
              <m:r>
                <m:rPr>
                  <m:sty m:val="bi"/>
                </m:rPr>
                <w:rPr>
                  <w:rFonts w:ascii="Cambria Math" w:hAnsi="Cambria Math"/>
                  <w:sz w:val="20"/>
                </w:rPr>
                <m:t>⋅</m:t>
              </m:r>
              <m:sSub>
                <m:sSubPr>
                  <m:ctrlPr>
                    <w:rPr>
                      <w:rFonts w:ascii="Cambria Math" w:hAnsi="Cambria Math"/>
                      <w:b w:val="0"/>
                      <w:i/>
                      <w:sz w:val="20"/>
                    </w:rPr>
                  </m:ctrlPr>
                </m:sSubPr>
                <m:e>
                  <m:r>
                    <m:rPr>
                      <m:sty m:val="bi"/>
                    </m:rPr>
                    <w:rPr>
                      <w:rFonts w:ascii="Cambria Math" w:hAnsi="Cambria Math"/>
                      <w:sz w:val="20"/>
                    </w:rPr>
                    <m:t>1</m:t>
                  </m:r>
                  <m:ctrlPr>
                    <w:rPr>
                      <w:rFonts w:ascii="Cambria Math" w:hAnsi="Cambria Math"/>
                      <w:i/>
                      <w:sz w:val="20"/>
                    </w:rPr>
                  </m:ctrlPr>
                </m:e>
                <m:sub>
                  <m:sSub>
                    <m:sSubPr>
                      <m:ctrlPr>
                        <w:rPr>
                          <w:rFonts w:ascii="Cambria Math" w:hAnsi="Cambria Math"/>
                          <w:b w:val="0"/>
                          <w:i/>
                          <w:sz w:val="20"/>
                        </w:rPr>
                      </m:ctrlPr>
                    </m:sSubPr>
                    <m:e>
                      <m:r>
                        <m:rPr>
                          <m:sty m:val="bi"/>
                        </m:rPr>
                        <w:rPr>
                          <w:rFonts w:ascii="Cambria Math" w:hAnsi="Cambria Math"/>
                          <w:sz w:val="20"/>
                        </w:rPr>
                        <m:t>y</m:t>
                      </m:r>
                    </m:e>
                    <m:sub>
                      <m:r>
                        <m:rPr>
                          <m:sty m:val="bi"/>
                        </m:rPr>
                        <w:rPr>
                          <w:rFonts w:ascii="Cambria Math" w:hAnsi="Cambria Math"/>
                          <w:sz w:val="20"/>
                        </w:rPr>
                        <m:t>i,t+h</m:t>
                      </m:r>
                    </m:sub>
                  </m:sSub>
                  <m:r>
                    <m:rPr>
                      <m:sty m:val="bi"/>
                    </m:rPr>
                    <w:rPr>
                      <w:rFonts w:ascii="Cambria Math" w:hAnsi="Cambria Math"/>
                      <w:sz w:val="20"/>
                    </w:rPr>
                    <m:t>≤</m:t>
                  </m:r>
                  <m:sSubSup>
                    <m:sSubSupPr>
                      <m:ctrlPr>
                        <w:rPr>
                          <w:rFonts w:ascii="Cambria Math" w:hAnsi="Cambria Math"/>
                          <w:b w:val="0"/>
                          <w:i/>
                          <w:sz w:val="20"/>
                        </w:rPr>
                      </m:ctrlPr>
                    </m:sSubSupPr>
                    <m:e>
                      <m:r>
                        <m:rPr>
                          <m:sty m:val="bi"/>
                        </m:rPr>
                        <w:rPr>
                          <w:rFonts w:ascii="Cambria Math" w:hAnsi="Cambria Math"/>
                          <w:sz w:val="20"/>
                        </w:rPr>
                        <m:t>y</m:t>
                      </m:r>
                      <m:ctrlPr>
                        <w:rPr>
                          <w:rFonts w:ascii="Cambria Math" w:hAnsi="Cambria Math"/>
                          <w:i/>
                          <w:sz w:val="20"/>
                        </w:rPr>
                      </m:ctrlPr>
                    </m:e>
                    <m:sub>
                      <m:r>
                        <m:rPr>
                          <m:sty m:val="bi"/>
                        </m:rPr>
                        <w:rPr>
                          <w:rFonts w:ascii="Cambria Math" w:hAnsi="Cambria Math"/>
                          <w:sz w:val="20"/>
                        </w:rPr>
                        <m:t>i,t+h</m:t>
                      </m:r>
                    </m:sub>
                    <m:sup>
                      <m:r>
                        <m:rPr>
                          <m:sty m:val="bi"/>
                        </m:rPr>
                        <w:rPr>
                          <w:rFonts w:ascii="Cambria Math" w:hAnsi="Cambria Math"/>
                          <w:sz w:val="20"/>
                        </w:rPr>
                        <m:t>*</m:t>
                      </m:r>
                    </m:sup>
                  </m:sSubSup>
                </m:sub>
              </m:sSub>
              <m:r>
                <m:rPr>
                  <m:sty m:val="bi"/>
                </m:rPr>
                <w:rPr>
                  <w:rFonts w:ascii="Cambria Math" w:hAnsi="Cambria Math"/>
                  <w:sz w:val="20"/>
                </w:rPr>
                <m:t>#</m:t>
              </m:r>
              <m:d>
                <m:dPr>
                  <m:ctrlPr>
                    <w:rPr>
                      <w:rFonts w:ascii="Cambria Math" w:hAnsi="Cambria Math"/>
                      <w:b w:val="0"/>
                      <w:i/>
                      <w:sz w:val="20"/>
                    </w:rPr>
                  </m:ctrlPr>
                </m:dPr>
                <m:e>
                  <m:r>
                    <w:rPr>
                      <w:rFonts w:ascii="Cambria Math" w:hAnsi="Cambria Math"/>
                      <w:b w:val="0"/>
                      <w:i/>
                      <w:sz w:val="20"/>
                    </w:rPr>
                    <w:fldChar w:fldCharType="begin"/>
                  </m:r>
                  <m:r>
                    <m:rPr>
                      <m:sty m:val="b"/>
                    </m:rPr>
                    <w:rPr>
                      <w:rFonts w:ascii="Cambria Math" w:hAnsi="Cambria Math"/>
                      <w:sz w:val="20"/>
                    </w:rPr>
                    <m:t xml:space="preserve"> SEQ Equation \* ARABIC </m:t>
                  </m:r>
                  <m:r>
                    <w:rPr>
                      <w:rFonts w:ascii="Cambria Math" w:hAnsi="Cambria Math"/>
                      <w:b w:val="0"/>
                      <w:i/>
                      <w:sz w:val="20"/>
                    </w:rPr>
                    <w:fldChar w:fldCharType="separate"/>
                  </m:r>
                  <m:r>
                    <m:rPr>
                      <m:sty m:val="b"/>
                    </m:rPr>
                    <w:rPr>
                      <w:rFonts w:ascii="Cambria Math" w:hAnsi="Cambria Math"/>
                      <w:noProof/>
                      <w:sz w:val="20"/>
                    </w:rPr>
                    <m:t>7</m:t>
                  </m:r>
                  <m:r>
                    <w:rPr>
                      <w:rFonts w:ascii="Cambria Math" w:hAnsi="Cambria Math"/>
                      <w:b w:val="0"/>
                      <w:i/>
                      <w:sz w:val="20"/>
                    </w:rPr>
                    <w:fldChar w:fldCharType="end"/>
                  </m:r>
                </m:e>
              </m:d>
            </m:e>
          </m:eqArr>
        </m:oMath>
      </m:oMathPara>
    </w:p>
    <w:p w14:paraId="353B3139" w14:textId="44657C8F" w:rsidR="00CA3503" w:rsidRPr="00D41CAA" w:rsidRDefault="002326A8" w:rsidP="00056173">
      <w:pPr>
        <w:ind w:firstLine="284"/>
      </w:pPr>
      <w:r w:rsidRPr="00AF7DC7">
        <w:t xml:space="preserve">where, </w:t>
      </w:r>
      <m:oMath>
        <m:sSubSup>
          <m:sSubSupPr>
            <m:ctrlPr>
              <w:rPr>
                <w:rFonts w:ascii="Cambria Math" w:hAnsi="Cambria Math"/>
                <w:i/>
              </w:rPr>
            </m:ctrlPr>
          </m:sSubSupPr>
          <m:e>
            <m:r>
              <w:rPr>
                <w:rFonts w:ascii="Cambria Math" w:hAnsi="Cambria Math"/>
              </w:rPr>
              <m:t>y</m:t>
            </m:r>
          </m:e>
          <m:sub>
            <m:r>
              <w:rPr>
                <w:rFonts w:ascii="Cambria Math" w:hAnsi="Cambria Math"/>
              </w:rPr>
              <m:t>it+h</m:t>
            </m:r>
          </m:sub>
          <m:sup>
            <m:r>
              <w:rPr>
                <w:rFonts w:ascii="Cambria Math" w:hAnsi="Cambria Math"/>
              </w:rPr>
              <m:t>*</m:t>
            </m:r>
          </m:sup>
        </m:sSubSup>
      </m:oMath>
      <w:r w:rsidRPr="00AF7DC7">
        <w:t xml:space="preserve"> is the quantile regression estimate, </w:t>
      </w:r>
      <m:oMath>
        <m:sSub>
          <m:sSubPr>
            <m:ctrlPr>
              <w:rPr>
                <w:rFonts w:ascii="Cambria Math" w:hAnsi="Cambria Math"/>
              </w:rPr>
            </m:ctrlPr>
          </m:sSubPr>
          <m:e>
            <m:r>
              <m:rPr>
                <m:sty m:val="bi"/>
              </m:rPr>
              <w:rPr>
                <w:rFonts w:ascii="Cambria Math" w:hAnsi="Cambria Math"/>
              </w:rPr>
              <m:t>X</m:t>
            </m:r>
          </m:e>
          <m:sub>
            <m:r>
              <m:rPr>
                <m:sty m:val="bi"/>
              </m:rPr>
              <w:rPr>
                <w:rFonts w:ascii="Cambria Math" w:hAnsi="Cambria Math"/>
              </w:rPr>
              <m:t>i,t</m:t>
            </m:r>
          </m:sub>
        </m:sSub>
      </m:oMath>
      <w:r w:rsidRPr="00AF7DC7">
        <w:t xml:space="preserve"> </w:t>
      </w:r>
      <w:r w:rsidR="000C4EE6" w:rsidRPr="00AF7DC7">
        <w:t xml:space="preserve">is a vector of exogenous variables, </w:t>
      </w:r>
      <m:oMath>
        <m:sSub>
          <m:sSubPr>
            <m:ctrlPr>
              <w:rPr>
                <w:rFonts w:ascii="Cambria Math" w:hAnsi="Cambria Math"/>
              </w:rPr>
            </m:ctrlPr>
          </m:sSubPr>
          <m:e>
            <m:r>
              <m:rPr>
                <m:sty m:val="bi"/>
              </m:rPr>
              <w:rPr>
                <w:rFonts w:ascii="Cambria Math" w:hAnsi="Cambria Math"/>
              </w:rPr>
              <m:t>α</m:t>
            </m:r>
          </m:e>
          <m:sub>
            <m:r>
              <m:rPr>
                <m:sty m:val="bi"/>
              </m:rPr>
              <w:rPr>
                <w:rFonts w:ascii="Cambria Math" w:hAnsi="Cambria Math"/>
              </w:rPr>
              <m:t>i,τ</m:t>
            </m:r>
          </m:sub>
        </m:sSub>
      </m:oMath>
      <w:r w:rsidR="000C4EE6" w:rsidRPr="00AF7DC7">
        <w:t xml:space="preserve"> is a vector of fixed effects, </w:t>
      </w:r>
      <m:oMath>
        <m:sSub>
          <m:sSubPr>
            <m:ctrlPr>
              <w:rPr>
                <w:rFonts w:ascii="Cambria Math" w:hAnsi="Cambria Math"/>
              </w:rPr>
            </m:ctrlPr>
          </m:sSubPr>
          <m:e>
            <m:r>
              <m:rPr>
                <m:sty m:val="bi"/>
              </m:rPr>
              <w:rPr>
                <w:rFonts w:ascii="Cambria Math" w:hAnsi="Cambria Math"/>
              </w:rPr>
              <m:t>ρ</m:t>
            </m:r>
          </m:e>
          <m:sub>
            <m:r>
              <m:rPr>
                <m:sty m:val="bi"/>
              </m:rPr>
              <w:rPr>
                <w:rFonts w:ascii="Cambria Math" w:hAnsi="Cambria Math"/>
              </w:rPr>
              <m:t>τ</m:t>
            </m:r>
          </m:sub>
        </m:sSub>
      </m:oMath>
      <w:r w:rsidR="000C4EE6" w:rsidRPr="00AF7DC7">
        <w:t xml:space="preserve"> are the quantile-based weights</w:t>
      </w:r>
      <w:r w:rsidR="003E43AB" w:rsidRPr="00AF7DC7">
        <w:t xml:space="preserve">, </w:t>
      </w:r>
      <m:oMath>
        <m:r>
          <m:rPr>
            <m:sty m:val="bi"/>
          </m:rPr>
          <w:rPr>
            <w:rFonts w:ascii="Cambria Math" w:hAnsi="Cambria Math"/>
          </w:rPr>
          <m:t>τ∈</m:t>
        </m:r>
        <m:r>
          <m:rPr>
            <m:sty m:val="b"/>
          </m:rPr>
          <w:rPr>
            <w:rFonts w:ascii="Cambria Math" w:hAnsi="Cambria Math"/>
          </w:rPr>
          <m:t>Γ</m:t>
        </m:r>
      </m:oMath>
      <w:r w:rsidR="000C4EE6" w:rsidRPr="00AF7DC7">
        <w:t xml:space="preserve"> is the quantile</w:t>
      </w:r>
      <w:r w:rsidR="00C8552E" w:rsidRPr="00AF7DC7">
        <w:t>,</w:t>
      </w:r>
      <w:r w:rsidR="003E43AB">
        <w:t xml:space="preserve"> </w:t>
      </w:r>
      <w:r w:rsidR="00C8552E">
        <w:t>while</w:t>
      </w:r>
      <w:r w:rsidR="003E43AB">
        <w:t xml:space="preserve"> </w:t>
      </w:r>
      <m:oMath>
        <m:r>
          <m:rPr>
            <m:sty m:val="bi"/>
          </m:rPr>
          <w:rPr>
            <w:rFonts w:ascii="Cambria Math" w:hAnsi="Cambria Math"/>
          </w:rPr>
          <m:t>T</m:t>
        </m:r>
      </m:oMath>
      <w:r w:rsidR="00C8552E" w:rsidRPr="00C8552E">
        <w:t xml:space="preserve"> and </w:t>
      </w:r>
      <m:oMath>
        <m:r>
          <m:rPr>
            <m:sty m:val="bi"/>
          </m:rPr>
          <w:rPr>
            <w:rFonts w:ascii="Cambria Math" w:hAnsi="Cambria Math"/>
          </w:rPr>
          <m:t>n</m:t>
        </m:r>
      </m:oMath>
      <w:r w:rsidR="00C8552E" w:rsidRPr="00C8552E">
        <w:t xml:space="preserve"> are the time dimension and </w:t>
      </w:r>
      <w:r w:rsidR="00C8552E">
        <w:t>the cross-section dimension respectively</w:t>
      </w:r>
      <w:r w:rsidR="000C4EE6">
        <w:t xml:space="preserve">. </w:t>
      </w:r>
      <w:r w:rsidR="004B2FFF">
        <w:t xml:space="preserve">In our case </w:t>
      </w:r>
      <m:oMath>
        <m:r>
          <m:rPr>
            <m:sty m:val="bi"/>
          </m:rPr>
          <w:rPr>
            <w:rFonts w:ascii="Cambria Math" w:hAnsi="Cambria Math"/>
          </w:rPr>
          <m:t>T</m:t>
        </m:r>
        <m:r>
          <m:rPr>
            <m:sty m:val="p"/>
          </m:rPr>
          <w:rPr>
            <w:rFonts w:ascii="Cambria Math" w:hAnsi="Cambria Math"/>
          </w:rPr>
          <m:t>=120</m:t>
        </m:r>
      </m:oMath>
      <w:r w:rsidR="004B2FFF" w:rsidRPr="00C8552E">
        <w:t xml:space="preserve"> </w:t>
      </w:r>
      <w:r w:rsidR="004B2FFF">
        <w:t xml:space="preserve">and </w:t>
      </w:r>
      <m:oMath>
        <m:r>
          <m:rPr>
            <m:sty m:val="bi"/>
          </m:rPr>
          <w:rPr>
            <w:rFonts w:ascii="Cambria Math" w:hAnsi="Cambria Math"/>
          </w:rPr>
          <m:t>n</m:t>
        </m:r>
        <m:r>
          <m:rPr>
            <m:sty m:val="p"/>
          </m:rPr>
          <w:rPr>
            <w:rFonts w:ascii="Cambria Math" w:hAnsi="Cambria Math"/>
          </w:rPr>
          <m:t>=41</m:t>
        </m:r>
      </m:oMath>
      <w:r w:rsidR="004B2FFF">
        <w:t xml:space="preserve">. </w:t>
      </w:r>
      <w:r w:rsidR="000C4EE6">
        <w:t>An important note is that the model use</w:t>
      </w:r>
      <w:r w:rsidR="00601246">
        <w:t>s</w:t>
      </w:r>
      <w:r w:rsidR="000C4EE6">
        <w:t xml:space="preserve"> l</w:t>
      </w:r>
      <w:r w:rsidR="000C4EE6" w:rsidRPr="000C4EE6">
        <w:t xml:space="preserve">east </w:t>
      </w:r>
      <w:r w:rsidR="000C4EE6">
        <w:t>a</w:t>
      </w:r>
      <w:r w:rsidR="000C4EE6" w:rsidRPr="000C4EE6">
        <w:t xml:space="preserve">bsolute </w:t>
      </w:r>
      <w:r w:rsidR="000C4EE6">
        <w:t>d</w:t>
      </w:r>
      <w:r w:rsidR="000C4EE6" w:rsidRPr="000C4EE6">
        <w:t xml:space="preserve">eviation </w:t>
      </w:r>
      <w:r w:rsidR="000C4EE6">
        <w:t xml:space="preserve">(LAD) as its </w:t>
      </w:r>
      <w:r w:rsidR="000C4EE6" w:rsidRPr="000C4EE6">
        <w:t>optimality criterion</w:t>
      </w:r>
      <w:r w:rsidR="000C4EE6">
        <w:t>.</w:t>
      </w:r>
    </w:p>
    <w:p w14:paraId="1C392871" w14:textId="43BFB2A3" w:rsidR="00646075" w:rsidRDefault="00CA1878" w:rsidP="00646075">
      <w:pPr>
        <w:pStyle w:val="SectionHeading"/>
        <w:numPr>
          <w:ilvl w:val="1"/>
          <w:numId w:val="9"/>
        </w:numPr>
      </w:pPr>
      <w:r>
        <w:t>Quantile regression for Armenia (local model)</w:t>
      </w:r>
    </w:p>
    <w:p w14:paraId="04202A81" w14:textId="1B9AD14C" w:rsidR="00CA1878" w:rsidRPr="00BB2078" w:rsidRDefault="00CA1878" w:rsidP="009916CE">
      <w:r w:rsidRPr="00BB2078">
        <w:t>The baseline quantile regression model for the Armenian econom</w:t>
      </w:r>
      <w:r w:rsidR="00483B22" w:rsidRPr="00BB2078">
        <w:t>y</w:t>
      </w:r>
      <w:r w:rsidRPr="00BB2078">
        <w:t xml:space="preserve"> takes the form:</w:t>
      </w:r>
    </w:p>
    <w:p w14:paraId="610B5786" w14:textId="73E5903C" w:rsidR="00CA1878" w:rsidRPr="00BB2078" w:rsidRDefault="00000000" w:rsidP="00322E3B">
      <w:pPr>
        <w:pStyle w:val="Caption"/>
        <w:rPr>
          <w:sz w:val="20"/>
        </w:rPr>
      </w:pPr>
      <m:oMathPara>
        <m:oMath>
          <m:sSub>
            <m:sSubPr>
              <m:ctrlPr>
                <w:rPr>
                  <w:rFonts w:ascii="Cambria Math" w:hAnsi="Cambria Math"/>
                  <w:i/>
                  <w:sz w:val="20"/>
                </w:rPr>
              </m:ctrlPr>
            </m:sSubPr>
            <m:e>
              <m:r>
                <m:rPr>
                  <m:sty m:val="bi"/>
                </m:rPr>
                <w:rPr>
                  <w:rFonts w:ascii="Cambria Math" w:hAnsi="Cambria Math"/>
                  <w:sz w:val="20"/>
                </w:rPr>
                <m:t>y</m:t>
              </m:r>
            </m:e>
            <m:sub>
              <m:r>
                <m:rPr>
                  <m:sty m:val="bi"/>
                </m:rPr>
                <w:rPr>
                  <w:rFonts w:ascii="Cambria Math" w:hAnsi="Cambria Math"/>
                  <w:sz w:val="20"/>
                </w:rPr>
                <m:t>t+h</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α</m:t>
              </m:r>
            </m:e>
            <m:sub>
              <m:r>
                <m:rPr>
                  <m:sty m:val="bi"/>
                </m:rPr>
                <w:rPr>
                  <w:rFonts w:ascii="Cambria Math" w:hAnsi="Cambria Math"/>
                  <w:sz w:val="20"/>
                </w:rPr>
                <m:t>τ</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1,τ</m:t>
              </m:r>
            </m:sub>
          </m:sSub>
          <m:sSub>
            <m:sSubPr>
              <m:ctrlPr>
                <w:rPr>
                  <w:rFonts w:ascii="Cambria Math" w:hAnsi="Cambria Math"/>
                  <w:i/>
                  <w:sz w:val="20"/>
                </w:rPr>
              </m:ctrlPr>
            </m:sSubPr>
            <m:e>
              <m:r>
                <m:rPr>
                  <m:sty m:val="bi"/>
                </m:rPr>
                <w:rPr>
                  <w:rFonts w:ascii="Cambria Math" w:hAnsi="Cambria Math"/>
                  <w:sz w:val="20"/>
                </w:rPr>
                <m:t>y</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2,τ</m:t>
              </m:r>
            </m:sub>
          </m:sSub>
          <m:sSub>
            <m:sSubPr>
              <m:ctrlPr>
                <w:rPr>
                  <w:rFonts w:ascii="Cambria Math" w:hAnsi="Cambria Math"/>
                  <w:i/>
                  <w:sz w:val="20"/>
                </w:rPr>
              </m:ctrlPr>
            </m:sSubPr>
            <m:e>
              <m:r>
                <m:rPr>
                  <m:sty m:val="bi"/>
                </m:rPr>
                <w:rPr>
                  <w:rFonts w:ascii="Cambria Math" w:hAnsi="Cambria Math"/>
                  <w:sz w:val="20"/>
                </w:rPr>
                <m:t>FCyI</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3,τ</m:t>
              </m:r>
            </m:sub>
          </m:sSub>
          <m:sSub>
            <m:sSubPr>
              <m:ctrlPr>
                <w:rPr>
                  <w:rFonts w:ascii="Cambria Math" w:hAnsi="Cambria Math"/>
                  <w:i/>
                  <w:sz w:val="20"/>
                </w:rPr>
              </m:ctrlPr>
            </m:sSubPr>
            <m:e>
              <m:r>
                <m:rPr>
                  <m:sty m:val="bi"/>
                </m:rPr>
                <w:rPr>
                  <w:rFonts w:ascii="Cambria Math" w:hAnsi="Cambria Math"/>
                  <w:sz w:val="20"/>
                </w:rPr>
                <m:t>FCI</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4,τ</m:t>
              </m:r>
            </m:sub>
          </m:sSub>
          <m:sSub>
            <m:sSubPr>
              <m:ctrlPr>
                <w:rPr>
                  <w:rFonts w:ascii="Cambria Math" w:hAnsi="Cambria Math"/>
                  <w:i/>
                  <w:sz w:val="20"/>
                </w:rPr>
              </m:ctrlPr>
            </m:sSubPr>
            <m:e>
              <m:r>
                <m:rPr>
                  <m:sty m:val="bi"/>
                </m:rPr>
                <w:rPr>
                  <w:rFonts w:ascii="Cambria Math" w:hAnsi="Cambria Math"/>
                  <w:sz w:val="20"/>
                </w:rPr>
                <m:t>CI</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5,τ</m:t>
              </m:r>
            </m:sub>
          </m:sSub>
          <m:sSub>
            <m:sSubPr>
              <m:ctrlPr>
                <w:rPr>
                  <w:rFonts w:ascii="Cambria Math" w:hAnsi="Cambria Math"/>
                  <w:i/>
                  <w:sz w:val="20"/>
                </w:rPr>
              </m:ctrlPr>
            </m:sSubPr>
            <m:e>
              <m:r>
                <m:rPr>
                  <m:sty m:val="bi"/>
                </m:rPr>
                <w:rPr>
                  <w:rFonts w:ascii="Cambria Math" w:hAnsi="Cambria Math"/>
                  <w:sz w:val="20"/>
                </w:rPr>
                <m:t>MPI</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6,τ</m:t>
              </m:r>
            </m:sub>
          </m:sSub>
          <m:sSub>
            <m:sSubPr>
              <m:ctrlPr>
                <w:rPr>
                  <w:rFonts w:ascii="Cambria Math" w:hAnsi="Cambria Math"/>
                  <w:i/>
                  <w:sz w:val="20"/>
                </w:rPr>
              </m:ctrlPr>
            </m:sSubPr>
            <m:e>
              <m:r>
                <m:rPr>
                  <m:sty m:val="bi"/>
                </m:rPr>
                <w:rPr>
                  <w:rFonts w:ascii="Cambria Math" w:hAnsi="Cambria Math"/>
                  <w:sz w:val="20"/>
                </w:rPr>
                <m:t>CAR</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7,τ</m:t>
              </m:r>
            </m:sub>
          </m:sSub>
          <m:sSub>
            <m:sSubPr>
              <m:ctrlPr>
                <w:rPr>
                  <w:rFonts w:ascii="Cambria Math" w:hAnsi="Cambria Math"/>
                  <w:i/>
                  <w:sz w:val="20"/>
                </w:rPr>
              </m:ctrlPr>
            </m:sSubPr>
            <m:e>
              <m:r>
                <m:rPr>
                  <m:sty m:val="bi"/>
                </m:rPr>
                <w:rPr>
                  <w:rFonts w:ascii="Cambria Math" w:hAnsi="Cambria Math"/>
                  <w:sz w:val="20"/>
                </w:rPr>
                <m:t>LR</m:t>
              </m:r>
            </m:e>
            <m:sub>
              <m:r>
                <m:rPr>
                  <m:sty m:val="bi"/>
                </m:rPr>
                <w:rPr>
                  <w:rFonts w:ascii="Cambria Math" w:hAnsi="Cambria Math"/>
                  <w:sz w:val="20"/>
                </w:rPr>
                <m:t>t</m:t>
              </m:r>
            </m:sub>
          </m:sSub>
          <m:r>
            <m:rPr>
              <m:sty m:val="bi"/>
            </m:rPr>
            <w:rPr>
              <w:rFonts w:ascii="Cambria Math" w:hAnsi="Cambria Math"/>
              <w:sz w:val="20"/>
            </w:rPr>
            <m:t>+</m:t>
          </m:r>
          <m:r>
            <m:rPr>
              <m:sty m:val="b"/>
            </m:rPr>
            <w:rPr>
              <w:rFonts w:ascii="Cambria Math" w:hAnsi="Cambria Math"/>
              <w:sz w:val="20"/>
            </w:rPr>
            <w:br/>
          </m:r>
        </m:oMath>
        <m:oMath>
          <m:eqArr>
            <m:eqArrPr>
              <m:maxDist m:val="1"/>
              <m:ctrlPr>
                <w:rPr>
                  <w:rFonts w:ascii="Cambria Math" w:hAnsi="Cambria Math"/>
                  <w:i/>
                  <w:sz w:val="20"/>
                </w:rPr>
              </m:ctrlPr>
            </m:eqArrPr>
            <m:e>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8,τ</m:t>
                  </m:r>
                </m:sub>
              </m:sSub>
              <m:sSub>
                <m:sSubPr>
                  <m:ctrlPr>
                    <w:rPr>
                      <w:rFonts w:ascii="Cambria Math" w:hAnsi="Cambria Math"/>
                      <w:i/>
                      <w:sz w:val="20"/>
                    </w:rPr>
                  </m:ctrlPr>
                </m:sSubPr>
                <m:e>
                  <m:r>
                    <m:rPr>
                      <m:sty m:val="bi"/>
                    </m:rPr>
                    <w:rPr>
                      <w:rFonts w:ascii="Cambria Math" w:hAnsi="Cambria Math"/>
                      <w:sz w:val="20"/>
                    </w:rPr>
                    <m:t>MI</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9,τ</m:t>
                  </m:r>
                </m:sub>
              </m:sSub>
              <m:sSub>
                <m:sSubPr>
                  <m:ctrlPr>
                    <w:rPr>
                      <w:rFonts w:ascii="Cambria Math" w:hAnsi="Cambria Math"/>
                      <w:i/>
                      <w:sz w:val="20"/>
                    </w:rPr>
                  </m:ctrlPr>
                </m:sSubPr>
                <m:e>
                  <m:r>
                    <m:rPr>
                      <m:sty m:val="bi"/>
                    </m:rPr>
                    <w:rPr>
                      <w:rFonts w:ascii="Cambria Math" w:hAnsi="Cambria Math"/>
                      <w:sz w:val="20"/>
                    </w:rPr>
                    <m:t>CyBPA</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β</m:t>
                  </m:r>
                </m:e>
                <m:sub>
                  <m:r>
                    <m:rPr>
                      <m:sty m:val="bi"/>
                    </m:rPr>
                    <w:rPr>
                      <w:rFonts w:ascii="Cambria Math" w:hAnsi="Cambria Math"/>
                      <w:sz w:val="20"/>
                    </w:rPr>
                    <m:t>10,τ</m:t>
                  </m:r>
                </m:sub>
              </m:sSub>
              <m:sSub>
                <m:sSubPr>
                  <m:ctrlPr>
                    <w:rPr>
                      <w:rFonts w:ascii="Cambria Math" w:hAnsi="Cambria Math"/>
                      <w:i/>
                      <w:sz w:val="20"/>
                    </w:rPr>
                  </m:ctrlPr>
                </m:sSubPr>
                <m:e>
                  <m:r>
                    <m:rPr>
                      <m:sty m:val="bi"/>
                    </m:rPr>
                    <w:rPr>
                      <w:rFonts w:ascii="Cambria Math" w:hAnsi="Cambria Math"/>
                      <w:sz w:val="20"/>
                    </w:rPr>
                    <m:t>CBPA</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sz w:val="20"/>
                    </w:rPr>
                  </m:ctrlPr>
                </m:sSubPr>
                <m:e>
                  <m:r>
                    <m:rPr>
                      <m:sty m:val="bi"/>
                    </m:rPr>
                    <w:rPr>
                      <w:rFonts w:ascii="Cambria Math" w:hAnsi="Cambria Math"/>
                      <w:sz w:val="20"/>
                    </w:rPr>
                    <m:t>ϵ</m:t>
                  </m:r>
                </m:e>
                <m:sub>
                  <m:r>
                    <m:rPr>
                      <m:sty m:val="bi"/>
                    </m:rPr>
                    <w:rPr>
                      <w:rFonts w:ascii="Cambria Math" w:hAnsi="Cambria Math"/>
                      <w:sz w:val="20"/>
                    </w:rPr>
                    <m:t>t,τ</m:t>
                  </m:r>
                </m:sub>
              </m:sSub>
              <m:r>
                <m:rPr>
                  <m:sty m:val="bi"/>
                </m:rPr>
                <w:rPr>
                  <w:rFonts w:ascii="Cambria Math" w:hAnsi="Cambria Math"/>
                  <w:sz w:val="20"/>
                </w:rPr>
                <m:t>#</m:t>
              </m:r>
              <m:d>
                <m:dPr>
                  <m:ctrlPr>
                    <w:rPr>
                      <w:rFonts w:ascii="Cambria Math" w:hAnsi="Cambria Math"/>
                      <w:i/>
                      <w:sz w:val="20"/>
                    </w:rPr>
                  </m:ctrlPr>
                </m:dPr>
                <m:e>
                  <m:r>
                    <m:rPr>
                      <m:sty m:val="bi"/>
                    </m:rPr>
                    <w:rPr>
                      <w:rFonts w:ascii="Cambria Math" w:hAnsi="Cambria Math"/>
                      <w:i/>
                      <w:sz w:val="20"/>
                    </w:rPr>
                    <w:fldChar w:fldCharType="begin"/>
                  </m:r>
                  <m:r>
                    <m:rPr>
                      <m:sty m:val="b"/>
                    </m:rPr>
                    <w:rPr>
                      <w:rFonts w:ascii="Cambria Math" w:hAnsi="Cambria Math"/>
                      <w:sz w:val="20"/>
                    </w:rPr>
                    <m:t xml:space="preserve"> SEQ Equation \* ARABIC </m:t>
                  </m:r>
                  <m:r>
                    <m:rPr>
                      <m:sty m:val="bi"/>
                    </m:rPr>
                    <w:rPr>
                      <w:rFonts w:ascii="Cambria Math" w:hAnsi="Cambria Math"/>
                      <w:i/>
                      <w:sz w:val="20"/>
                    </w:rPr>
                    <w:fldChar w:fldCharType="separate"/>
                  </m:r>
                  <m:r>
                    <m:rPr>
                      <m:sty m:val="b"/>
                    </m:rPr>
                    <w:rPr>
                      <w:rFonts w:ascii="Cambria Math" w:hAnsi="Cambria Math"/>
                      <w:noProof/>
                      <w:sz w:val="20"/>
                    </w:rPr>
                    <m:t>8</m:t>
                  </m:r>
                  <m:r>
                    <m:rPr>
                      <m:sty m:val="bi"/>
                    </m:rPr>
                    <w:rPr>
                      <w:rFonts w:ascii="Cambria Math" w:hAnsi="Cambria Math"/>
                      <w:i/>
                      <w:sz w:val="20"/>
                    </w:rPr>
                    <w:fldChar w:fldCharType="end"/>
                  </m:r>
                </m:e>
              </m:d>
            </m:e>
          </m:eqArr>
        </m:oMath>
      </m:oMathPara>
    </w:p>
    <w:p w14:paraId="0B29A685" w14:textId="79C3CC1C" w:rsidR="00CA1878" w:rsidRDefault="00CA1878" w:rsidP="00AA4EFA">
      <w:pPr>
        <w:ind w:firstLine="284"/>
      </w:pPr>
      <w:r>
        <w:t xml:space="preserve">In this </w:t>
      </w:r>
      <w:r w:rsidRPr="00CE4019">
        <w:t>specification</w:t>
      </w:r>
      <w:r>
        <w:t xml:space="preserve"> </w:t>
      </w:r>
      <m:oMath>
        <m:sSub>
          <m:sSubPr>
            <m:ctrlPr>
              <w:rPr>
                <w:rFonts w:ascii="Cambria Math" w:hAnsi="Cambria Math"/>
                <w:i/>
              </w:rPr>
            </m:ctrlPr>
          </m:sSubPr>
          <m:e>
            <m:r>
              <w:rPr>
                <w:rFonts w:ascii="Cambria Math" w:hAnsi="Cambria Math"/>
              </w:rPr>
              <m:t>y</m:t>
            </m:r>
          </m:e>
          <m:sub>
            <m:r>
              <w:rPr>
                <w:rFonts w:ascii="Cambria Math" w:hAnsi="Cambria Math"/>
              </w:rPr>
              <m:t>t+h</m:t>
            </m:r>
          </m:sub>
        </m:sSub>
      </m:oMath>
      <w:r>
        <w:t xml:space="preserve"> is the annualized average growth rate of real GDP at </w:t>
      </w:r>
      <m:oMath>
        <m:r>
          <w:rPr>
            <w:rFonts w:ascii="Cambria Math" w:hAnsi="Cambria Math"/>
          </w:rPr>
          <m:t>t+h</m:t>
        </m:r>
      </m:oMath>
      <w:r>
        <w:t xml:space="preserve"> quarters ahead. The </w:t>
      </w:r>
      <m:oMath>
        <m:sSub>
          <m:sSubPr>
            <m:ctrlPr>
              <w:rPr>
                <w:rFonts w:ascii="Cambria Math" w:hAnsi="Cambria Math"/>
                <w:i/>
              </w:rPr>
            </m:ctrlPr>
          </m:sSubPr>
          <m:e>
            <m:r>
              <w:rPr>
                <w:rFonts w:ascii="Cambria Math" w:hAnsi="Cambria Math"/>
              </w:rPr>
              <m:t>α</m:t>
            </m:r>
          </m:e>
          <m:sub>
            <m:r>
              <w:rPr>
                <w:rFonts w:ascii="Cambria Math" w:hAnsi="Cambria Math"/>
              </w:rPr>
              <m:t>τ</m:t>
            </m:r>
          </m:sub>
        </m:sSub>
      </m:oMath>
      <w:r>
        <w:t xml:space="preserve"> is an intercept,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t xml:space="preserve"> is the </w:t>
      </w:r>
      <w:r w:rsidRPr="007C0416">
        <w:t>autoregressive component</w:t>
      </w:r>
      <w:r>
        <w:t xml:space="preserve">, </w:t>
      </w:r>
      <m:oMath>
        <m:sSub>
          <m:sSubPr>
            <m:ctrlPr>
              <w:rPr>
                <w:rFonts w:ascii="Cambria Math" w:hAnsi="Cambria Math"/>
                <w:i/>
              </w:rPr>
            </m:ctrlPr>
          </m:sSubPr>
          <m:e>
            <m:r>
              <w:rPr>
                <w:rFonts w:ascii="Cambria Math" w:hAnsi="Cambria Math"/>
              </w:rPr>
              <m:t>FCyI</m:t>
            </m:r>
          </m:e>
          <m:sub>
            <m:r>
              <w:rPr>
                <w:rFonts w:ascii="Cambria Math" w:hAnsi="Cambria Math"/>
              </w:rPr>
              <m:t>t</m:t>
            </m:r>
          </m:sub>
        </m:sSub>
      </m:oMath>
      <w:r>
        <w:t xml:space="preserve"> is the </w:t>
      </w:r>
      <w:r w:rsidRPr="009D0768">
        <w:t>financial cycle index</w:t>
      </w:r>
      <w:r>
        <w:t xml:space="preserve">, </w:t>
      </w:r>
      <m:oMath>
        <m:sSub>
          <m:sSubPr>
            <m:ctrlPr>
              <w:rPr>
                <w:rFonts w:ascii="Cambria Math" w:hAnsi="Cambria Math"/>
                <w:i/>
              </w:rPr>
            </m:ctrlPr>
          </m:sSubPr>
          <m:e>
            <m:r>
              <w:rPr>
                <w:rFonts w:ascii="Cambria Math" w:hAnsi="Cambria Math"/>
              </w:rPr>
              <m:t>FCI</m:t>
            </m:r>
          </m:e>
          <m:sub>
            <m:r>
              <w:rPr>
                <w:rFonts w:ascii="Cambria Math" w:hAnsi="Cambria Math"/>
              </w:rPr>
              <m:t>t</m:t>
            </m:r>
          </m:sub>
        </m:sSub>
      </m:oMath>
      <w:r>
        <w:t xml:space="preserve"> is the </w:t>
      </w:r>
      <w:r w:rsidRPr="009D0768">
        <w:t>financial</w:t>
      </w:r>
      <w:r>
        <w:t xml:space="preserve"> conditions index and </w:t>
      </w:r>
      <m:oMath>
        <m:sSub>
          <m:sSubPr>
            <m:ctrlPr>
              <w:rPr>
                <w:rFonts w:ascii="Cambria Math" w:hAnsi="Cambria Math"/>
                <w:i/>
              </w:rPr>
            </m:ctrlPr>
          </m:sSubPr>
          <m:e>
            <m:r>
              <w:rPr>
                <w:rFonts w:ascii="Cambria Math" w:hAnsi="Cambria Math"/>
              </w:rPr>
              <m:t>CI</m:t>
            </m:r>
          </m:e>
          <m:sub>
            <m:r>
              <w:rPr>
                <w:rFonts w:ascii="Cambria Math" w:hAnsi="Cambria Math"/>
              </w:rPr>
              <m:t>t</m:t>
            </m:r>
          </m:sub>
        </m:sSub>
        <m:r>
          <w:rPr>
            <w:rFonts w:ascii="Cambria Math" w:hAnsi="Cambria Math"/>
          </w:rPr>
          <m:t>=St</m:t>
        </m:r>
        <m:d>
          <m:dPr>
            <m:ctrlPr>
              <w:rPr>
                <w:rFonts w:ascii="Cambria Math" w:hAnsi="Cambria Math"/>
                <w:i/>
              </w:rPr>
            </m:ctrlPr>
          </m:dPr>
          <m:e>
            <m:sSub>
              <m:sSubPr>
                <m:ctrlPr>
                  <w:rPr>
                    <w:rFonts w:ascii="Cambria Math" w:hAnsi="Cambria Math"/>
                    <w:i/>
                  </w:rPr>
                </m:ctrlPr>
              </m:sSubPr>
              <m:e>
                <m:r>
                  <w:rPr>
                    <w:rFonts w:ascii="Cambria Math" w:hAnsi="Cambria Math"/>
                  </w:rPr>
                  <m:t>FCyI</m:t>
                </m:r>
              </m:e>
              <m:sub>
                <m:r>
                  <w:rPr>
                    <w:rFonts w:ascii="Cambria Math" w:hAnsi="Cambria Math"/>
                  </w:rPr>
                  <m:t>t</m:t>
                </m:r>
              </m:sub>
            </m:sSub>
          </m:e>
        </m:d>
        <m:r>
          <w:rPr>
            <w:rFonts w:ascii="Cambria Math" w:hAnsi="Cambria Math"/>
          </w:rPr>
          <m:t>*St(</m:t>
        </m:r>
        <m:sSub>
          <m:sSubPr>
            <m:ctrlPr>
              <w:rPr>
                <w:rFonts w:ascii="Cambria Math" w:hAnsi="Cambria Math"/>
                <w:i/>
              </w:rPr>
            </m:ctrlPr>
          </m:sSubPr>
          <m:e>
            <m:r>
              <w:rPr>
                <w:rFonts w:ascii="Cambria Math" w:hAnsi="Cambria Math"/>
              </w:rPr>
              <m:t>FCI</m:t>
            </m:r>
          </m:e>
          <m:sub>
            <m:r>
              <w:rPr>
                <w:rFonts w:ascii="Cambria Math" w:hAnsi="Cambria Math"/>
              </w:rPr>
              <m:t>t</m:t>
            </m:r>
          </m:sub>
        </m:sSub>
        <m:r>
          <w:rPr>
            <w:rFonts w:ascii="Cambria Math" w:hAnsi="Cambria Math"/>
          </w:rPr>
          <m:t>)</m:t>
        </m:r>
      </m:oMath>
      <w:r>
        <w:t xml:space="preserve"> is the “</w:t>
      </w:r>
      <w:r w:rsidRPr="003A12EA">
        <w:t>crisis index</w:t>
      </w:r>
      <w:r>
        <w:t xml:space="preserve">,” which is the product between the </w:t>
      </w:r>
      <w:r w:rsidRPr="003A12EA">
        <w:t>standardized</w:t>
      </w:r>
      <w:r>
        <w:t xml:space="preserve"> (</w:t>
      </w:r>
      <m:oMath>
        <m:r>
          <w:rPr>
            <w:rFonts w:ascii="Cambria Math" w:hAnsi="Cambria Math"/>
          </w:rPr>
          <m:t>N(0,1)</m:t>
        </m:r>
      </m:oMath>
      <w:r>
        <w:t xml:space="preserve">) </w:t>
      </w:r>
      <m:oMath>
        <m:sSub>
          <m:sSubPr>
            <m:ctrlPr>
              <w:rPr>
                <w:rFonts w:ascii="Cambria Math" w:hAnsi="Cambria Math"/>
                <w:i/>
              </w:rPr>
            </m:ctrlPr>
          </m:sSubPr>
          <m:e>
            <m:r>
              <w:rPr>
                <w:rFonts w:ascii="Cambria Math" w:hAnsi="Cambria Math"/>
              </w:rPr>
              <m:t>FCyI</m:t>
            </m:r>
          </m:e>
          <m:sub>
            <m:r>
              <w:rPr>
                <w:rFonts w:ascii="Cambria Math" w:hAnsi="Cambria Math"/>
              </w:rPr>
              <m:t>t</m:t>
            </m:r>
          </m:sub>
        </m:sSub>
      </m:oMath>
      <w:r>
        <w:t xml:space="preserve"> and </w:t>
      </w:r>
      <m:oMath>
        <m:sSub>
          <m:sSubPr>
            <m:ctrlPr>
              <w:rPr>
                <w:rFonts w:ascii="Cambria Math" w:hAnsi="Cambria Math"/>
                <w:i/>
              </w:rPr>
            </m:ctrlPr>
          </m:sSubPr>
          <m:e>
            <m:r>
              <w:rPr>
                <w:rFonts w:ascii="Cambria Math" w:hAnsi="Cambria Math"/>
              </w:rPr>
              <m:t>FCI</m:t>
            </m:r>
          </m:e>
          <m:sub>
            <m:r>
              <w:rPr>
                <w:rFonts w:ascii="Cambria Math" w:hAnsi="Cambria Math"/>
              </w:rPr>
              <m:t>t</m:t>
            </m:r>
          </m:sub>
        </m:sSub>
      </m:oMath>
      <w:r>
        <w:t>.</w:t>
      </w:r>
    </w:p>
    <w:p w14:paraId="57E5F2F0" w14:textId="1D5C2342" w:rsidR="00CA1878" w:rsidRPr="00BB2078" w:rsidRDefault="00CA1878" w:rsidP="00CA1878">
      <w:pPr>
        <w:ind w:firstLine="284"/>
      </w:pPr>
      <w:r>
        <w:t xml:space="preserve">Next, we include the macroprudential policy index </w:t>
      </w:r>
      <m:oMath>
        <m:sSub>
          <m:sSubPr>
            <m:ctrlPr>
              <w:rPr>
                <w:rFonts w:ascii="Cambria Math" w:hAnsi="Cambria Math"/>
                <w:i/>
              </w:rPr>
            </m:ctrlPr>
          </m:sSubPr>
          <m:e>
            <m:r>
              <w:rPr>
                <w:rFonts w:ascii="Cambria Math" w:hAnsi="Cambria Math"/>
              </w:rPr>
              <m:t>MPI</m:t>
            </m:r>
          </m:e>
          <m:sub>
            <m:r>
              <w:rPr>
                <w:rFonts w:ascii="Cambria Math" w:hAnsi="Cambria Math"/>
              </w:rPr>
              <m:t>t</m:t>
            </m:r>
          </m:sub>
        </m:sSub>
      </m:oMath>
      <w:r w:rsidR="00AA4EFA">
        <w:t xml:space="preserve">, </w:t>
      </w:r>
      <w:r>
        <w:t xml:space="preserve">the </w:t>
      </w:r>
      <w:r w:rsidR="00AA4EFA">
        <w:t>2</w:t>
      </w:r>
      <w:r>
        <w:t xml:space="preserve">-year change in </w:t>
      </w:r>
      <w:r w:rsidR="00AA4EFA">
        <w:t xml:space="preserve">the </w:t>
      </w:r>
      <w:r w:rsidR="00AA4EFA" w:rsidRPr="00AA4EFA">
        <w:t xml:space="preserve">excess </w:t>
      </w:r>
      <w:r w:rsidRPr="003A12EA">
        <w:t>capital adequacy ratio</w:t>
      </w:r>
      <w:r w:rsidR="00AA4EFA">
        <w:t xml:space="preserve"> (actual minus </w:t>
      </w:r>
      <w:r w:rsidR="00AA4EFA" w:rsidRPr="00AA4EFA">
        <w:t>minimum requirement</w:t>
      </w:r>
      <w:r w:rsidR="00AA4EFA">
        <w:t>)</w:t>
      </w:r>
      <w:r>
        <w:t xml:space="preserve"> </w:t>
      </w:r>
      <m:oMath>
        <m:sSub>
          <m:sSubPr>
            <m:ctrlPr>
              <w:rPr>
                <w:rFonts w:ascii="Cambria Math" w:hAnsi="Cambria Math"/>
                <w:i/>
              </w:rPr>
            </m:ctrlPr>
          </m:sSubPr>
          <m:e>
            <m:r>
              <w:rPr>
                <w:rFonts w:ascii="Cambria Math" w:hAnsi="Cambria Math"/>
              </w:rPr>
              <m:t>CAR</m:t>
            </m:r>
          </m:e>
          <m:sub>
            <m:r>
              <w:rPr>
                <w:rFonts w:ascii="Cambria Math" w:hAnsi="Cambria Math"/>
              </w:rPr>
              <m:t>t</m:t>
            </m:r>
          </m:sub>
        </m:sSub>
      </m:oMath>
      <w:r w:rsidR="00AA4EFA">
        <w:t xml:space="preserve"> and the </w:t>
      </w:r>
      <w:r w:rsidR="00AA4EFA" w:rsidRPr="00AA4EFA">
        <w:t>excess</w:t>
      </w:r>
      <w:r w:rsidR="00AA4EFA">
        <w:t xml:space="preserve"> l</w:t>
      </w:r>
      <w:r w:rsidR="00AA4EFA" w:rsidRPr="006563F6">
        <w:t>iquidity ratio</w:t>
      </w:r>
      <w:r w:rsidR="00AA4EFA">
        <w:t xml:space="preserve"> (</w:t>
      </w:r>
      <w:r w:rsidR="00AA4EFA" w:rsidRPr="006563F6">
        <w:rPr>
          <w:i/>
          <w:iCs/>
        </w:rPr>
        <w:t>HQLA/Assets</w:t>
      </w:r>
      <w:r w:rsidR="00AA4EFA">
        <w:t>)</w:t>
      </w:r>
      <w:r w:rsidR="00B13567">
        <w:t xml:space="preserve"> </w:t>
      </w:r>
      <m:oMath>
        <m:sSub>
          <m:sSubPr>
            <m:ctrlPr>
              <w:rPr>
                <w:rFonts w:ascii="Cambria Math" w:hAnsi="Cambria Math"/>
                <w:i/>
              </w:rPr>
            </m:ctrlPr>
          </m:sSubPr>
          <m:e>
            <m:r>
              <w:rPr>
                <w:rFonts w:ascii="Cambria Math" w:hAnsi="Cambria Math"/>
              </w:rPr>
              <m:t>LR</m:t>
            </m:r>
          </m:e>
          <m:sub>
            <m:r>
              <w:rPr>
                <w:rFonts w:ascii="Cambria Math" w:hAnsi="Cambria Math"/>
              </w:rPr>
              <m:t>t</m:t>
            </m:r>
          </m:sub>
        </m:sSub>
      </m:oMath>
      <w:r>
        <w:t xml:space="preserve">. The MPI is computed </w:t>
      </w:r>
      <w:r>
        <w:lastRenderedPageBreak/>
        <w:t xml:space="preserve">(both for the local and panel models) using the methodology and the dataset proposed by </w:t>
      </w:r>
      <w:proofErr w:type="spellStart"/>
      <w:r w:rsidRPr="003A12EA">
        <w:t>Alam</w:t>
      </w:r>
      <w:proofErr w:type="spellEnd"/>
      <w:r w:rsidRPr="003A12EA">
        <w:t xml:space="preserve"> et al. (2019)</w:t>
      </w:r>
      <w:r>
        <w:t>. The dataset includes 17 categories of macroprudential measures over time. Each t</w:t>
      </w:r>
      <w:r w:rsidRPr="009C72D9">
        <w:t xml:space="preserve">ightening is </w:t>
      </w:r>
      <w:r>
        <w:t>expressed</w:t>
      </w:r>
      <w:r w:rsidRPr="009C72D9">
        <w:t xml:space="preserve"> as +1</w:t>
      </w:r>
      <w:r>
        <w:t xml:space="preserve">, while each </w:t>
      </w:r>
      <w:r w:rsidRPr="009C72D9">
        <w:t xml:space="preserve">loosening </w:t>
      </w:r>
      <w:r>
        <w:t xml:space="preserve">is represented as -1. Finally, </w:t>
      </w:r>
      <w:r w:rsidRPr="009C72D9">
        <w:t>no or neutral action</w:t>
      </w:r>
      <w:r>
        <w:t>s</w:t>
      </w:r>
      <w:r w:rsidRPr="009C72D9">
        <w:t xml:space="preserve"> </w:t>
      </w:r>
      <w:r>
        <w:t>are marked as</w:t>
      </w:r>
      <w:r w:rsidRPr="009C72D9">
        <w:t xml:space="preserve"> </w:t>
      </w:r>
      <w:r>
        <w:t xml:space="preserve">0. We define the sum of the 17 dummy categories at time t as </w:t>
      </w:r>
      <m:oMath>
        <m:r>
          <w:rPr>
            <w:rFonts w:ascii="Cambria Math" w:hAnsi="Cambria Math"/>
          </w:rPr>
          <m:t>M</m:t>
        </m:r>
        <m:sSub>
          <m:sSubPr>
            <m:ctrlPr>
              <w:rPr>
                <w:rFonts w:ascii="Cambria Math" w:hAnsi="Cambria Math"/>
                <w:i/>
              </w:rPr>
            </m:ctrlPr>
          </m:sSubPr>
          <m:e>
            <m:r>
              <w:rPr>
                <w:rFonts w:ascii="Cambria Math" w:hAnsi="Cambria Math"/>
              </w:rPr>
              <m:t>P</m:t>
            </m:r>
          </m:e>
          <m:sub>
            <m:r>
              <w:rPr>
                <w:rFonts w:ascii="Cambria Math" w:hAnsi="Cambria Math"/>
              </w:rPr>
              <m:t>t</m:t>
            </m:r>
          </m:sub>
        </m:sSub>
      </m:oMath>
      <w:r>
        <w:t xml:space="preserve">. </w:t>
      </w:r>
      <w:r w:rsidRPr="00BB2078">
        <w:t xml:space="preserve">We express the MPI as the 4-quarter rolling sum of </w:t>
      </w:r>
      <m:oMath>
        <m:r>
          <w:rPr>
            <w:rFonts w:ascii="Cambria Math" w:hAnsi="Cambria Math"/>
          </w:rPr>
          <m:t>M</m:t>
        </m:r>
        <m:sSub>
          <m:sSubPr>
            <m:ctrlPr>
              <w:rPr>
                <w:rFonts w:ascii="Cambria Math" w:hAnsi="Cambria Math"/>
                <w:i/>
              </w:rPr>
            </m:ctrlPr>
          </m:sSubPr>
          <m:e>
            <m:r>
              <w:rPr>
                <w:rFonts w:ascii="Cambria Math" w:hAnsi="Cambria Math"/>
              </w:rPr>
              <m:t>P</m:t>
            </m:r>
          </m:e>
          <m:sub>
            <m:r>
              <w:rPr>
                <w:rFonts w:ascii="Cambria Math" w:hAnsi="Cambria Math"/>
              </w:rPr>
              <m:t>t</m:t>
            </m:r>
          </m:sub>
        </m:sSub>
      </m:oMath>
      <w:r w:rsidRPr="00BB2078">
        <w:t xml:space="preserve"> like so:</w:t>
      </w:r>
    </w:p>
    <w:p w14:paraId="2BA5CAFD" w14:textId="676294D1" w:rsidR="00CA1878" w:rsidRPr="00BB2078" w:rsidRDefault="00000000" w:rsidP="00BB2078">
      <w:pPr>
        <w:pStyle w:val="Caption"/>
        <w:rPr>
          <w:sz w:val="20"/>
        </w:rPr>
      </w:pPr>
      <m:oMathPara>
        <m:oMath>
          <m:eqArr>
            <m:eqArrPr>
              <m:maxDist m:val="1"/>
              <m:ctrlPr>
                <w:rPr>
                  <w:rFonts w:ascii="Cambria Math" w:hAnsi="Cambria Math"/>
                  <w:i/>
                  <w:sz w:val="20"/>
                </w:rPr>
              </m:ctrlPr>
            </m:eqArrPr>
            <m:e>
              <m:r>
                <m:rPr>
                  <m:sty m:val="bi"/>
                </m:rPr>
                <w:rPr>
                  <w:rFonts w:ascii="Cambria Math" w:hAnsi="Cambria Math"/>
                  <w:sz w:val="20"/>
                </w:rPr>
                <m:t>MP</m:t>
              </m:r>
              <m:sSub>
                <m:sSubPr>
                  <m:ctrlPr>
                    <w:rPr>
                      <w:rFonts w:ascii="Cambria Math" w:hAnsi="Cambria Math"/>
                      <w:i/>
                      <w:sz w:val="20"/>
                    </w:rPr>
                  </m:ctrlPr>
                </m:sSubPr>
                <m:e>
                  <m:r>
                    <m:rPr>
                      <m:sty m:val="bi"/>
                    </m:rPr>
                    <w:rPr>
                      <w:rFonts w:ascii="Cambria Math" w:hAnsi="Cambria Math"/>
                      <w:sz w:val="20"/>
                    </w:rPr>
                    <m:t>I</m:t>
                  </m:r>
                </m:e>
                <m:sub>
                  <m:r>
                    <m:rPr>
                      <m:sty m:val="bi"/>
                    </m:rPr>
                    <w:rPr>
                      <w:rFonts w:ascii="Cambria Math" w:hAnsi="Cambria Math"/>
                      <w:sz w:val="20"/>
                    </w:rPr>
                    <m:t>t</m:t>
                  </m:r>
                </m:sub>
              </m:sSub>
              <m:r>
                <m:rPr>
                  <m:sty m:val="bi"/>
                </m:rPr>
                <w:rPr>
                  <w:rFonts w:ascii="Cambria Math" w:hAnsi="Cambria Math"/>
                  <w:sz w:val="20"/>
                </w:rPr>
                <m:t>=</m:t>
              </m:r>
              <m:nary>
                <m:naryPr>
                  <m:chr m:val="∑"/>
                  <m:limLoc m:val="undOvr"/>
                  <m:ctrlPr>
                    <w:rPr>
                      <w:rFonts w:ascii="Cambria Math" w:hAnsi="Cambria Math"/>
                      <w:i/>
                      <w:sz w:val="20"/>
                    </w:rPr>
                  </m:ctrlPr>
                </m:naryPr>
                <m:sub>
                  <m:r>
                    <m:rPr>
                      <m:sty m:val="bi"/>
                    </m:rPr>
                    <w:rPr>
                      <w:rFonts w:ascii="Cambria Math" w:hAnsi="Cambria Math"/>
                      <w:sz w:val="20"/>
                    </w:rPr>
                    <m:t>p=0</m:t>
                  </m:r>
                </m:sub>
                <m:sup>
                  <m:r>
                    <m:rPr>
                      <m:sty m:val="bi"/>
                    </m:rPr>
                    <w:rPr>
                      <w:rFonts w:ascii="Cambria Math" w:hAnsi="Cambria Math"/>
                      <w:sz w:val="20"/>
                    </w:rPr>
                    <m:t>3</m:t>
                  </m:r>
                </m:sup>
                <m:e>
                  <m:r>
                    <m:rPr>
                      <m:sty m:val="bi"/>
                    </m:rPr>
                    <w:rPr>
                      <w:rFonts w:ascii="Cambria Math" w:hAnsi="Cambria Math"/>
                      <w:sz w:val="20"/>
                    </w:rPr>
                    <m:t>M</m:t>
                  </m:r>
                  <m:sSub>
                    <m:sSubPr>
                      <m:ctrlPr>
                        <w:rPr>
                          <w:rFonts w:ascii="Cambria Math" w:hAnsi="Cambria Math"/>
                          <w:i/>
                          <w:sz w:val="20"/>
                        </w:rPr>
                      </m:ctrlPr>
                    </m:sSubPr>
                    <m:e>
                      <m:r>
                        <m:rPr>
                          <m:sty m:val="bi"/>
                        </m:rPr>
                        <w:rPr>
                          <w:rFonts w:ascii="Cambria Math" w:hAnsi="Cambria Math"/>
                          <w:sz w:val="20"/>
                        </w:rPr>
                        <m:t>P</m:t>
                      </m:r>
                    </m:e>
                    <m:sub>
                      <m:r>
                        <m:rPr>
                          <m:sty m:val="bi"/>
                        </m:rPr>
                        <w:rPr>
                          <w:rFonts w:ascii="Cambria Math" w:hAnsi="Cambria Math"/>
                          <w:sz w:val="20"/>
                        </w:rPr>
                        <m:t>t-p</m:t>
                      </m:r>
                    </m:sub>
                  </m:sSub>
                </m:e>
              </m:nary>
              <m:r>
                <m:rPr>
                  <m:sty m:val="bi"/>
                </m:rPr>
                <w:rPr>
                  <w:rFonts w:ascii="Cambria Math" w:hAnsi="Cambria Math"/>
                  <w:sz w:val="20"/>
                </w:rPr>
                <m:t>#</m:t>
              </m:r>
              <m:d>
                <m:dPr>
                  <m:ctrlPr>
                    <w:rPr>
                      <w:rFonts w:ascii="Cambria Math" w:hAnsi="Cambria Math"/>
                      <w:i/>
                      <w:sz w:val="20"/>
                    </w:rPr>
                  </m:ctrlPr>
                </m:dPr>
                <m:e>
                  <m:r>
                    <m:rPr>
                      <m:sty m:val="bi"/>
                    </m:rPr>
                    <w:rPr>
                      <w:rFonts w:ascii="Cambria Math" w:hAnsi="Cambria Math"/>
                      <w:i/>
                      <w:sz w:val="20"/>
                    </w:rPr>
                    <w:fldChar w:fldCharType="begin"/>
                  </m:r>
                  <m:r>
                    <m:rPr>
                      <m:sty m:val="b"/>
                    </m:rPr>
                    <w:rPr>
                      <w:rFonts w:ascii="Cambria Math" w:hAnsi="Cambria Math"/>
                      <w:sz w:val="20"/>
                    </w:rPr>
                    <m:t xml:space="preserve"> SEQ Equation \* ARABIC </m:t>
                  </m:r>
                  <m:r>
                    <m:rPr>
                      <m:sty m:val="bi"/>
                    </m:rPr>
                    <w:rPr>
                      <w:rFonts w:ascii="Cambria Math" w:hAnsi="Cambria Math"/>
                      <w:i/>
                      <w:sz w:val="20"/>
                    </w:rPr>
                    <w:fldChar w:fldCharType="separate"/>
                  </m:r>
                  <m:r>
                    <m:rPr>
                      <m:sty m:val="b"/>
                    </m:rPr>
                    <w:rPr>
                      <w:rFonts w:ascii="Cambria Math" w:hAnsi="Cambria Math"/>
                      <w:noProof/>
                      <w:sz w:val="20"/>
                    </w:rPr>
                    <m:t>9</m:t>
                  </m:r>
                  <m:r>
                    <m:rPr>
                      <m:sty m:val="bi"/>
                    </m:rPr>
                    <w:rPr>
                      <w:rFonts w:ascii="Cambria Math" w:hAnsi="Cambria Math"/>
                      <w:i/>
                      <w:sz w:val="20"/>
                    </w:rPr>
                    <w:fldChar w:fldCharType="end"/>
                  </m:r>
                </m:e>
              </m:d>
            </m:e>
          </m:eqArr>
        </m:oMath>
      </m:oMathPara>
    </w:p>
    <w:p w14:paraId="124952DE" w14:textId="63BA9AEC" w:rsidR="00C76287" w:rsidRDefault="00CA1878" w:rsidP="00C76287">
      <w:pPr>
        <w:ind w:firstLine="284"/>
      </w:pPr>
      <w:r w:rsidRPr="00BB2078">
        <w:t xml:space="preserve">The rest of the model </w:t>
      </w:r>
      <w:r w:rsidR="00B13567" w:rsidRPr="00BB2078">
        <w:t>includes a</w:t>
      </w:r>
      <w:r w:rsidRPr="00BB2078">
        <w:t xml:space="preserve"> control</w:t>
      </w:r>
      <w:r w:rsidR="00B13567" w:rsidRPr="00BB2078">
        <w:t xml:space="preserve"> variable, the macroeconomic indicator </w:t>
      </w:r>
      <m:oMath>
        <m:sSub>
          <m:sSubPr>
            <m:ctrlPr>
              <w:rPr>
                <w:rFonts w:ascii="Cambria Math" w:hAnsi="Cambria Math"/>
                <w:i/>
              </w:rPr>
            </m:ctrlPr>
          </m:sSubPr>
          <m:e>
            <m:r>
              <w:rPr>
                <w:rFonts w:ascii="Cambria Math" w:hAnsi="Cambria Math"/>
              </w:rPr>
              <m:t>MI</m:t>
            </m:r>
          </m:e>
          <m:sub>
            <m:r>
              <w:rPr>
                <w:rFonts w:ascii="Cambria Math" w:hAnsi="Cambria Math"/>
              </w:rPr>
              <m:t>t</m:t>
            </m:r>
          </m:sub>
        </m:sSub>
      </m:oMath>
      <w:r w:rsidR="00B13567" w:rsidRPr="00BB2078">
        <w:t>. This variable is constructed using a partial least squares regression between</w:t>
      </w:r>
      <w:r w:rsidR="00B13567">
        <w:t xml:space="preserve"> the current GDP growth (</w:t>
      </w:r>
      <w:r w:rsidR="00B13567" w:rsidRPr="007C0416">
        <w:t>autoregressive</w:t>
      </w:r>
      <w:r w:rsidR="00B13567">
        <w:t xml:space="preserve"> term in eq. </w:t>
      </w:r>
      <w:r w:rsidR="00C76287">
        <w:t>7</w:t>
      </w:r>
      <w:r w:rsidR="00B13567">
        <w:t>)</w:t>
      </w:r>
      <w:r w:rsidR="00C76287">
        <w:t xml:space="preserve"> and 10 macro variables. These include </w:t>
      </w:r>
      <w:r w:rsidR="00483B22">
        <w:t xml:space="preserve">the </w:t>
      </w:r>
      <w:r w:rsidR="00C76287">
        <w:t>e</w:t>
      </w:r>
      <w:r w:rsidR="00C76287" w:rsidRPr="00C76287">
        <w:t>xchange rate</w:t>
      </w:r>
      <w:r w:rsidR="00C76287">
        <w:t>, t</w:t>
      </w:r>
      <w:r w:rsidR="00C76287" w:rsidRPr="00C76287">
        <w:t>rade balance</w:t>
      </w:r>
      <w:r w:rsidR="00C76287">
        <w:t>, c</w:t>
      </w:r>
      <w:r w:rsidR="00C76287" w:rsidRPr="00C76287">
        <w:t>opper prices</w:t>
      </w:r>
      <w:r w:rsidR="00C76287">
        <w:t>, c</w:t>
      </w:r>
      <w:r w:rsidR="00C76287" w:rsidRPr="00C76287">
        <w:t>urrent account</w:t>
      </w:r>
      <w:r w:rsidR="00C76287">
        <w:t>, u</w:t>
      </w:r>
      <w:r w:rsidR="00C76287" w:rsidRPr="00C76287">
        <w:t>nemployment rate</w:t>
      </w:r>
      <w:r w:rsidR="00C76287">
        <w:t>, g</w:t>
      </w:r>
      <w:r w:rsidR="00C76287" w:rsidRPr="00C76287">
        <w:t>overnment debt</w:t>
      </w:r>
      <w:r w:rsidR="00C76287">
        <w:t>, g</w:t>
      </w:r>
      <w:r w:rsidR="00C76287" w:rsidRPr="00C76287">
        <w:t>overnment expenditure</w:t>
      </w:r>
      <w:r w:rsidR="00C76287">
        <w:t xml:space="preserve">, </w:t>
      </w:r>
      <w:r w:rsidR="00483B22">
        <w:t xml:space="preserve">the </w:t>
      </w:r>
      <w:r w:rsidR="00C76287">
        <w:t>f</w:t>
      </w:r>
      <w:r w:rsidR="00C76287" w:rsidRPr="00C76287">
        <w:t xml:space="preserve">iscal impulse </w:t>
      </w:r>
      <w:r w:rsidR="00C76287">
        <w:t xml:space="preserve">from the </w:t>
      </w:r>
      <w:r w:rsidR="00C76287" w:rsidRPr="00C76287">
        <w:t>QPM</w:t>
      </w:r>
      <w:r w:rsidR="00C76287">
        <w:t>, CPI and the central bank r</w:t>
      </w:r>
      <w:r w:rsidR="00C76287" w:rsidRPr="00C76287">
        <w:t xml:space="preserve">efinancing </w:t>
      </w:r>
      <w:r w:rsidR="00C76287">
        <w:t>r</w:t>
      </w:r>
      <w:r w:rsidR="00C76287" w:rsidRPr="00C76287">
        <w:t>ate</w:t>
      </w:r>
      <w:r w:rsidR="00C76287">
        <w:t>.</w:t>
      </w:r>
    </w:p>
    <w:p w14:paraId="689022F0" w14:textId="239713E4" w:rsidR="00C76287" w:rsidRDefault="00C76287" w:rsidP="00C76287">
      <w:pPr>
        <w:ind w:firstLine="284"/>
      </w:pPr>
      <w:r>
        <w:t xml:space="preserve">Finally, we include the interaction terms with the MPI, specifically, the Cycle-Based Policy Adjustment </w:t>
      </w:r>
      <m:oMath>
        <m:sSub>
          <m:sSubPr>
            <m:ctrlPr>
              <w:rPr>
                <w:rFonts w:ascii="Cambria Math" w:hAnsi="Cambria Math"/>
                <w:i/>
              </w:rPr>
            </m:ctrlPr>
          </m:sSubPr>
          <m:e>
            <m:r>
              <w:rPr>
                <w:rFonts w:ascii="Cambria Math" w:hAnsi="Cambria Math"/>
              </w:rPr>
              <m:t>CyBPA</m:t>
            </m:r>
          </m:e>
          <m:sub>
            <m:r>
              <w:rPr>
                <w:rFonts w:ascii="Cambria Math" w:hAnsi="Cambria Math"/>
              </w:rPr>
              <m:t>t</m:t>
            </m:r>
          </m:sub>
        </m:sSub>
      </m:oMath>
      <w:r>
        <w:t xml:space="preserve"> and the C</w:t>
      </w:r>
      <w:r w:rsidRPr="00813F15">
        <w:t>onditions</w:t>
      </w:r>
      <w:r>
        <w:t xml:space="preserve">-Based Policy Adjustment </w:t>
      </w:r>
      <m:oMath>
        <m:sSub>
          <m:sSubPr>
            <m:ctrlPr>
              <w:rPr>
                <w:rFonts w:ascii="Cambria Math" w:hAnsi="Cambria Math"/>
                <w:i/>
              </w:rPr>
            </m:ctrlPr>
          </m:sSubPr>
          <m:e>
            <m:r>
              <w:rPr>
                <w:rFonts w:ascii="Cambria Math" w:hAnsi="Cambria Math"/>
              </w:rPr>
              <m:t>CBPA</m:t>
            </m:r>
          </m:e>
          <m:sub>
            <m:r>
              <w:rPr>
                <w:rFonts w:ascii="Cambria Math" w:hAnsi="Cambria Math"/>
              </w:rPr>
              <m:t>t</m:t>
            </m:r>
          </m:sub>
        </m:sSub>
      </m:oMath>
      <w:r>
        <w:t>.</w:t>
      </w:r>
    </w:p>
    <w:p w14:paraId="6C1A5381" w14:textId="4EAA21F6" w:rsidR="00CA1878" w:rsidRDefault="00CA1878" w:rsidP="00646075">
      <w:pPr>
        <w:pStyle w:val="SectionHeading"/>
        <w:numPr>
          <w:ilvl w:val="1"/>
          <w:numId w:val="9"/>
        </w:numPr>
      </w:pPr>
      <w:r>
        <w:t>Financial conditions index</w:t>
      </w:r>
    </w:p>
    <w:p w14:paraId="06A9423B" w14:textId="4E1ABD62" w:rsidR="00646075" w:rsidRPr="00BB2078" w:rsidRDefault="009566AF" w:rsidP="00056173">
      <w:r w:rsidRPr="00402976">
        <w:t>To estimate the FCI we will use a f</w:t>
      </w:r>
      <w:r w:rsidRPr="009566AF">
        <w:t>actor augmented VAR with structural instabilities</w:t>
      </w:r>
      <w:r w:rsidRPr="00402976">
        <w:t xml:space="preserve"> and </w:t>
      </w:r>
      <w:r w:rsidRPr="009566AF">
        <w:t>time-varying coefficients</w:t>
      </w:r>
      <w:r w:rsidR="0000625C" w:rsidRPr="00402976">
        <w:t xml:space="preserve"> (</w:t>
      </w:r>
      <w:r w:rsidR="0000625C" w:rsidRPr="0000625C">
        <w:t>TVP-FAVAR</w:t>
      </w:r>
      <w:r w:rsidR="0000625C" w:rsidRPr="00402976">
        <w:t xml:space="preserve">). The p-lag </w:t>
      </w:r>
      <w:r w:rsidR="0000625C" w:rsidRPr="0000625C">
        <w:t>TVP-</w:t>
      </w:r>
      <w:r w:rsidR="0000625C" w:rsidRPr="00BB2078">
        <w:t xml:space="preserve">FAVAR </w:t>
      </w:r>
      <w:sdt>
        <w:sdtPr>
          <w:id w:val="-1748724668"/>
          <w:citation/>
        </w:sdtPr>
        <w:sdtContent>
          <w:r w:rsidR="00E67522" w:rsidRPr="00BB2078">
            <w:fldChar w:fldCharType="begin"/>
          </w:r>
          <w:r w:rsidR="00E67522" w:rsidRPr="00BB2078">
            <w:instrText xml:space="preserve"> CITATION Koo14 \l 1033 </w:instrText>
          </w:r>
          <w:r w:rsidR="00E67522" w:rsidRPr="00BB2078">
            <w:fldChar w:fldCharType="separate"/>
          </w:r>
          <w:r w:rsidR="00C8403C">
            <w:rPr>
              <w:noProof/>
            </w:rPr>
            <w:t>(Koop &amp; Korobilis, 2014)</w:t>
          </w:r>
          <w:r w:rsidR="00E67522" w:rsidRPr="00BB2078">
            <w:fldChar w:fldCharType="end"/>
          </w:r>
        </w:sdtContent>
      </w:sdt>
      <w:r w:rsidR="00E67522" w:rsidRPr="00BB2078">
        <w:t xml:space="preserve"> </w:t>
      </w:r>
      <w:r w:rsidR="0000625C" w:rsidRPr="00BB2078">
        <w:t>state space model takes the form:</w:t>
      </w:r>
    </w:p>
    <w:p w14:paraId="6419D2A1" w14:textId="7C31B639" w:rsidR="0000625C" w:rsidRPr="00BB2078" w:rsidRDefault="00000000" w:rsidP="00BB2078">
      <w:pPr>
        <w:pStyle w:val="Caption"/>
        <w:rPr>
          <w:sz w:val="20"/>
        </w:rPr>
      </w:pPr>
      <m:oMathPara>
        <m:oMath>
          <m:eqArr>
            <m:eqArrPr>
              <m:maxDist m:val="1"/>
              <m:ctrlPr>
                <w:rPr>
                  <w:rFonts w:ascii="Cambria Math" w:hAnsi="Cambria Math"/>
                  <w:sz w:val="20"/>
                </w:rPr>
              </m:ctrlPr>
            </m:eqArrPr>
            <m:e>
              <m:d>
                <m:dPr>
                  <m:begChr m:val="["/>
                  <m:endChr m:val="]"/>
                  <m:ctrlPr>
                    <w:rPr>
                      <w:rFonts w:ascii="Cambria Math" w:hAnsi="Cambria Math"/>
                      <w:sz w:val="20"/>
                    </w:rPr>
                  </m:ctrlPr>
                </m:dPr>
                <m:e>
                  <m:m>
                    <m:mPr>
                      <m:mcs>
                        <m:mc>
                          <m:mcPr>
                            <m:count m:val="1"/>
                            <m:mcJc m:val="center"/>
                          </m:mcPr>
                        </m:mc>
                      </m:mcs>
                      <m:ctrlPr>
                        <w:rPr>
                          <w:rFonts w:ascii="Cambria Math" w:hAnsi="Cambria Math"/>
                          <w:sz w:val="20"/>
                        </w:rPr>
                      </m:ctrlPr>
                    </m:mPr>
                    <m:mr>
                      <m:e>
                        <m:sSub>
                          <m:sSubPr>
                            <m:ctrlPr>
                              <w:rPr>
                                <w:rFonts w:ascii="Cambria Math" w:hAnsi="Cambria Math"/>
                                <w:sz w:val="20"/>
                              </w:rPr>
                            </m:ctrlPr>
                          </m:sSubPr>
                          <m:e>
                            <m:r>
                              <m:rPr>
                                <m:sty m:val="b"/>
                              </m:rPr>
                              <w:rPr>
                                <w:rFonts w:ascii="Cambria Math" w:hAnsi="Cambria Math"/>
                                <w:sz w:val="20"/>
                              </w:rPr>
                              <m:t>y</m:t>
                            </m:r>
                          </m:e>
                          <m:sub>
                            <m:r>
                              <m:rPr>
                                <m:sty m:val="b"/>
                              </m:rPr>
                              <w:rPr>
                                <w:rFonts w:ascii="Cambria Math" w:hAnsi="Cambria Math"/>
                                <w:sz w:val="20"/>
                              </w:rPr>
                              <m:t>t</m:t>
                            </m:r>
                          </m:sub>
                        </m:sSub>
                      </m:e>
                    </m:mr>
                    <m:mr>
                      <m:e>
                        <m:sSub>
                          <m:sSubPr>
                            <m:ctrlPr>
                              <w:rPr>
                                <w:rFonts w:ascii="Cambria Math" w:hAnsi="Cambria Math"/>
                                <w:sz w:val="20"/>
                              </w:rPr>
                            </m:ctrlPr>
                          </m:sSubPr>
                          <m:e>
                            <m:r>
                              <m:rPr>
                                <m:sty m:val="bi"/>
                              </m:rPr>
                              <w:rPr>
                                <w:rFonts w:ascii="Cambria Math" w:hAnsi="Cambria Math"/>
                                <w:sz w:val="20"/>
                              </w:rPr>
                              <m:t>x</m:t>
                            </m:r>
                          </m:e>
                          <m:sub>
                            <m:r>
                              <m:rPr>
                                <m:sty m:val="bi"/>
                              </m:rPr>
                              <w:rPr>
                                <w:rFonts w:ascii="Cambria Math" w:hAnsi="Cambria Math"/>
                                <w:sz w:val="20"/>
                              </w:rPr>
                              <m:t>t</m:t>
                            </m:r>
                          </m:sub>
                        </m:sSub>
                      </m:e>
                    </m:mr>
                  </m:m>
                </m:e>
              </m:d>
              <m:r>
                <m:rPr>
                  <m:sty m:val="b"/>
                </m:rPr>
                <w:rPr>
                  <w:rFonts w:ascii="Cambria Math" w:hAnsi="Cambria Math"/>
                  <w:sz w:val="20"/>
                </w:rPr>
                <m:t>=</m:t>
              </m:r>
              <m:d>
                <m:dPr>
                  <m:begChr m:val="["/>
                  <m:endChr m:val="]"/>
                  <m:ctrlPr>
                    <w:rPr>
                      <w:rFonts w:ascii="Cambria Math" w:hAnsi="Cambria Math"/>
                      <w:sz w:val="20"/>
                    </w:rPr>
                  </m:ctrlPr>
                </m:dPr>
                <m:e>
                  <m:m>
                    <m:mPr>
                      <m:mcs>
                        <m:mc>
                          <m:mcPr>
                            <m:count m:val="2"/>
                            <m:mcJc m:val="center"/>
                          </m:mcPr>
                        </m:mc>
                      </m:mcs>
                      <m:ctrlPr>
                        <w:rPr>
                          <w:rFonts w:ascii="Cambria Math" w:hAnsi="Cambria Math"/>
                          <w:sz w:val="20"/>
                        </w:rPr>
                      </m:ctrlPr>
                    </m:mPr>
                    <m:mr>
                      <m:e>
                        <m:r>
                          <m:rPr>
                            <m:sty m:val="b"/>
                          </m:rPr>
                          <w:rPr>
                            <w:rFonts w:ascii="Cambria Math" w:hAnsi="Cambria Math"/>
                            <w:sz w:val="20"/>
                          </w:rPr>
                          <m:t>1</m:t>
                        </m:r>
                      </m:e>
                      <m:e>
                        <m:r>
                          <m:rPr>
                            <m:sty m:val="b"/>
                          </m:rPr>
                          <w:rPr>
                            <w:rFonts w:ascii="Cambria Math" w:hAnsi="Cambria Math"/>
                            <w:sz w:val="20"/>
                          </w:rPr>
                          <m:t>0</m:t>
                        </m:r>
                      </m:e>
                    </m:mr>
                    <m:mr>
                      <m:e>
                        <m:sSubSup>
                          <m:sSubSupPr>
                            <m:ctrlPr>
                              <w:rPr>
                                <w:rFonts w:ascii="Cambria Math" w:hAnsi="Cambria Math"/>
                                <w:sz w:val="20"/>
                              </w:rPr>
                            </m:ctrlPr>
                          </m:sSubSupPr>
                          <m:e>
                            <m:r>
                              <m:rPr>
                                <m:sty m:val="bi"/>
                              </m:rPr>
                              <w:rPr>
                                <w:rFonts w:ascii="Cambria Math" w:hAnsi="Cambria Math"/>
                                <w:sz w:val="20"/>
                              </w:rPr>
                              <m:t>λ</m:t>
                            </m:r>
                          </m:e>
                          <m:sub>
                            <m:r>
                              <m:rPr>
                                <m:sty m:val="bi"/>
                              </m:rPr>
                              <w:rPr>
                                <w:rFonts w:ascii="Cambria Math" w:hAnsi="Cambria Math"/>
                                <w:sz w:val="20"/>
                              </w:rPr>
                              <m:t>t</m:t>
                            </m:r>
                          </m:sub>
                          <m:sup>
                            <m:r>
                              <m:rPr>
                                <m:sty m:val="bi"/>
                              </m:rPr>
                              <w:rPr>
                                <w:rFonts w:ascii="Cambria Math" w:hAnsi="Cambria Math"/>
                                <w:sz w:val="20"/>
                              </w:rPr>
                              <m:t>y</m:t>
                            </m:r>
                          </m:sup>
                        </m:sSubSup>
                      </m:e>
                      <m:e>
                        <m:sSubSup>
                          <m:sSubSupPr>
                            <m:ctrlPr>
                              <w:rPr>
                                <w:rFonts w:ascii="Cambria Math" w:hAnsi="Cambria Math"/>
                                <w:sz w:val="20"/>
                              </w:rPr>
                            </m:ctrlPr>
                          </m:sSubSupPr>
                          <m:e>
                            <m:r>
                              <m:rPr>
                                <m:sty m:val="bi"/>
                              </m:rPr>
                              <w:rPr>
                                <w:rFonts w:ascii="Cambria Math" w:hAnsi="Cambria Math"/>
                                <w:sz w:val="20"/>
                              </w:rPr>
                              <m:t>λ</m:t>
                            </m:r>
                          </m:e>
                          <m:sub>
                            <m:r>
                              <m:rPr>
                                <m:sty m:val="bi"/>
                              </m:rPr>
                              <w:rPr>
                                <w:rFonts w:ascii="Cambria Math" w:hAnsi="Cambria Math"/>
                                <w:sz w:val="20"/>
                              </w:rPr>
                              <m:t>t</m:t>
                            </m:r>
                          </m:sub>
                          <m:sup>
                            <m:r>
                              <m:rPr>
                                <m:sty m:val="bi"/>
                              </m:rPr>
                              <w:rPr>
                                <w:rFonts w:ascii="Cambria Math" w:hAnsi="Cambria Math"/>
                                <w:sz w:val="20"/>
                              </w:rPr>
                              <m:t>f</m:t>
                            </m:r>
                          </m:sup>
                        </m:sSubSup>
                      </m:e>
                    </m:mr>
                  </m:m>
                </m:e>
              </m:d>
              <m:d>
                <m:dPr>
                  <m:begChr m:val="["/>
                  <m:endChr m:val="]"/>
                  <m:ctrlPr>
                    <w:rPr>
                      <w:rFonts w:ascii="Cambria Math" w:hAnsi="Cambria Math"/>
                      <w:sz w:val="20"/>
                    </w:rPr>
                  </m:ctrlPr>
                </m:dPr>
                <m:e>
                  <m:m>
                    <m:mPr>
                      <m:mcs>
                        <m:mc>
                          <m:mcPr>
                            <m:count m:val="1"/>
                            <m:mcJc m:val="center"/>
                          </m:mcPr>
                        </m:mc>
                      </m:mcs>
                      <m:ctrlPr>
                        <w:rPr>
                          <w:rFonts w:ascii="Cambria Math" w:hAnsi="Cambria Math"/>
                          <w:sz w:val="20"/>
                        </w:rPr>
                      </m:ctrlPr>
                    </m:mPr>
                    <m:mr>
                      <m:e>
                        <m:sSub>
                          <m:sSubPr>
                            <m:ctrlPr>
                              <w:rPr>
                                <w:rFonts w:ascii="Cambria Math" w:hAnsi="Cambria Math"/>
                                <w:sz w:val="20"/>
                              </w:rPr>
                            </m:ctrlPr>
                          </m:sSubPr>
                          <m:e>
                            <m:r>
                              <m:rPr>
                                <m:sty m:val="b"/>
                              </m:rPr>
                              <w:rPr>
                                <w:rFonts w:ascii="Cambria Math" w:hAnsi="Cambria Math"/>
                                <w:sz w:val="20"/>
                              </w:rPr>
                              <m:t>y</m:t>
                            </m:r>
                          </m:e>
                          <m:sub>
                            <m:r>
                              <m:rPr>
                                <m:sty m:val="b"/>
                              </m:rPr>
                              <w:rPr>
                                <w:rFonts w:ascii="Cambria Math" w:hAnsi="Cambria Math"/>
                                <w:sz w:val="20"/>
                              </w:rPr>
                              <m:t>t</m:t>
                            </m:r>
                          </m:sub>
                        </m:sSub>
                      </m:e>
                    </m:mr>
                    <m:mr>
                      <m:e>
                        <m:sSub>
                          <m:sSubPr>
                            <m:ctrlPr>
                              <w:rPr>
                                <w:rFonts w:ascii="Cambria Math" w:hAnsi="Cambria Math"/>
                                <w:sz w:val="20"/>
                              </w:rPr>
                            </m:ctrlPr>
                          </m:sSubPr>
                          <m:e>
                            <m:r>
                              <m:rPr>
                                <m:sty m:val="bi"/>
                              </m:rPr>
                              <w:rPr>
                                <w:rFonts w:ascii="Cambria Math" w:hAnsi="Cambria Math"/>
                                <w:sz w:val="20"/>
                              </w:rPr>
                              <m:t>f</m:t>
                            </m:r>
                          </m:e>
                          <m:sub>
                            <m:r>
                              <m:rPr>
                                <m:sty m:val="bi"/>
                              </m:rPr>
                              <w:rPr>
                                <w:rFonts w:ascii="Cambria Math" w:hAnsi="Cambria Math"/>
                                <w:sz w:val="20"/>
                              </w:rPr>
                              <m:t>t</m:t>
                            </m:r>
                          </m:sub>
                        </m:sSub>
                      </m:e>
                    </m:mr>
                  </m:m>
                </m:e>
              </m:d>
              <m:r>
                <m:rPr>
                  <m:sty m:val="b"/>
                </m:rPr>
                <w:rPr>
                  <w:rFonts w:ascii="Cambria Math" w:hAnsi="Cambria Math"/>
                  <w:sz w:val="20"/>
                </w:rPr>
                <m:t>+</m:t>
              </m:r>
              <m:d>
                <m:dPr>
                  <m:begChr m:val="["/>
                  <m:endChr m:val="]"/>
                  <m:ctrlPr>
                    <w:rPr>
                      <w:rFonts w:ascii="Cambria Math" w:hAnsi="Cambria Math"/>
                      <w:sz w:val="20"/>
                    </w:rPr>
                  </m:ctrlPr>
                </m:dPr>
                <m:e>
                  <m:m>
                    <m:mPr>
                      <m:mcs>
                        <m:mc>
                          <m:mcPr>
                            <m:count m:val="1"/>
                            <m:mcJc m:val="center"/>
                          </m:mcPr>
                        </m:mc>
                      </m:mcs>
                      <m:ctrlPr>
                        <w:rPr>
                          <w:rFonts w:ascii="Cambria Math" w:hAnsi="Cambria Math"/>
                          <w:sz w:val="20"/>
                        </w:rPr>
                      </m:ctrlPr>
                    </m:mPr>
                    <m:mr>
                      <m:e>
                        <m:r>
                          <m:rPr>
                            <m:sty m:val="b"/>
                          </m:rPr>
                          <w:rPr>
                            <w:rFonts w:ascii="Cambria Math" w:hAnsi="Cambria Math"/>
                            <w:sz w:val="20"/>
                          </w:rPr>
                          <m:t>0</m:t>
                        </m:r>
                      </m:e>
                    </m:mr>
                    <m:mr>
                      <m:e>
                        <m:sSub>
                          <m:sSubPr>
                            <m:ctrlPr>
                              <w:rPr>
                                <w:rFonts w:ascii="Cambria Math" w:hAnsi="Cambria Math"/>
                                <w:sz w:val="20"/>
                              </w:rPr>
                            </m:ctrlPr>
                          </m:sSubPr>
                          <m:e>
                            <m:r>
                              <m:rPr>
                                <m:sty m:val="bi"/>
                              </m:rPr>
                              <w:rPr>
                                <w:rFonts w:ascii="Cambria Math" w:hAnsi="Cambria Math"/>
                                <w:sz w:val="20"/>
                              </w:rPr>
                              <m:t>v</m:t>
                            </m:r>
                          </m:e>
                          <m:sub>
                            <m:r>
                              <m:rPr>
                                <m:sty m:val="bi"/>
                              </m:rPr>
                              <w:rPr>
                                <w:rFonts w:ascii="Cambria Math" w:hAnsi="Cambria Math"/>
                                <w:sz w:val="20"/>
                              </w:rPr>
                              <m:t>t</m:t>
                            </m:r>
                          </m:sub>
                        </m:sSub>
                      </m:e>
                    </m:mr>
                  </m:m>
                </m:e>
              </m:d>
              <m:r>
                <m:rPr>
                  <m:sty m:val="b"/>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10</m:t>
                  </m:r>
                  <m:r>
                    <m:rPr>
                      <m:sty m:val="b"/>
                    </m:rPr>
                    <w:rPr>
                      <w:rFonts w:ascii="Cambria Math" w:hAnsi="Cambria Math"/>
                      <w:sz w:val="20"/>
                    </w:rPr>
                    <w:fldChar w:fldCharType="end"/>
                  </m:r>
                </m:e>
              </m:d>
            </m:e>
          </m:eqArr>
        </m:oMath>
      </m:oMathPara>
    </w:p>
    <w:p w14:paraId="05EB6DCE" w14:textId="6570A5C3" w:rsidR="00402976" w:rsidRPr="00BB2078" w:rsidRDefault="00000000" w:rsidP="00BB2078">
      <w:pPr>
        <w:pStyle w:val="Caption"/>
        <w:rPr>
          <w:sz w:val="20"/>
        </w:rPr>
      </w:pPr>
      <m:oMathPara>
        <m:oMath>
          <m:eqArr>
            <m:eqArrPr>
              <m:maxDist m:val="1"/>
              <m:ctrlPr>
                <w:rPr>
                  <w:rFonts w:ascii="Cambria Math" w:hAnsi="Cambria Math"/>
                  <w:sz w:val="20"/>
                </w:rPr>
              </m:ctrlPr>
            </m:eqArrPr>
            <m:e>
              <m:d>
                <m:dPr>
                  <m:begChr m:val="["/>
                  <m:endChr m:val="]"/>
                  <m:ctrlPr>
                    <w:rPr>
                      <w:rFonts w:ascii="Cambria Math" w:hAnsi="Cambria Math"/>
                      <w:sz w:val="20"/>
                    </w:rPr>
                  </m:ctrlPr>
                </m:dPr>
                <m:e>
                  <m:m>
                    <m:mPr>
                      <m:mcs>
                        <m:mc>
                          <m:mcPr>
                            <m:count m:val="1"/>
                            <m:mcJc m:val="center"/>
                          </m:mcPr>
                        </m:mc>
                      </m:mcs>
                      <m:ctrlPr>
                        <w:rPr>
                          <w:rFonts w:ascii="Cambria Math" w:hAnsi="Cambria Math"/>
                          <w:sz w:val="20"/>
                        </w:rPr>
                      </m:ctrlPr>
                    </m:mPr>
                    <m:mr>
                      <m:e>
                        <m:sSub>
                          <m:sSubPr>
                            <m:ctrlPr>
                              <w:rPr>
                                <w:rFonts w:ascii="Cambria Math" w:hAnsi="Cambria Math"/>
                                <w:sz w:val="20"/>
                              </w:rPr>
                            </m:ctrlPr>
                          </m:sSubPr>
                          <m:e>
                            <m:r>
                              <m:rPr>
                                <m:sty m:val="b"/>
                              </m:rPr>
                              <w:rPr>
                                <w:rFonts w:ascii="Cambria Math" w:hAnsi="Cambria Math"/>
                                <w:sz w:val="20"/>
                              </w:rPr>
                              <m:t>y</m:t>
                            </m:r>
                          </m:e>
                          <m:sub>
                            <m:r>
                              <m:rPr>
                                <m:sty m:val="b"/>
                              </m:rPr>
                              <w:rPr>
                                <w:rFonts w:ascii="Cambria Math" w:hAnsi="Cambria Math"/>
                                <w:sz w:val="20"/>
                              </w:rPr>
                              <m:t>t</m:t>
                            </m:r>
                          </m:sub>
                        </m:sSub>
                      </m:e>
                    </m:mr>
                    <m:mr>
                      <m:e>
                        <m:sSub>
                          <m:sSubPr>
                            <m:ctrlPr>
                              <w:rPr>
                                <w:rFonts w:ascii="Cambria Math" w:hAnsi="Cambria Math"/>
                                <w:sz w:val="20"/>
                              </w:rPr>
                            </m:ctrlPr>
                          </m:sSubPr>
                          <m:e>
                            <m:r>
                              <m:rPr>
                                <m:sty m:val="bi"/>
                              </m:rPr>
                              <w:rPr>
                                <w:rFonts w:ascii="Cambria Math" w:hAnsi="Cambria Math"/>
                                <w:sz w:val="20"/>
                              </w:rPr>
                              <m:t>f</m:t>
                            </m:r>
                          </m:e>
                          <m:sub>
                            <m:r>
                              <m:rPr>
                                <m:sty m:val="bi"/>
                              </m:rPr>
                              <w:rPr>
                                <w:rFonts w:ascii="Cambria Math" w:hAnsi="Cambria Math"/>
                                <w:sz w:val="20"/>
                              </w:rPr>
                              <m:t>t</m:t>
                            </m:r>
                          </m:sub>
                        </m:sSub>
                      </m:e>
                    </m:mr>
                  </m:m>
                </m:e>
              </m:d>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c</m:t>
                  </m:r>
                </m:e>
                <m:sub>
                  <m:r>
                    <m:rPr>
                      <m:sty m:val="bi"/>
                    </m:rPr>
                    <w:rPr>
                      <w:rFonts w:ascii="Cambria Math" w:hAnsi="Cambria Math"/>
                      <w:sz w:val="20"/>
                    </w:rPr>
                    <m:t>t</m:t>
                  </m:r>
                </m:sub>
              </m:sSub>
              <m:r>
                <m:rPr>
                  <m:sty m:val="b"/>
                </m:rPr>
                <w:rPr>
                  <w:rFonts w:ascii="Cambria Math" w:hAnsi="Cambria Math"/>
                  <w:sz w:val="20"/>
                </w:rPr>
                <m:t>+</m:t>
              </m:r>
              <m:sSub>
                <m:sSubPr>
                  <m:ctrlPr>
                    <w:rPr>
                      <w:rFonts w:ascii="Cambria Math" w:hAnsi="Cambria Math"/>
                      <w:sz w:val="20"/>
                    </w:rPr>
                  </m:ctrlPr>
                </m:sSubPr>
                <m:e>
                  <m:r>
                    <m:rPr>
                      <m:sty m:val="b"/>
                    </m:rPr>
                    <w:rPr>
                      <w:rFonts w:ascii="Cambria Math" w:hAnsi="Cambria Math"/>
                      <w:sz w:val="20"/>
                    </w:rPr>
                    <m:t>Β</m:t>
                  </m:r>
                </m:e>
                <m:sub>
                  <m:r>
                    <m:rPr>
                      <m:sty m:val="bi"/>
                    </m:rPr>
                    <w:rPr>
                      <w:rFonts w:ascii="Cambria Math" w:hAnsi="Cambria Math"/>
                      <w:sz w:val="20"/>
                    </w:rPr>
                    <m:t>t</m:t>
                  </m:r>
                  <m:r>
                    <m:rPr>
                      <m:sty m:val="b"/>
                    </m:rPr>
                    <w:rPr>
                      <w:rFonts w:ascii="Cambria Math" w:hAnsi="Cambria Math"/>
                      <w:sz w:val="20"/>
                    </w:rPr>
                    <m:t>,1</m:t>
                  </m:r>
                </m:sub>
              </m:sSub>
              <m:d>
                <m:dPr>
                  <m:begChr m:val="["/>
                  <m:endChr m:val="]"/>
                  <m:ctrlPr>
                    <w:rPr>
                      <w:rFonts w:ascii="Cambria Math" w:hAnsi="Cambria Math"/>
                      <w:sz w:val="20"/>
                    </w:rPr>
                  </m:ctrlPr>
                </m:dPr>
                <m:e>
                  <m:m>
                    <m:mPr>
                      <m:mcs>
                        <m:mc>
                          <m:mcPr>
                            <m:count m:val="1"/>
                            <m:mcJc m:val="center"/>
                          </m:mcPr>
                        </m:mc>
                      </m:mcs>
                      <m:ctrlPr>
                        <w:rPr>
                          <w:rFonts w:ascii="Cambria Math" w:hAnsi="Cambria Math"/>
                          <w:sz w:val="20"/>
                        </w:rPr>
                      </m:ctrlPr>
                    </m:mPr>
                    <m:mr>
                      <m:e>
                        <m:sSub>
                          <m:sSubPr>
                            <m:ctrlPr>
                              <w:rPr>
                                <w:rFonts w:ascii="Cambria Math" w:hAnsi="Cambria Math"/>
                                <w:sz w:val="20"/>
                              </w:rPr>
                            </m:ctrlPr>
                          </m:sSubPr>
                          <m:e>
                            <m:r>
                              <m:rPr>
                                <m:sty m:val="b"/>
                              </m:rPr>
                              <w:rPr>
                                <w:rFonts w:ascii="Cambria Math" w:hAnsi="Cambria Math"/>
                                <w:sz w:val="20"/>
                              </w:rPr>
                              <m:t>y</m:t>
                            </m:r>
                          </m:e>
                          <m:sub>
                            <m:r>
                              <m:rPr>
                                <m:sty m:val="b"/>
                              </m:rPr>
                              <w:rPr>
                                <w:rFonts w:ascii="Cambria Math" w:hAnsi="Cambria Math"/>
                                <w:sz w:val="20"/>
                              </w:rPr>
                              <m:t>t-1</m:t>
                            </m:r>
                          </m:sub>
                        </m:sSub>
                      </m:e>
                    </m:mr>
                    <m:mr>
                      <m:e>
                        <m:sSub>
                          <m:sSubPr>
                            <m:ctrlPr>
                              <w:rPr>
                                <w:rFonts w:ascii="Cambria Math" w:hAnsi="Cambria Math"/>
                                <w:sz w:val="20"/>
                              </w:rPr>
                            </m:ctrlPr>
                          </m:sSubPr>
                          <m:e>
                            <m:r>
                              <m:rPr>
                                <m:sty m:val="bi"/>
                              </m:rPr>
                              <w:rPr>
                                <w:rFonts w:ascii="Cambria Math" w:hAnsi="Cambria Math"/>
                                <w:sz w:val="20"/>
                              </w:rPr>
                              <m:t>f</m:t>
                            </m:r>
                          </m:e>
                          <m:sub>
                            <m:r>
                              <m:rPr>
                                <m:sty m:val="bi"/>
                              </m:rPr>
                              <w:rPr>
                                <w:rFonts w:ascii="Cambria Math" w:hAnsi="Cambria Math"/>
                                <w:sz w:val="20"/>
                              </w:rPr>
                              <m:t>t</m:t>
                            </m:r>
                            <m:r>
                              <m:rPr>
                                <m:sty m:val="b"/>
                              </m:rPr>
                              <w:rPr>
                                <w:rFonts w:ascii="Cambria Math" w:hAnsi="Cambria Math"/>
                                <w:sz w:val="20"/>
                              </w:rPr>
                              <m:t>-1</m:t>
                            </m:r>
                          </m:sub>
                        </m:sSub>
                      </m:e>
                    </m:mr>
                  </m:m>
                </m:e>
              </m:d>
              <m:r>
                <m:rPr>
                  <m:sty m:val="b"/>
                </m:rPr>
                <w:rPr>
                  <w:rFonts w:ascii="Cambria Math" w:hAnsi="Cambria Math"/>
                  <w:sz w:val="20"/>
                </w:rPr>
                <m:t>+</m:t>
              </m:r>
              <m:sSub>
                <m:sSubPr>
                  <m:ctrlPr>
                    <w:rPr>
                      <w:rFonts w:ascii="Cambria Math" w:hAnsi="Cambria Math"/>
                      <w:sz w:val="20"/>
                    </w:rPr>
                  </m:ctrlPr>
                </m:sSubPr>
                <m:e>
                  <m:r>
                    <m:rPr>
                      <m:sty m:val="b"/>
                    </m:rPr>
                    <w:rPr>
                      <w:rFonts w:ascii="Cambria Math" w:hAnsi="Cambria Math"/>
                      <w:sz w:val="20"/>
                    </w:rPr>
                    <m:t>…+Β</m:t>
                  </m:r>
                </m:e>
                <m:sub>
                  <m:r>
                    <m:rPr>
                      <m:sty m:val="bi"/>
                    </m:rPr>
                    <w:rPr>
                      <w:rFonts w:ascii="Cambria Math" w:hAnsi="Cambria Math"/>
                      <w:sz w:val="20"/>
                    </w:rPr>
                    <m:t>t</m:t>
                  </m:r>
                  <m:r>
                    <m:rPr>
                      <m:sty m:val="b"/>
                    </m:rPr>
                    <w:rPr>
                      <w:rFonts w:ascii="Cambria Math" w:hAnsi="Cambria Math"/>
                      <w:sz w:val="20"/>
                    </w:rPr>
                    <m:t>,</m:t>
                  </m:r>
                  <m:r>
                    <m:rPr>
                      <m:sty m:val="bi"/>
                    </m:rPr>
                    <w:rPr>
                      <w:rFonts w:ascii="Cambria Math" w:hAnsi="Cambria Math"/>
                      <w:sz w:val="20"/>
                    </w:rPr>
                    <m:t>p</m:t>
                  </m:r>
                </m:sub>
              </m:sSub>
              <m:d>
                <m:dPr>
                  <m:begChr m:val="["/>
                  <m:endChr m:val="]"/>
                  <m:ctrlPr>
                    <w:rPr>
                      <w:rFonts w:ascii="Cambria Math" w:hAnsi="Cambria Math"/>
                      <w:sz w:val="20"/>
                    </w:rPr>
                  </m:ctrlPr>
                </m:dPr>
                <m:e>
                  <m:m>
                    <m:mPr>
                      <m:mcs>
                        <m:mc>
                          <m:mcPr>
                            <m:count m:val="1"/>
                            <m:mcJc m:val="center"/>
                          </m:mcPr>
                        </m:mc>
                      </m:mcs>
                      <m:ctrlPr>
                        <w:rPr>
                          <w:rFonts w:ascii="Cambria Math" w:hAnsi="Cambria Math"/>
                          <w:sz w:val="20"/>
                        </w:rPr>
                      </m:ctrlPr>
                    </m:mPr>
                    <m:mr>
                      <m:e>
                        <m:sSub>
                          <m:sSubPr>
                            <m:ctrlPr>
                              <w:rPr>
                                <w:rFonts w:ascii="Cambria Math" w:hAnsi="Cambria Math"/>
                                <w:sz w:val="20"/>
                              </w:rPr>
                            </m:ctrlPr>
                          </m:sSubPr>
                          <m:e>
                            <m:r>
                              <m:rPr>
                                <m:sty m:val="b"/>
                              </m:rPr>
                              <w:rPr>
                                <w:rFonts w:ascii="Cambria Math" w:hAnsi="Cambria Math"/>
                                <w:sz w:val="20"/>
                              </w:rPr>
                              <m:t>y</m:t>
                            </m:r>
                          </m:e>
                          <m:sub>
                            <m:r>
                              <m:rPr>
                                <m:sty m:val="b"/>
                              </m:rPr>
                              <w:rPr>
                                <w:rFonts w:ascii="Cambria Math" w:hAnsi="Cambria Math"/>
                                <w:sz w:val="20"/>
                              </w:rPr>
                              <m:t>t-p</m:t>
                            </m:r>
                          </m:sub>
                        </m:sSub>
                      </m:e>
                    </m:mr>
                    <m:mr>
                      <m:e>
                        <m:sSub>
                          <m:sSubPr>
                            <m:ctrlPr>
                              <w:rPr>
                                <w:rFonts w:ascii="Cambria Math" w:hAnsi="Cambria Math"/>
                                <w:sz w:val="20"/>
                              </w:rPr>
                            </m:ctrlPr>
                          </m:sSubPr>
                          <m:e>
                            <m:r>
                              <m:rPr>
                                <m:sty m:val="bi"/>
                              </m:rPr>
                              <w:rPr>
                                <w:rFonts w:ascii="Cambria Math" w:hAnsi="Cambria Math"/>
                                <w:sz w:val="20"/>
                              </w:rPr>
                              <m:t>f</m:t>
                            </m:r>
                          </m:e>
                          <m:sub>
                            <m:r>
                              <m:rPr>
                                <m:sty m:val="bi"/>
                              </m:rPr>
                              <w:rPr>
                                <w:rFonts w:ascii="Cambria Math" w:hAnsi="Cambria Math"/>
                                <w:sz w:val="20"/>
                              </w:rPr>
                              <m:t>t</m:t>
                            </m:r>
                            <m:r>
                              <m:rPr>
                                <m:sty m:val="b"/>
                              </m:rPr>
                              <w:rPr>
                                <w:rFonts w:ascii="Cambria Math" w:hAnsi="Cambria Math"/>
                                <w:sz w:val="20"/>
                              </w:rPr>
                              <m:t>-</m:t>
                            </m:r>
                            <m:r>
                              <m:rPr>
                                <m:sty m:val="bi"/>
                              </m:rPr>
                              <w:rPr>
                                <w:rFonts w:ascii="Cambria Math" w:hAnsi="Cambria Math"/>
                                <w:sz w:val="20"/>
                              </w:rPr>
                              <m:t>p</m:t>
                            </m:r>
                          </m:sub>
                        </m:sSub>
                      </m:e>
                    </m:mr>
                  </m:m>
                </m:e>
              </m:d>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ϵ</m:t>
                  </m:r>
                </m:e>
                <m:sub>
                  <m:r>
                    <m:rPr>
                      <m:sty m:val="bi"/>
                    </m:rPr>
                    <w:rPr>
                      <w:rFonts w:ascii="Cambria Math" w:hAnsi="Cambria Math"/>
                      <w:sz w:val="20"/>
                    </w:rPr>
                    <m:t>t</m:t>
                  </m:r>
                </m:sub>
              </m:sSub>
              <m:r>
                <m:rPr>
                  <m:sty m:val="b"/>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11</m:t>
                  </m:r>
                  <m:r>
                    <m:rPr>
                      <m:sty m:val="b"/>
                    </m:rPr>
                    <w:rPr>
                      <w:rFonts w:ascii="Cambria Math" w:hAnsi="Cambria Math"/>
                      <w:sz w:val="20"/>
                    </w:rPr>
                    <w:fldChar w:fldCharType="end"/>
                  </m:r>
                </m:e>
              </m:d>
            </m:e>
          </m:eqArr>
        </m:oMath>
      </m:oMathPara>
    </w:p>
    <w:p w14:paraId="27EDF7D6" w14:textId="79DB235C" w:rsidR="00106E5C" w:rsidRPr="00BB2078" w:rsidRDefault="00000000" w:rsidP="00BB2078">
      <w:pPr>
        <w:pStyle w:val="Caption"/>
        <w:rPr>
          <w:i/>
          <w:iCs/>
          <w:sz w:val="20"/>
        </w:rPr>
      </w:pPr>
      <m:oMath>
        <m:eqArr>
          <m:eqArrPr>
            <m:maxDist m:val="1"/>
            <m:ctrlPr>
              <w:rPr>
                <w:rFonts w:ascii="Cambria Math" w:hAnsi="Cambria Math"/>
                <w:i/>
                <w:iCs/>
                <w:sz w:val="20"/>
              </w:rPr>
            </m:ctrlPr>
          </m:eqArrPr>
          <m:e>
            <m:sSub>
              <m:sSubPr>
                <m:ctrlPr>
                  <w:rPr>
                    <w:rFonts w:ascii="Cambria Math" w:hAnsi="Cambria Math"/>
                    <w:i/>
                    <w:iCs/>
                    <w:sz w:val="20"/>
                  </w:rPr>
                </m:ctrlPr>
              </m:sSubPr>
              <m:e>
                <m:r>
                  <m:rPr>
                    <m:sty m:val="bi"/>
                  </m:rPr>
                  <w:rPr>
                    <w:rFonts w:ascii="Cambria Math" w:hAnsi="Cambria Math"/>
                    <w:sz w:val="20"/>
                  </w:rPr>
                  <m:t>λ</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iCs/>
                    <w:sz w:val="20"/>
                  </w:rPr>
                </m:ctrlPr>
              </m:sSubPr>
              <m:e>
                <m:r>
                  <m:rPr>
                    <m:sty m:val="bi"/>
                  </m:rPr>
                  <w:rPr>
                    <w:rFonts w:ascii="Cambria Math" w:hAnsi="Cambria Math"/>
                    <w:sz w:val="20"/>
                  </w:rPr>
                  <m:t>λ</m:t>
                </m:r>
                <m:ctrlPr>
                  <w:rPr>
                    <w:rFonts w:ascii="Cambria Math" w:hAnsi="Cambria Math"/>
                    <w:i/>
                    <w:sz w:val="20"/>
                  </w:rPr>
                </m:ctrlPr>
              </m:e>
              <m:sub>
                <m:r>
                  <m:rPr>
                    <m:sty m:val="bi"/>
                  </m:rPr>
                  <w:rPr>
                    <w:rFonts w:ascii="Cambria Math" w:hAnsi="Cambria Math"/>
                    <w:sz w:val="20"/>
                  </w:rPr>
                  <m:t>t-1</m:t>
                </m:r>
              </m:sub>
            </m:sSub>
            <m:r>
              <m:rPr>
                <m:sty m:val="bi"/>
              </m:rPr>
              <w:rPr>
                <w:rFonts w:ascii="Cambria Math" w:hAnsi="Cambria Math"/>
                <w:sz w:val="20"/>
              </w:rPr>
              <m:t>+</m:t>
            </m:r>
            <m:sSub>
              <m:sSubPr>
                <m:ctrlPr>
                  <w:rPr>
                    <w:rFonts w:ascii="Cambria Math" w:hAnsi="Cambria Math"/>
                    <w:i/>
                    <w:iCs/>
                    <w:sz w:val="20"/>
                  </w:rPr>
                </m:ctrlPr>
              </m:sSubPr>
              <m:e>
                <m:r>
                  <m:rPr>
                    <m:sty m:val="bi"/>
                  </m:rPr>
                  <w:rPr>
                    <w:rFonts w:ascii="Cambria Math" w:hAnsi="Cambria Math"/>
                    <w:sz w:val="20"/>
                  </w:rPr>
                  <m:t>θ</m:t>
                </m:r>
                <m:ctrlPr>
                  <w:rPr>
                    <w:rFonts w:ascii="Cambria Math" w:hAnsi="Cambria Math"/>
                    <w:i/>
                    <w:sz w:val="20"/>
                  </w:rPr>
                </m:ctrlPr>
              </m:e>
              <m:sub>
                <m:r>
                  <m:rPr>
                    <m:sty m:val="bi"/>
                  </m:rPr>
                  <w:rPr>
                    <w:rFonts w:ascii="Cambria Math" w:hAnsi="Cambria Math"/>
                    <w:sz w:val="20"/>
                  </w:rPr>
                  <m:t>t</m:t>
                </m:r>
              </m:sub>
            </m:sSub>
            <m:r>
              <m:rPr>
                <m:sty m:val="bi"/>
              </m:rPr>
              <w:rPr>
                <w:rFonts w:ascii="Cambria Math" w:hAnsi="Cambria Math"/>
                <w:sz w:val="20"/>
              </w:rPr>
              <m:t>#</m:t>
            </m:r>
            <m:d>
              <m:dPr>
                <m:ctrlPr>
                  <w:rPr>
                    <w:rFonts w:ascii="Cambria Math" w:hAnsi="Cambria Math"/>
                    <w:i/>
                    <w:iCs/>
                    <w:sz w:val="20"/>
                  </w:rPr>
                </m:ctrlPr>
              </m:dPr>
              <m:e>
                <m:r>
                  <m:rPr>
                    <m:sty m:val="bi"/>
                  </m:rPr>
                  <w:rPr>
                    <w:rFonts w:ascii="Cambria Math" w:hAnsi="Cambria Math"/>
                    <w:i/>
                    <w:iCs/>
                    <w:sz w:val="20"/>
                  </w:rPr>
                  <w:fldChar w:fldCharType="begin"/>
                </m:r>
                <m:r>
                  <m:rPr>
                    <m:sty m:val="b"/>
                  </m:rPr>
                  <w:rPr>
                    <w:rFonts w:ascii="Cambria Math" w:hAnsi="Cambria Math"/>
                    <w:sz w:val="20"/>
                  </w:rPr>
                  <m:t xml:space="preserve"> SEQ Equation \* ARABIC </m:t>
                </m:r>
                <m:r>
                  <m:rPr>
                    <m:sty m:val="bi"/>
                  </m:rPr>
                  <w:rPr>
                    <w:rFonts w:ascii="Cambria Math" w:hAnsi="Cambria Math"/>
                    <w:i/>
                    <w:iCs/>
                    <w:sz w:val="20"/>
                  </w:rPr>
                  <w:fldChar w:fldCharType="separate"/>
                </m:r>
                <m:r>
                  <m:rPr>
                    <m:sty m:val="b"/>
                  </m:rPr>
                  <w:rPr>
                    <w:rFonts w:ascii="Cambria Math" w:hAnsi="Cambria Math"/>
                    <w:noProof/>
                    <w:sz w:val="20"/>
                  </w:rPr>
                  <m:t>12</m:t>
                </m:r>
                <m:r>
                  <m:rPr>
                    <m:sty m:val="bi"/>
                  </m:rPr>
                  <w:rPr>
                    <w:rFonts w:ascii="Cambria Math" w:hAnsi="Cambria Math"/>
                    <w:i/>
                    <w:iCs/>
                    <w:sz w:val="20"/>
                  </w:rPr>
                  <w:fldChar w:fldCharType="end"/>
                </m:r>
              </m:e>
            </m:d>
          </m:e>
        </m:eqArr>
      </m:oMath>
      <w:r w:rsidR="00106E5C" w:rsidRPr="00BB2078">
        <w:rPr>
          <w:i/>
          <w:iCs/>
          <w:sz w:val="20"/>
        </w:rPr>
        <w:t xml:space="preserve"> </w:t>
      </w:r>
    </w:p>
    <w:p w14:paraId="7D4140E9" w14:textId="69FE8D4E" w:rsidR="00106E5C" w:rsidRPr="00BB2078" w:rsidRDefault="00000000" w:rsidP="00BB2078">
      <w:pPr>
        <w:pStyle w:val="Caption"/>
        <w:rPr>
          <w:i/>
          <w:iCs/>
          <w:sz w:val="20"/>
        </w:rPr>
      </w:pPr>
      <m:oMath>
        <m:eqArr>
          <m:eqArrPr>
            <m:maxDist m:val="1"/>
            <m:ctrlPr>
              <w:rPr>
                <w:rFonts w:ascii="Cambria Math" w:hAnsi="Cambria Math"/>
                <w:i/>
                <w:iCs/>
                <w:sz w:val="20"/>
              </w:rPr>
            </m:ctrlPr>
          </m:eqArrPr>
          <m:e>
            <m:sSub>
              <m:sSubPr>
                <m:ctrlPr>
                  <w:rPr>
                    <w:rFonts w:ascii="Cambria Math" w:hAnsi="Cambria Math"/>
                    <w:i/>
                    <w:iCs/>
                    <w:sz w:val="20"/>
                  </w:rPr>
                </m:ctrlPr>
              </m:sSubPr>
              <m:e>
                <m:r>
                  <m:rPr>
                    <m:sty m:val="bi"/>
                  </m:rPr>
                  <w:rPr>
                    <w:rFonts w:ascii="Cambria Math" w:hAnsi="Cambria Math"/>
                    <w:sz w:val="20"/>
                  </w:rPr>
                  <m:t>β</m:t>
                </m:r>
              </m:e>
              <m:sub>
                <m:r>
                  <m:rPr>
                    <m:sty m:val="bi"/>
                  </m:rPr>
                  <w:rPr>
                    <w:rFonts w:ascii="Cambria Math" w:hAnsi="Cambria Math"/>
                    <w:sz w:val="20"/>
                  </w:rPr>
                  <m:t>t</m:t>
                </m:r>
              </m:sub>
            </m:sSub>
            <m:r>
              <m:rPr>
                <m:sty m:val="bi"/>
              </m:rPr>
              <w:rPr>
                <w:rFonts w:ascii="Cambria Math" w:hAnsi="Cambria Math"/>
                <w:sz w:val="20"/>
              </w:rPr>
              <m:t>=</m:t>
            </m:r>
            <m:sSub>
              <m:sSubPr>
                <m:ctrlPr>
                  <w:rPr>
                    <w:rFonts w:ascii="Cambria Math" w:hAnsi="Cambria Math"/>
                    <w:i/>
                    <w:iCs/>
                    <w:sz w:val="20"/>
                  </w:rPr>
                </m:ctrlPr>
              </m:sSubPr>
              <m:e>
                <m:r>
                  <m:rPr>
                    <m:sty m:val="bi"/>
                  </m:rPr>
                  <w:rPr>
                    <w:rFonts w:ascii="Cambria Math" w:hAnsi="Cambria Math"/>
                    <w:sz w:val="20"/>
                  </w:rPr>
                  <m:t>β</m:t>
                </m:r>
                <m:ctrlPr>
                  <w:rPr>
                    <w:rFonts w:ascii="Cambria Math" w:hAnsi="Cambria Math"/>
                    <w:i/>
                    <w:sz w:val="20"/>
                  </w:rPr>
                </m:ctrlPr>
              </m:e>
              <m:sub>
                <m:r>
                  <m:rPr>
                    <m:sty m:val="bi"/>
                  </m:rPr>
                  <w:rPr>
                    <w:rFonts w:ascii="Cambria Math" w:hAnsi="Cambria Math"/>
                    <w:sz w:val="20"/>
                  </w:rPr>
                  <m:t>t-1</m:t>
                </m:r>
              </m:sub>
            </m:sSub>
            <m:r>
              <m:rPr>
                <m:sty m:val="bi"/>
              </m:rPr>
              <w:rPr>
                <w:rFonts w:ascii="Cambria Math" w:hAnsi="Cambria Math"/>
                <w:sz w:val="20"/>
              </w:rPr>
              <m:t>+</m:t>
            </m:r>
            <m:sSub>
              <m:sSubPr>
                <m:ctrlPr>
                  <w:rPr>
                    <w:rFonts w:ascii="Cambria Math" w:hAnsi="Cambria Math"/>
                    <w:i/>
                    <w:iCs/>
                    <w:sz w:val="20"/>
                  </w:rPr>
                </m:ctrlPr>
              </m:sSubPr>
              <m:e>
                <m:r>
                  <m:rPr>
                    <m:sty m:val="bi"/>
                  </m:rPr>
                  <w:rPr>
                    <w:rFonts w:ascii="Cambria Math" w:hAnsi="Cambria Math"/>
                    <w:sz w:val="20"/>
                  </w:rPr>
                  <m:t>η</m:t>
                </m:r>
                <m:ctrlPr>
                  <w:rPr>
                    <w:rFonts w:ascii="Cambria Math" w:hAnsi="Cambria Math"/>
                    <w:i/>
                    <w:sz w:val="20"/>
                  </w:rPr>
                </m:ctrlPr>
              </m:e>
              <m:sub>
                <m:r>
                  <m:rPr>
                    <m:sty m:val="bi"/>
                  </m:rPr>
                  <w:rPr>
                    <w:rFonts w:ascii="Cambria Math" w:hAnsi="Cambria Math"/>
                    <w:sz w:val="20"/>
                  </w:rPr>
                  <m:t>t</m:t>
                </m:r>
              </m:sub>
            </m:sSub>
            <m:r>
              <m:rPr>
                <m:sty m:val="bi"/>
              </m:rPr>
              <w:rPr>
                <w:rFonts w:ascii="Cambria Math" w:hAnsi="Cambria Math"/>
                <w:sz w:val="20"/>
              </w:rPr>
              <m:t>#</m:t>
            </m:r>
            <m:d>
              <m:dPr>
                <m:ctrlPr>
                  <w:rPr>
                    <w:rFonts w:ascii="Cambria Math" w:hAnsi="Cambria Math"/>
                    <w:i/>
                    <w:iCs/>
                    <w:sz w:val="20"/>
                  </w:rPr>
                </m:ctrlPr>
              </m:dPr>
              <m:e>
                <m:r>
                  <m:rPr>
                    <m:sty m:val="bi"/>
                  </m:rPr>
                  <w:rPr>
                    <w:rFonts w:ascii="Cambria Math" w:hAnsi="Cambria Math"/>
                    <w:i/>
                    <w:iCs/>
                    <w:sz w:val="20"/>
                  </w:rPr>
                  <w:fldChar w:fldCharType="begin"/>
                </m:r>
                <m:r>
                  <m:rPr>
                    <m:sty m:val="b"/>
                  </m:rPr>
                  <w:rPr>
                    <w:rFonts w:ascii="Cambria Math" w:hAnsi="Cambria Math"/>
                    <w:sz w:val="20"/>
                  </w:rPr>
                  <m:t xml:space="preserve"> SEQ Equation \* ARABIC </m:t>
                </m:r>
                <m:r>
                  <m:rPr>
                    <m:sty m:val="bi"/>
                  </m:rPr>
                  <w:rPr>
                    <w:rFonts w:ascii="Cambria Math" w:hAnsi="Cambria Math"/>
                    <w:i/>
                    <w:iCs/>
                    <w:sz w:val="20"/>
                  </w:rPr>
                  <w:fldChar w:fldCharType="separate"/>
                </m:r>
                <m:r>
                  <m:rPr>
                    <m:sty m:val="b"/>
                  </m:rPr>
                  <w:rPr>
                    <w:rFonts w:ascii="Cambria Math" w:hAnsi="Cambria Math"/>
                    <w:noProof/>
                    <w:sz w:val="20"/>
                  </w:rPr>
                  <m:t>13</m:t>
                </m:r>
                <m:r>
                  <m:rPr>
                    <m:sty m:val="bi"/>
                  </m:rPr>
                  <w:rPr>
                    <w:rFonts w:ascii="Cambria Math" w:hAnsi="Cambria Math"/>
                    <w:i/>
                    <w:iCs/>
                    <w:sz w:val="20"/>
                  </w:rPr>
                  <w:fldChar w:fldCharType="end"/>
                </m:r>
              </m:e>
            </m:d>
          </m:e>
        </m:eqArr>
      </m:oMath>
      <w:r w:rsidR="00106E5C" w:rsidRPr="00BB2078">
        <w:rPr>
          <w:i/>
          <w:iCs/>
          <w:sz w:val="20"/>
        </w:rPr>
        <w:t xml:space="preserve"> </w:t>
      </w:r>
    </w:p>
    <w:p w14:paraId="1B6E7408" w14:textId="080453AD" w:rsidR="001C32C5" w:rsidRDefault="00402976" w:rsidP="001B2444">
      <w:pPr>
        <w:ind w:firstLine="284"/>
      </w:pPr>
      <w:r w:rsidRPr="00BB2078">
        <w:t xml:space="preserve">where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BB2078">
        <w:t xml:space="preserve"> is an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×1</m:t>
        </m:r>
      </m:oMath>
      <w:r w:rsidRPr="00BB2078">
        <w:t xml:space="preserve"> vector of financial variables, with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=17</m:t>
        </m:r>
      </m:oMath>
      <w:r w:rsidRPr="00BB2078">
        <w:t xml:space="preserve">. </w:t>
      </w:r>
      <w:r w:rsidR="001B2444" w:rsidRPr="00BB2078">
        <w:t>These</w:t>
      </w:r>
      <w:r w:rsidR="001B2444">
        <w:t xml:space="preserve"> include interest rate spreads, </w:t>
      </w:r>
      <w:r w:rsidR="001B2444" w:rsidRPr="001B2444">
        <w:t>mortgage</w:t>
      </w:r>
      <w:r w:rsidR="001B2444">
        <w:t xml:space="preserve"> </w:t>
      </w:r>
      <w:r w:rsidR="001B2444" w:rsidRPr="001B2444">
        <w:t>rates</w:t>
      </w:r>
      <w:r w:rsidR="001B2444">
        <w:t xml:space="preserve">, </w:t>
      </w:r>
      <w:r w:rsidR="001B2444" w:rsidRPr="001B2444">
        <w:t>government bond</w:t>
      </w:r>
      <w:r w:rsidR="001B2444">
        <w:t xml:space="preserve"> rates, the </w:t>
      </w:r>
      <w:r w:rsidR="001B2444" w:rsidRPr="001B2444">
        <w:t>level</w:t>
      </w:r>
      <w:r w:rsidR="001B2444">
        <w:t>,</w:t>
      </w:r>
      <w:r w:rsidR="001B2444" w:rsidRPr="001B2444">
        <w:t xml:space="preserve"> slope</w:t>
      </w:r>
      <w:r w:rsidR="001B2444">
        <w:t xml:space="preserve"> and</w:t>
      </w:r>
      <w:r w:rsidR="001B2444" w:rsidRPr="001B2444">
        <w:t xml:space="preserve"> curvature</w:t>
      </w:r>
      <w:r w:rsidR="001B2444">
        <w:t xml:space="preserve"> of the </w:t>
      </w:r>
      <w:r w:rsidR="001B2444" w:rsidRPr="001B2444">
        <w:t>yield curve</w:t>
      </w:r>
      <w:r w:rsidR="001B2444">
        <w:t xml:space="preserve">, the </w:t>
      </w:r>
      <w:r w:rsidR="001B2444" w:rsidRPr="001B2444">
        <w:t>return on equity</w:t>
      </w:r>
      <w:r w:rsidR="001B2444">
        <w:t xml:space="preserve"> (RoE)</w:t>
      </w:r>
      <w:r w:rsidR="001B2444" w:rsidRPr="001B2444">
        <w:t xml:space="preserve"> </w:t>
      </w:r>
      <w:r w:rsidR="001B2444">
        <w:t xml:space="preserve">of banks and so on. </w:t>
      </w:r>
      <w:r>
        <w:t xml:space="preserve">The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402976">
        <w:t xml:space="preserve"> is </w:t>
      </w:r>
      <w:r>
        <w:t xml:space="preserve">an </w:t>
      </w:r>
      <m:oMath>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×1</m:t>
        </m:r>
      </m:oMath>
      <w:r>
        <w:t xml:space="preserve"> vector of </w:t>
      </w:r>
      <w:r w:rsidR="00106E5C">
        <w:t xml:space="preserve">macro variables. In our model we included the </w:t>
      </w:r>
      <w:r w:rsidR="00106E5C" w:rsidRPr="00106E5C">
        <w:t>consumer price index</w:t>
      </w:r>
      <w:r w:rsidR="00106E5C">
        <w:t xml:space="preserve"> (CPI), real GDP growth and the </w:t>
      </w:r>
      <w:r w:rsidR="00106E5C" w:rsidRPr="00106E5C">
        <w:t>monetary policy rate</w:t>
      </w:r>
      <w:r w:rsidR="00106E5C">
        <w:t xml:space="preserve">. In our design matrix </w:t>
      </w:r>
      <m:oMath>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y</m:t>
            </m:r>
          </m:sup>
        </m:sSubSup>
      </m:oMath>
      <w:r w:rsidR="00106E5C" w:rsidRPr="00106E5C">
        <w:t xml:space="preserve"> is a vector of </w:t>
      </w:r>
      <w:r w:rsidR="00106E5C">
        <w:t xml:space="preserve">regression coefficients, while </w:t>
      </w:r>
      <m:oMath>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f</m:t>
            </m:r>
          </m:sup>
        </m:sSubSup>
      </m:oMath>
      <w:r w:rsidR="00106E5C" w:rsidRPr="00106E5C">
        <w:t xml:space="preserve"> </w:t>
      </w:r>
      <w:r w:rsidR="00106E5C" w:rsidRPr="00106E5C">
        <w:lastRenderedPageBreak/>
        <w:t xml:space="preserve">is a vector of </w:t>
      </w:r>
      <w:r w:rsidR="00106E5C">
        <w:t xml:space="preserve">factor loadings. In the state </w:t>
      </w:r>
      <w:r w:rsidR="00106E5C" w:rsidRPr="00106E5C">
        <w:t>equation</w:t>
      </w:r>
      <w:r w:rsidR="00106E5C">
        <w:t xml:space="preserve"> we have the latent factor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00106E5C">
        <w:t xml:space="preserve"> interpreted as the FCI.</w:t>
      </w:r>
      <w:r w:rsidR="00CB280A">
        <w:t xml:space="preserve"> The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00CB280A">
        <w:t xml:space="preserve"> is a vector</w:t>
      </w:r>
      <w:r w:rsidR="00F959A5">
        <w:t xml:space="preserve"> of </w:t>
      </w:r>
      <w:r w:rsidR="00CB280A">
        <w:t xml:space="preserve">intercepts, while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w:rPr>
                <w:rFonts w:ascii="Cambria Math" w:hAnsi="Cambria Math"/>
              </w:rPr>
              <m:t>t</m:t>
            </m:r>
            <m:r>
              <m:rPr>
                <m:sty m:val="p"/>
              </m:rPr>
              <w:rPr>
                <w:rFonts w:ascii="Cambria Math" w:hAnsi="Cambria Math"/>
              </w:rPr>
              <m:t>,p</m:t>
            </m:r>
          </m:sub>
        </m:sSub>
        <m:r>
          <m:rPr>
            <m:sty m:val="p"/>
          </m:rPr>
          <w:rPr>
            <w:rFonts w:ascii="Cambria Math" w:hAnsi="Cambria Math"/>
          </w:rPr>
          <m:t>)</m:t>
        </m:r>
      </m:oMath>
      <w:r w:rsidR="00CB280A">
        <w:t xml:space="preserve"> are </w:t>
      </w:r>
      <w:r w:rsidR="00CB280A" w:rsidRPr="00CB280A">
        <w:t>matrices</w:t>
      </w:r>
      <w:r w:rsidR="00CB280A">
        <w:t xml:space="preserve"> of </w:t>
      </w:r>
      <w:r w:rsidR="00CB280A" w:rsidRPr="00CB280A">
        <w:t>VAR coefficients</w:t>
      </w:r>
      <w:r w:rsidR="00CB280A">
        <w:t>.</w:t>
      </w:r>
      <w:r w:rsidR="00E67522">
        <w:t xml:space="preserve"> We use </w:t>
      </w:r>
      <m:oMath>
        <m:sSub>
          <m:sSubPr>
            <m:ctrlPr>
              <w:rPr>
                <w:rFonts w:ascii="Cambria Math" w:hAnsi="Cambria Math"/>
                <w:i/>
                <w:iCs/>
              </w:rPr>
            </m:ctrlPr>
          </m:sSubPr>
          <m:e>
            <m:r>
              <w:rPr>
                <w:rFonts w:ascii="Cambria Math" w:hAnsi="Cambria Math"/>
              </w:rPr>
              <m:t>λ</m:t>
            </m:r>
          </m:e>
          <m:sub>
            <m:r>
              <w:rPr>
                <w:rFonts w:ascii="Cambria Math" w:hAnsi="Cambria Math"/>
              </w:rPr>
              <m:t>t</m:t>
            </m:r>
          </m:sub>
        </m:sSub>
        <m:r>
          <w:rPr>
            <w:rFonts w:ascii="Cambria Math" w:hAnsi="Cambria Math"/>
          </w:rPr>
          <m:t>=</m:t>
        </m:r>
        <m:sSup>
          <m:sSupPr>
            <m:ctrlPr>
              <w:rPr>
                <w:rFonts w:ascii="Cambria Math" w:hAnsi="Cambria Math"/>
                <w:i/>
                <w:iCs/>
              </w:rPr>
            </m:ctrlPr>
          </m:sSupPr>
          <m:e>
            <m:d>
              <m:dPr>
                <m:ctrlPr>
                  <w:rPr>
                    <w:rFonts w:ascii="Cambria Math" w:hAnsi="Cambria Math"/>
                    <w:i/>
                    <w:iCs/>
                  </w:rPr>
                </m:ctrlPr>
              </m:dPr>
              <m:e>
                <m:sSup>
                  <m:sSupPr>
                    <m:ctrlPr>
                      <w:rPr>
                        <w:rFonts w:ascii="Cambria Math" w:hAnsi="Cambria Math"/>
                        <w:i/>
                        <w:iCs/>
                      </w:rPr>
                    </m:ctrlPr>
                  </m:sSupPr>
                  <m:e>
                    <m:d>
                      <m:dPr>
                        <m:ctrlPr>
                          <w:rPr>
                            <w:rFonts w:ascii="Cambria Math" w:hAnsi="Cambria Math"/>
                            <w:i/>
                            <w:iCs/>
                          </w:rPr>
                        </m:ctrlPr>
                      </m:dPr>
                      <m:e>
                        <m:sSubSup>
                          <m:sSubSupPr>
                            <m:ctrlPr>
                              <w:rPr>
                                <w:rFonts w:ascii="Cambria Math" w:hAnsi="Cambria Math"/>
                                <w:i/>
                                <w:iCs/>
                              </w:rPr>
                            </m:ctrlPr>
                          </m:sSubSupPr>
                          <m:e>
                            <m:r>
                              <w:rPr>
                                <w:rFonts w:ascii="Cambria Math" w:hAnsi="Cambria Math"/>
                              </w:rPr>
                              <m:t>λ</m:t>
                            </m:r>
                          </m:e>
                          <m:sub>
                            <m:r>
                              <w:rPr>
                                <w:rFonts w:ascii="Cambria Math" w:hAnsi="Cambria Math"/>
                              </w:rPr>
                              <m:t>t</m:t>
                            </m:r>
                          </m:sub>
                          <m:sup>
                            <m:r>
                              <w:rPr>
                                <w:rFonts w:ascii="Cambria Math" w:hAnsi="Cambria Math"/>
                              </w:rPr>
                              <m:t>y</m:t>
                            </m:r>
                          </m:sup>
                        </m:sSubSup>
                      </m:e>
                    </m:d>
                  </m:e>
                  <m:sup>
                    <m:r>
                      <w:rPr>
                        <w:rFonts w:ascii="Cambria Math" w:hAnsi="Cambria Math"/>
                      </w:rPr>
                      <m:t>T</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sSubSup>
                          <m:sSubSupPr>
                            <m:ctrlPr>
                              <w:rPr>
                                <w:rFonts w:ascii="Cambria Math" w:hAnsi="Cambria Math"/>
                                <w:i/>
                                <w:iCs/>
                              </w:rPr>
                            </m:ctrlPr>
                          </m:sSubSupPr>
                          <m:e>
                            <m:r>
                              <w:rPr>
                                <w:rFonts w:ascii="Cambria Math" w:hAnsi="Cambria Math"/>
                              </w:rPr>
                              <m:t>λ</m:t>
                            </m:r>
                          </m:e>
                          <m:sub>
                            <m:r>
                              <w:rPr>
                                <w:rFonts w:ascii="Cambria Math" w:hAnsi="Cambria Math"/>
                              </w:rPr>
                              <m:t>t</m:t>
                            </m:r>
                          </m:sub>
                          <m:sup>
                            <m:r>
                              <w:rPr>
                                <w:rFonts w:ascii="Cambria Math" w:hAnsi="Cambria Math"/>
                              </w:rPr>
                              <m:t>f</m:t>
                            </m:r>
                          </m:sup>
                        </m:sSubSup>
                      </m:e>
                    </m:d>
                  </m:e>
                  <m:sup>
                    <m:r>
                      <w:rPr>
                        <w:rFonts w:ascii="Cambria Math" w:hAnsi="Cambria Math"/>
                      </w:rPr>
                      <m:t>T</m:t>
                    </m:r>
                  </m:sup>
                </m:sSup>
              </m:e>
            </m:d>
          </m:e>
          <m:sup>
            <m:r>
              <w:rPr>
                <w:rFonts w:ascii="Cambria Math" w:hAnsi="Cambria Math"/>
              </w:rPr>
              <m:t>T</m:t>
            </m:r>
          </m:sup>
        </m:sSup>
      </m:oMath>
      <w:r w:rsidR="00E67522">
        <w:rPr>
          <w:iCs/>
        </w:rPr>
        <w:t xml:space="preserve">and </w:t>
      </w:r>
      <m:oMath>
        <m:sSub>
          <m:sSubPr>
            <m:ctrlPr>
              <w:rPr>
                <w:rFonts w:ascii="Cambria Math" w:hAnsi="Cambria Math"/>
                <w:i/>
                <w:iCs/>
              </w:rPr>
            </m:ctrlPr>
          </m:sSubPr>
          <m:e>
            <m:r>
              <w:rPr>
                <w:rFonts w:ascii="Cambria Math" w:hAnsi="Cambria Math"/>
              </w:rPr>
              <m:t>β</m:t>
            </m:r>
          </m:e>
          <m:sub>
            <m:r>
              <w:rPr>
                <w:rFonts w:ascii="Cambria Math" w:hAnsi="Cambria Math"/>
              </w:rPr>
              <m:t>t</m:t>
            </m:r>
          </m:sub>
        </m:sSub>
        <m:r>
          <w:rPr>
            <w:rFonts w:ascii="Cambria Math" w:hAnsi="Cambria Math"/>
          </w:rPr>
          <m:t>=</m:t>
        </m:r>
        <m:sSup>
          <m:sSupPr>
            <m:ctrlPr>
              <w:rPr>
                <w:rFonts w:ascii="Cambria Math" w:hAnsi="Cambria Math"/>
                <w:i/>
                <w:iCs/>
              </w:rPr>
            </m:ctrlPr>
          </m:sSupPr>
          <m:e>
            <m:d>
              <m:dPr>
                <m:ctrlPr>
                  <w:rPr>
                    <w:rFonts w:ascii="Cambria Math" w:hAnsi="Cambria Math"/>
                    <w:i/>
                    <w:iCs/>
                  </w:rPr>
                </m:ctrlPr>
              </m:dPr>
              <m:e>
                <m:sSubSup>
                  <m:sSubSupPr>
                    <m:ctrlPr>
                      <w:rPr>
                        <w:rFonts w:ascii="Cambria Math" w:hAnsi="Cambria Math"/>
                        <w:i/>
                        <w:iCs/>
                      </w:rPr>
                    </m:ctrlPr>
                  </m:sSubSupPr>
                  <m:e>
                    <m:r>
                      <w:rPr>
                        <w:rFonts w:ascii="Cambria Math" w:hAnsi="Cambria Math"/>
                      </w:rPr>
                      <m:t>c</m:t>
                    </m:r>
                  </m:e>
                  <m:sub>
                    <m:r>
                      <w:rPr>
                        <w:rFonts w:ascii="Cambria Math" w:hAnsi="Cambria Math"/>
                      </w:rPr>
                      <m:t>t</m:t>
                    </m:r>
                  </m:sub>
                  <m:sup>
                    <m:r>
                      <w:rPr>
                        <w:rFonts w:ascii="Cambria Math" w:hAnsi="Cambria Math"/>
                      </w:rPr>
                      <m:t>T</m:t>
                    </m:r>
                  </m:sup>
                </m:sSubSup>
                <m:r>
                  <w:rPr>
                    <w:rFonts w:ascii="Cambria Math" w:hAnsi="Cambria Math"/>
                  </w:rPr>
                  <m:t>,vec</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rPr>
                            </m:ctrlPr>
                          </m:sSubPr>
                          <m:e>
                            <m:r>
                              <m:rPr>
                                <m:sty m:val="p"/>
                              </m:rPr>
                              <w:rPr>
                                <w:rFonts w:ascii="Cambria Math" w:hAnsi="Cambria Math"/>
                              </w:rPr>
                              <m:t>Β</m:t>
                            </m:r>
                          </m:e>
                          <m:sub>
                            <m:r>
                              <w:rPr>
                                <w:rFonts w:ascii="Cambria Math" w:hAnsi="Cambria Math"/>
                              </w:rPr>
                              <m:t>t</m:t>
                            </m:r>
                            <m:r>
                              <m:rPr>
                                <m:sty m:val="p"/>
                              </m:rPr>
                              <w:rPr>
                                <w:rFonts w:ascii="Cambria Math" w:hAnsi="Cambria Math"/>
                              </w:rPr>
                              <m:t>,1</m:t>
                            </m:r>
                          </m:sub>
                        </m:sSub>
                      </m:e>
                    </m:d>
                  </m:e>
                  <m:sup>
                    <m:r>
                      <w:rPr>
                        <w:rFonts w:ascii="Cambria Math" w:hAnsi="Cambria Math"/>
                      </w:rPr>
                      <m:t>T</m:t>
                    </m:r>
                  </m:sup>
                </m:sSup>
                <m:r>
                  <w:rPr>
                    <w:rFonts w:ascii="Cambria Math" w:hAnsi="Cambria Math"/>
                  </w:rPr>
                  <m:t>…ec</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rPr>
                            </m:ctrlPr>
                          </m:sSubPr>
                          <m:e>
                            <m:r>
                              <m:rPr>
                                <m:sty m:val="p"/>
                              </m:rPr>
                              <w:rPr>
                                <w:rFonts w:ascii="Cambria Math" w:hAnsi="Cambria Math"/>
                              </w:rPr>
                              <m:t>Β</m:t>
                            </m:r>
                          </m:e>
                          <m:sub>
                            <m:r>
                              <w:rPr>
                                <w:rFonts w:ascii="Cambria Math" w:hAnsi="Cambria Math"/>
                              </w:rPr>
                              <m:t>t</m:t>
                            </m:r>
                            <m:r>
                              <m:rPr>
                                <m:sty m:val="p"/>
                              </m:rPr>
                              <w:rPr>
                                <w:rFonts w:ascii="Cambria Math" w:hAnsi="Cambria Math"/>
                              </w:rPr>
                              <m:t>,p</m:t>
                            </m:r>
                          </m:sub>
                        </m:sSub>
                      </m:e>
                    </m:d>
                  </m:e>
                  <m:sup>
                    <m:r>
                      <w:rPr>
                        <w:rFonts w:ascii="Cambria Math" w:hAnsi="Cambria Math"/>
                      </w:rPr>
                      <m:t>T</m:t>
                    </m:r>
                  </m:sup>
                </m:sSup>
              </m:e>
            </m:d>
          </m:e>
          <m:sup>
            <m:r>
              <w:rPr>
                <w:rFonts w:ascii="Cambria Math" w:hAnsi="Cambria Math"/>
              </w:rPr>
              <m:t>T</m:t>
            </m:r>
          </m:sup>
        </m:sSup>
      </m:oMath>
      <w:r w:rsidR="00E67522">
        <w:rPr>
          <w:iCs/>
        </w:rPr>
        <w:t xml:space="preserve"> to track the </w:t>
      </w:r>
      <w:r w:rsidR="00E67522" w:rsidRPr="009566AF">
        <w:t>time-varying</w:t>
      </w:r>
      <w:r w:rsidR="00E67522">
        <w:rPr>
          <w:iCs/>
        </w:rPr>
        <w:t xml:space="preserve"> </w:t>
      </w:r>
      <w:r w:rsidR="00E67522" w:rsidRPr="00E67522">
        <w:rPr>
          <w:iCs/>
        </w:rPr>
        <w:t>properties</w:t>
      </w:r>
      <w:r w:rsidR="00E67522">
        <w:rPr>
          <w:iCs/>
        </w:rPr>
        <w:t xml:space="preserve"> of the </w:t>
      </w:r>
      <w:r w:rsidR="00E67522" w:rsidRPr="00E67522">
        <w:rPr>
          <w:iCs/>
        </w:rPr>
        <w:t>parameters</w:t>
      </w:r>
      <w:r w:rsidR="00E67522">
        <w:rPr>
          <w:iCs/>
        </w:rPr>
        <w:t>.</w:t>
      </w:r>
      <w:r w:rsidR="00E67522">
        <w:t xml:space="preserve"> Finally, the error terms </w:t>
      </w:r>
      <m:oMath>
        <m:sSub>
          <m:sSubPr>
            <m:ctrlPr>
              <w:rPr>
                <w:rFonts w:ascii="Cambria Math" w:hAnsi="Cambria Math"/>
              </w:rPr>
            </m:ctrlPr>
          </m:sSubPr>
          <m:e>
            <m:r>
              <w:rPr>
                <w:rFonts w:ascii="Cambria Math" w:hAnsi="Cambria Math"/>
              </w:rPr>
              <m:t>v</m:t>
            </m:r>
          </m:e>
          <m:sub>
            <m:r>
              <w:rPr>
                <w:rFonts w:ascii="Cambria Math" w:hAnsi="Cambria Math"/>
              </w:rPr>
              <m:t>t</m:t>
            </m:r>
          </m:sub>
        </m:sSub>
      </m:oMath>
      <w:r w:rsidR="00CB280A">
        <w:t>,</w:t>
      </w:r>
      <w:r w:rsidR="00CB280A" w:rsidRPr="00CB280A">
        <w:t xml:space="preserve"> </w:t>
      </w:r>
      <m:oMath>
        <m:sSub>
          <m:sSubPr>
            <m:ctrlPr>
              <w:rPr>
                <w:rFonts w:ascii="Cambria Math" w:hAnsi="Cambria Math"/>
              </w:rPr>
            </m:ctrlPr>
          </m:sSubPr>
          <m:e>
            <m:r>
              <w:rPr>
                <w:rFonts w:ascii="Cambria Math" w:hAnsi="Cambria Math"/>
              </w:rPr>
              <m:t>ϵ</m:t>
            </m:r>
          </m:e>
          <m:sub>
            <m:r>
              <w:rPr>
                <w:rFonts w:ascii="Cambria Math" w:hAnsi="Cambria Math"/>
              </w:rPr>
              <m:t>t</m:t>
            </m:r>
          </m:sub>
        </m:sSub>
      </m:oMath>
      <w:r w:rsidR="00CB280A" w:rsidRPr="00CB280A">
        <w:t xml:space="preserve">, </w:t>
      </w:r>
      <m:oMath>
        <m:sSub>
          <m:sSubPr>
            <m:ctrlPr>
              <w:rPr>
                <w:rFonts w:ascii="Cambria Math" w:hAnsi="Cambria Math"/>
              </w:rPr>
            </m:ctrlPr>
          </m:sSubPr>
          <m:e>
            <m:r>
              <w:rPr>
                <w:rFonts w:ascii="Cambria Math" w:hAnsi="Cambria Math"/>
              </w:rPr>
              <m:t>θ</m:t>
            </m:r>
          </m:e>
          <m:sub>
            <m:r>
              <w:rPr>
                <w:rFonts w:ascii="Cambria Math" w:hAnsi="Cambria Math"/>
              </w:rPr>
              <m:t>t</m:t>
            </m:r>
          </m:sub>
        </m:sSub>
      </m:oMath>
      <w:r w:rsidR="00CB280A" w:rsidRPr="00CB280A">
        <w:t xml:space="preserve"> and </w:t>
      </w:r>
      <m:oMath>
        <m:sSub>
          <m:sSubPr>
            <m:ctrlPr>
              <w:rPr>
                <w:rFonts w:ascii="Cambria Math" w:hAnsi="Cambria Math"/>
                <w:i/>
                <w:iCs/>
              </w:rPr>
            </m:ctrlPr>
          </m:sSubPr>
          <m:e>
            <m:r>
              <w:rPr>
                <w:rFonts w:ascii="Cambria Math" w:hAnsi="Cambria Math"/>
              </w:rPr>
              <m:t>η</m:t>
            </m:r>
          </m:e>
          <m:sub>
            <m:r>
              <w:rPr>
                <w:rFonts w:ascii="Cambria Math" w:hAnsi="Cambria Math"/>
              </w:rPr>
              <m:t>t</m:t>
            </m:r>
          </m:sub>
        </m:sSub>
      </m:oMath>
      <w:r w:rsidR="00CB280A">
        <w:rPr>
          <w:iCs/>
        </w:rPr>
        <w:t xml:space="preserve"> are </w:t>
      </w:r>
      <w:r w:rsidR="00CB280A">
        <w:t xml:space="preserve">zero-mean gaussian disturbances. Their covariances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rsidR="00CB280A">
        <w:t xml:space="preserve">,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rsidR="00CB280A">
        <w:t xml:space="preserv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t</m:t>
            </m:r>
          </m:sub>
        </m:sSub>
      </m:oMath>
      <w:r w:rsidR="00CB280A">
        <w:t xml:space="preserve"> and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00CB280A">
        <w:t xml:space="preserve"> may also change over time.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rsidR="00CB280A">
        <w:t xml:space="preserv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t</m:t>
            </m:r>
          </m:sub>
        </m:sSub>
      </m:oMath>
      <w:r w:rsidR="00CB280A">
        <w:t xml:space="preserve"> and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00CB280A">
        <w:t xml:space="preserve"> </w:t>
      </w:r>
      <w:r w:rsidR="00E67522">
        <w:t>are diagonal, thus the disturbance terms are uncorrelated with each other.</w:t>
      </w:r>
    </w:p>
    <w:p w14:paraId="11E4CDCE" w14:textId="50D0E1CE" w:rsidR="001C32C5" w:rsidRDefault="001C32C5" w:rsidP="001C32C5">
      <w:pPr>
        <w:ind w:firstLine="284"/>
      </w:pPr>
      <w:r>
        <w:t xml:space="preserve">To estimate the model a 3-step algorithm is used. First, we initialize the parameters, and estimate the </w:t>
      </w:r>
      <w:r w:rsidRPr="001C32C5">
        <w:t>principal component analysis</w:t>
      </w:r>
      <w:r>
        <w:t xml:space="preserve"> (PCA) based </w:t>
      </w:r>
      <m:oMath>
        <m:sSubSup>
          <m:sSubSupPr>
            <m:ctrlPr>
              <w:rPr>
                <w:rFonts w:ascii="Cambria Math" w:hAnsi="Cambria Math"/>
                <w:i/>
              </w:rPr>
            </m:ctrlPr>
          </m:sSubSupPr>
          <m:e>
            <m:r>
              <w:rPr>
                <w:rFonts w:ascii="Cambria Math" w:hAnsi="Cambria Math"/>
              </w:rPr>
              <m:t>f</m:t>
            </m:r>
            <m:ctrlPr>
              <w:rPr>
                <w:rFonts w:ascii="Cambria Math" w:hAnsi="Cambria Math"/>
                <w:i/>
                <w:iCs/>
              </w:rPr>
            </m:ctrlPr>
          </m:e>
          <m:sub>
            <m:r>
              <w:rPr>
                <w:rFonts w:ascii="Cambria Math" w:hAnsi="Cambria Math"/>
              </w:rPr>
              <m:t>t</m:t>
            </m:r>
            <m:ctrlPr>
              <w:rPr>
                <w:rFonts w:ascii="Cambria Math" w:hAnsi="Cambria Math"/>
                <w:i/>
                <w:iCs/>
              </w:rPr>
            </m:ctrlPr>
          </m:sub>
          <m:sup>
            <m:r>
              <w:rPr>
                <w:rFonts w:ascii="Cambria Math" w:hAnsi="Cambria Math"/>
              </w:rPr>
              <m:t>*</m:t>
            </m:r>
          </m:sup>
        </m:sSubSup>
      </m:oMath>
      <w:r>
        <w:t xml:space="preserve">. Next, we use this </w:t>
      </w:r>
      <m:oMath>
        <m:sSubSup>
          <m:sSubSupPr>
            <m:ctrlPr>
              <w:rPr>
                <w:rFonts w:ascii="Cambria Math" w:hAnsi="Cambria Math"/>
                <w:i/>
              </w:rPr>
            </m:ctrlPr>
          </m:sSubSupPr>
          <m:e>
            <m:r>
              <w:rPr>
                <w:rFonts w:ascii="Cambria Math" w:hAnsi="Cambria Math"/>
              </w:rPr>
              <m:t>f</m:t>
            </m:r>
            <m:ctrlPr>
              <w:rPr>
                <w:rFonts w:ascii="Cambria Math" w:hAnsi="Cambria Math"/>
                <w:i/>
                <w:iCs/>
              </w:rPr>
            </m:ctrlPr>
          </m:e>
          <m:sub>
            <m:r>
              <w:rPr>
                <w:rFonts w:ascii="Cambria Math" w:hAnsi="Cambria Math"/>
              </w:rPr>
              <m:t>t</m:t>
            </m:r>
            <m:ctrlPr>
              <w:rPr>
                <w:rFonts w:ascii="Cambria Math" w:hAnsi="Cambria Math"/>
                <w:i/>
                <w:iCs/>
              </w:rPr>
            </m:ctrlPr>
          </m:sub>
          <m:sup>
            <m:r>
              <w:rPr>
                <w:rFonts w:ascii="Cambria Math" w:hAnsi="Cambria Math"/>
              </w:rPr>
              <m:t>*</m:t>
            </m:r>
          </m:sup>
        </m:sSubSup>
      </m:oMath>
      <w:r>
        <w:t xml:space="preserve"> to obtain our </w:t>
      </w:r>
      <w:r w:rsidRPr="009566AF">
        <w:t>time-varying</w:t>
      </w:r>
      <w:r>
        <w:t xml:space="preserve"> </w:t>
      </w:r>
      <w:r w:rsidRPr="00E67522">
        <w:rPr>
          <w:iCs/>
        </w:rPr>
        <w:t>parameters</w:t>
      </w:r>
      <w:r>
        <w:rPr>
          <w:iCs/>
        </w:rPr>
        <w:t xml:space="preserve">. We then use </w:t>
      </w:r>
      <w:r w:rsidR="00601246">
        <w:rPr>
          <w:iCs/>
        </w:rPr>
        <w:t>the “</w:t>
      </w:r>
      <w:r>
        <w:t>Variance Discounting</w:t>
      </w:r>
      <w:r w:rsidR="00601246">
        <w:t>”</w:t>
      </w:r>
      <w:r w:rsidR="00251F75">
        <w:t xml:space="preserve"> (VD)</w:t>
      </w:r>
      <w:r>
        <w:t xml:space="preserve"> </w:t>
      </w:r>
      <w:r w:rsidR="00251F75">
        <w:t xml:space="preserve">method proposed by the authors </w:t>
      </w:r>
      <w:sdt>
        <w:sdtPr>
          <w:id w:val="-1159526145"/>
          <w:citation/>
        </w:sdtPr>
        <w:sdtContent>
          <w:r w:rsidR="00251F75">
            <w:fldChar w:fldCharType="begin"/>
          </w:r>
          <w:r w:rsidR="00251F75">
            <w:instrText xml:space="preserve"> CITATION Koo14 \l 1033 </w:instrText>
          </w:r>
          <w:r w:rsidR="00251F75">
            <w:fldChar w:fldCharType="separate"/>
          </w:r>
          <w:r w:rsidR="00C8403C">
            <w:rPr>
              <w:noProof/>
            </w:rPr>
            <w:t>(Koop &amp; Korobilis, 2014)</w:t>
          </w:r>
          <w:r w:rsidR="00251F75">
            <w:fldChar w:fldCharType="end"/>
          </w:r>
        </w:sdtContent>
      </w:sdt>
      <w:r>
        <w:t xml:space="preserve"> to estimate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t xml:space="preserve">,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t xml:space="preserv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t</m:t>
            </m:r>
          </m:sub>
        </m:sSub>
      </m:oMath>
      <w:r>
        <w:t xml:space="preserve"> and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t xml:space="preserve">. Using these disturbances, we can then estimate the actual </w:t>
      </w:r>
      <m:oMath>
        <m:sSub>
          <m:sSubPr>
            <m:ctrlPr>
              <w:rPr>
                <w:rFonts w:ascii="Cambria Math" w:hAnsi="Cambria Math"/>
                <w:i/>
                <w:iCs/>
              </w:rPr>
            </m:ctrlPr>
          </m:sSubPr>
          <m:e>
            <m:r>
              <w:rPr>
                <w:rFonts w:ascii="Cambria Math" w:hAnsi="Cambria Math"/>
              </w:rPr>
              <m:t>λ</m:t>
            </m:r>
          </m:e>
          <m:sub>
            <m:r>
              <w:rPr>
                <w:rFonts w:ascii="Cambria Math" w:hAnsi="Cambria Math"/>
              </w:rPr>
              <m:t>t</m:t>
            </m:r>
          </m:sub>
        </m:sSub>
      </m:oMath>
      <w:r>
        <w:rPr>
          <w:iCs/>
        </w:rPr>
        <w:t xml:space="preserve"> and </w:t>
      </w:r>
      <m:oMath>
        <m:sSub>
          <m:sSubPr>
            <m:ctrlPr>
              <w:rPr>
                <w:rFonts w:ascii="Cambria Math" w:hAnsi="Cambria Math"/>
                <w:i/>
                <w:iCs/>
              </w:rPr>
            </m:ctrlPr>
          </m:sSubPr>
          <m:e>
            <m:r>
              <w:rPr>
                <w:rFonts w:ascii="Cambria Math" w:hAnsi="Cambria Math"/>
              </w:rPr>
              <m:t>β</m:t>
            </m:r>
          </m:e>
          <m:sub>
            <m:r>
              <w:rPr>
                <w:rFonts w:ascii="Cambria Math" w:hAnsi="Cambria Math"/>
              </w:rPr>
              <m:t>t</m:t>
            </m:r>
          </m:sub>
        </m:sSub>
      </m:oMath>
      <w:r>
        <w:rPr>
          <w:iCs/>
        </w:rPr>
        <w:t xml:space="preserve"> using Kalman filtering and smoothing (KFS). Finally, we use the </w:t>
      </w:r>
      <w:r w:rsidRPr="009566AF">
        <w:t>time-varying</w:t>
      </w:r>
      <w:r>
        <w:rPr>
          <w:iCs/>
        </w:rPr>
        <w:t xml:space="preserve"> </w:t>
      </w:r>
      <w:r w:rsidRPr="00CB280A">
        <w:t>coefficients</w:t>
      </w:r>
      <w:r>
        <w:t xml:space="preserve"> to generate </w:t>
      </w:r>
      <m:oMath>
        <m:sSub>
          <m:sSubPr>
            <m:ctrlPr>
              <w:rPr>
                <w:rFonts w:ascii="Cambria Math" w:hAnsi="Cambria Math"/>
                <w:i/>
              </w:rPr>
            </m:ctrlPr>
          </m:sSubPr>
          <m:e>
            <m:r>
              <w:rPr>
                <w:rFonts w:ascii="Cambria Math" w:hAnsi="Cambria Math"/>
              </w:rPr>
              <m:t>f</m:t>
            </m:r>
          </m:e>
          <m:sub>
            <m:r>
              <w:rPr>
                <w:rFonts w:ascii="Cambria Math" w:hAnsi="Cambria Math"/>
              </w:rPr>
              <m:t>t</m:t>
            </m:r>
          </m:sub>
        </m:sSub>
      </m:oMath>
      <w:r>
        <w:t xml:space="preserve"> using KFS.</w:t>
      </w:r>
    </w:p>
    <w:p w14:paraId="719337AD" w14:textId="1890A8B9" w:rsidR="00532EB5" w:rsidRDefault="00532EB5" w:rsidP="00532EB5">
      <w:pPr>
        <w:pStyle w:val="SectionHeading"/>
        <w:numPr>
          <w:ilvl w:val="1"/>
          <w:numId w:val="9"/>
        </w:numPr>
      </w:pPr>
      <w:r w:rsidRPr="00532EB5">
        <w:t>Financial cycle index</w:t>
      </w:r>
    </w:p>
    <w:p w14:paraId="3067C570" w14:textId="734BD5C8" w:rsidR="001B2444" w:rsidRPr="00503BA8" w:rsidRDefault="009D0768" w:rsidP="00056173">
      <w:r>
        <w:t>The financial cycle index is an aggregate of different variables related to loan loss. These include credit-to-GDP gap, private and corporate loan flows, real estate pr</w:t>
      </w:r>
      <w:r w:rsidRPr="00503BA8">
        <w:t xml:space="preserve">ices, and so on. Formally, </w:t>
      </w:r>
      <w:sdt>
        <w:sdtPr>
          <w:id w:val="587652401"/>
          <w:citation/>
        </w:sdtPr>
        <w:sdtContent>
          <w:r w:rsidR="001B2444" w:rsidRPr="00503BA8">
            <w:fldChar w:fldCharType="begin"/>
          </w:r>
          <w:r w:rsidR="001B2444" w:rsidRPr="00503BA8">
            <w:instrText xml:space="preserve"> CITATION Hol12 \l 1033 </w:instrText>
          </w:r>
          <w:r w:rsidR="001B2444" w:rsidRPr="00503BA8">
            <w:fldChar w:fldCharType="separate"/>
          </w:r>
          <w:r w:rsidR="00C8403C">
            <w:rPr>
              <w:noProof/>
            </w:rPr>
            <w:t>(Holló, Kremer, &amp; Lo Duca, 2012)</w:t>
          </w:r>
          <w:r w:rsidR="001B2444" w:rsidRPr="00503BA8">
            <w:fldChar w:fldCharType="end"/>
          </w:r>
        </w:sdtContent>
      </w:sdt>
      <w:r w:rsidR="001B2444" w:rsidRPr="00503BA8">
        <w:t xml:space="preserve"> the aggregation can be expressed as:</w:t>
      </w:r>
    </w:p>
    <w:p w14:paraId="13277AE9" w14:textId="65E24F2A" w:rsidR="001B2444" w:rsidRPr="00503BA8" w:rsidRDefault="00000000" w:rsidP="00987973">
      <w:pPr>
        <w:pStyle w:val="Caption"/>
        <w:rPr>
          <w:sz w:val="20"/>
        </w:rPr>
      </w:pPr>
      <m:oMathPara>
        <m:oMath>
          <m:eqArr>
            <m:eqArrPr>
              <m:maxDist m:val="1"/>
              <m:ctrlPr>
                <w:rPr>
                  <w:rFonts w:ascii="Cambria Math" w:hAnsi="Cambria Math"/>
                  <w:sz w:val="20"/>
                </w:rPr>
              </m:ctrlPr>
            </m:eqArrPr>
            <m:e>
              <m:r>
                <m:rPr>
                  <m:sty m:val="bi"/>
                </m:rPr>
                <w:rPr>
                  <w:rFonts w:ascii="Cambria Math" w:hAnsi="Cambria Math"/>
                  <w:sz w:val="20"/>
                </w:rPr>
                <m:t>FCy</m:t>
              </m:r>
              <m:sSub>
                <m:sSubPr>
                  <m:ctrlPr>
                    <w:rPr>
                      <w:rFonts w:ascii="Cambria Math" w:hAnsi="Cambria Math"/>
                      <w:sz w:val="20"/>
                    </w:rPr>
                  </m:ctrlPr>
                </m:sSubPr>
                <m:e>
                  <m:r>
                    <m:rPr>
                      <m:sty m:val="bi"/>
                    </m:rPr>
                    <w:rPr>
                      <w:rFonts w:ascii="Cambria Math" w:hAnsi="Cambria Math"/>
                      <w:sz w:val="20"/>
                    </w:rPr>
                    <m:t>I</m:t>
                  </m:r>
                  <m:ctrlPr>
                    <w:rPr>
                      <w:rFonts w:ascii="Cambria Math" w:hAnsi="Cambria Math"/>
                      <w:i/>
                      <w:sz w:val="20"/>
                    </w:rPr>
                  </m:ctrlPr>
                </m:e>
                <m:sub>
                  <m:r>
                    <m:rPr>
                      <m:sty m:val="bi"/>
                    </m:rPr>
                    <w:rPr>
                      <w:rFonts w:ascii="Cambria Math" w:hAnsi="Cambria Math"/>
                      <w:sz w:val="20"/>
                    </w:rPr>
                    <m:t>t</m:t>
                  </m:r>
                </m:sub>
              </m:sSub>
              <m:r>
                <m:rPr>
                  <m:sty m:val="b"/>
                </m:rPr>
                <w:rPr>
                  <w:rFonts w:ascii="Cambria Math" w:hAnsi="Cambria Math"/>
                  <w:sz w:val="20"/>
                </w:rPr>
                <m:t>=</m:t>
              </m:r>
              <m:sSup>
                <m:sSupPr>
                  <m:ctrlPr>
                    <w:rPr>
                      <w:rFonts w:ascii="Cambria Math" w:hAnsi="Cambria Math"/>
                      <w:sz w:val="20"/>
                    </w:rPr>
                  </m:ctrlPr>
                </m:sSupPr>
                <m:e>
                  <m:d>
                    <m:dPr>
                      <m:ctrlPr>
                        <w:rPr>
                          <w:rFonts w:ascii="Cambria Math" w:hAnsi="Cambria Math"/>
                          <w:sz w:val="20"/>
                        </w:rPr>
                      </m:ctrlPr>
                    </m:dPr>
                    <m:e>
                      <m:r>
                        <m:rPr>
                          <m:sty m:val="bi"/>
                        </m:rPr>
                        <w:rPr>
                          <w:rFonts w:ascii="Cambria Math" w:hAnsi="Cambria Math"/>
                          <w:sz w:val="20"/>
                        </w:rPr>
                        <m:t>w</m:t>
                      </m:r>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s</m:t>
                          </m:r>
                        </m:e>
                        <m:sub>
                          <m:r>
                            <m:rPr>
                              <m:sty m:val="bi"/>
                            </m:rPr>
                            <w:rPr>
                              <w:rFonts w:ascii="Cambria Math" w:hAnsi="Cambria Math"/>
                              <w:sz w:val="20"/>
                            </w:rPr>
                            <m:t>t</m:t>
                          </m:r>
                        </m:sub>
                      </m:sSub>
                    </m:e>
                  </m:d>
                </m:e>
                <m:sup>
                  <m:r>
                    <m:rPr>
                      <m:sty m:val="bi"/>
                    </m:rPr>
                    <w:rPr>
                      <w:rFonts w:ascii="Cambria Math" w:hAnsi="Cambria Math"/>
                      <w:sz w:val="20"/>
                    </w:rPr>
                    <m:t>T</m:t>
                  </m:r>
                </m:sup>
              </m:sSup>
              <m:sSub>
                <m:sSubPr>
                  <m:ctrlPr>
                    <w:rPr>
                      <w:rFonts w:ascii="Cambria Math" w:hAnsi="Cambria Math"/>
                      <w:sz w:val="20"/>
                    </w:rPr>
                  </m:ctrlPr>
                </m:sSubPr>
                <m:e>
                  <m:r>
                    <m:rPr>
                      <m:sty m:val="bi"/>
                    </m:rPr>
                    <w:rPr>
                      <w:rFonts w:ascii="Cambria Math" w:hAnsi="Cambria Math"/>
                      <w:sz w:val="20"/>
                    </w:rPr>
                    <m:t>C</m:t>
                  </m:r>
                  <m:ctrlPr>
                    <w:rPr>
                      <w:rFonts w:ascii="Cambria Math" w:hAnsi="Cambria Math"/>
                      <w:i/>
                      <w:sz w:val="20"/>
                    </w:rPr>
                  </m:ctrlPr>
                </m:e>
                <m:sub>
                  <m:r>
                    <m:rPr>
                      <m:sty m:val="bi"/>
                    </m:rPr>
                    <w:rPr>
                      <w:rFonts w:ascii="Cambria Math" w:hAnsi="Cambria Math"/>
                      <w:sz w:val="20"/>
                    </w:rPr>
                    <m:t>t</m:t>
                  </m:r>
                </m:sub>
              </m:sSub>
              <m:d>
                <m:dPr>
                  <m:ctrlPr>
                    <w:rPr>
                      <w:rFonts w:ascii="Cambria Math" w:hAnsi="Cambria Math"/>
                      <w:sz w:val="20"/>
                    </w:rPr>
                  </m:ctrlPr>
                </m:dPr>
                <m:e>
                  <m:r>
                    <m:rPr>
                      <m:sty m:val="bi"/>
                    </m:rPr>
                    <w:rPr>
                      <w:rFonts w:ascii="Cambria Math" w:hAnsi="Cambria Math"/>
                      <w:sz w:val="20"/>
                    </w:rPr>
                    <m:t>w</m:t>
                  </m:r>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s</m:t>
                      </m:r>
                    </m:e>
                    <m:sub>
                      <m:r>
                        <m:rPr>
                          <m:sty m:val="bi"/>
                        </m:rPr>
                        <w:rPr>
                          <w:rFonts w:ascii="Cambria Math" w:hAnsi="Cambria Math"/>
                          <w:sz w:val="20"/>
                        </w:rPr>
                        <m:t>t</m:t>
                      </m:r>
                    </m:sub>
                  </m:sSub>
                </m:e>
              </m:d>
              <m:r>
                <m:rPr>
                  <m:sty m:val="b"/>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14</m:t>
                  </m:r>
                  <m:r>
                    <m:rPr>
                      <m:sty m:val="b"/>
                    </m:rPr>
                    <w:rPr>
                      <w:rFonts w:ascii="Cambria Math" w:hAnsi="Cambria Math"/>
                      <w:sz w:val="20"/>
                    </w:rPr>
                    <w:fldChar w:fldCharType="end"/>
                  </m:r>
                </m:e>
              </m:d>
            </m:e>
          </m:eqArr>
        </m:oMath>
      </m:oMathPara>
    </w:p>
    <w:p w14:paraId="55F289DD" w14:textId="29827E96" w:rsidR="009519F4" w:rsidRPr="00CB280A" w:rsidRDefault="009519F4" w:rsidP="009519F4">
      <w:pPr>
        <w:ind w:firstLine="284"/>
      </w:pPr>
      <w:r w:rsidRPr="00503BA8">
        <w:t xml:space="preserve">where,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503BA8">
        <w:t xml:space="preserve"> is the vector of exogenous indicators at time </w:t>
      </w:r>
      <m:oMath>
        <m:r>
          <w:rPr>
            <w:rFonts w:ascii="Cambria Math" w:hAnsi="Cambria Math"/>
          </w:rPr>
          <m:t>t</m:t>
        </m:r>
      </m:oMath>
      <w:r w:rsidRPr="00503BA8">
        <w:t xml:space="preserve"> and </w:t>
      </w:r>
      <m:oMath>
        <m:r>
          <w:rPr>
            <w:rFonts w:ascii="Cambria Math" w:hAnsi="Cambria Math"/>
          </w:rPr>
          <m:t>w</m:t>
        </m:r>
      </m:oMath>
      <w:r w:rsidRPr="00503BA8">
        <w:t xml:space="preserve"> is a vector showing the relative importance of the values in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503BA8">
        <w:t xml:space="preserve">. The expression </w:t>
      </w:r>
      <m:oMath>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w:r w:rsidRPr="00503BA8">
        <w:t xml:space="preserve"> is the Hadamard-product </w:t>
      </w:r>
      <w:r>
        <w:t>between the vectors (</w:t>
      </w:r>
      <w:r w:rsidRPr="009519F4">
        <w:t>element-wise multiplication</w:t>
      </w:r>
      <w:r>
        <w:t xml:space="preserve">). The matrix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contains values of the cross-correlation coefficients for the indicators at time t. The matrix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is estimated recursively using an exponentially weighted moving average (EWMA) process</w:t>
      </w:r>
      <w:r w:rsidR="00E27D1E">
        <w:t xml:space="preserve">, </w:t>
      </w:r>
      <w:r w:rsidR="00E27D1E" w:rsidRPr="00E27D1E">
        <w:t>utilizing</w:t>
      </w:r>
      <w:r w:rsidR="00E27D1E">
        <w:t xml:space="preserve"> the previous variance and covariance values as a base. Finally, the relative weights </w:t>
      </w:r>
      <m:oMath>
        <m:r>
          <w:rPr>
            <w:rFonts w:ascii="Cambria Math" w:hAnsi="Cambria Math"/>
          </w:rPr>
          <m:t>w</m:t>
        </m:r>
      </m:oMath>
      <w:r w:rsidR="00E27D1E">
        <w:t xml:space="preserve"> are determined by running a constrained optimization to find the </w:t>
      </w:r>
      <m:oMath>
        <m:r>
          <w:rPr>
            <w:rFonts w:ascii="Cambria Math" w:hAnsi="Cambria Math"/>
          </w:rPr>
          <m:t>FCy</m:t>
        </m:r>
        <m:sSub>
          <m:sSubPr>
            <m:ctrlPr>
              <w:rPr>
                <w:rFonts w:ascii="Cambria Math" w:hAnsi="Cambria Math"/>
              </w:rPr>
            </m:ctrlPr>
          </m:sSubPr>
          <m:e>
            <m:r>
              <w:rPr>
                <w:rFonts w:ascii="Cambria Math" w:hAnsi="Cambria Math"/>
              </w:rPr>
              <m:t>I</m:t>
            </m:r>
          </m:e>
          <m:sub>
            <m:r>
              <w:rPr>
                <w:rFonts w:ascii="Cambria Math" w:hAnsi="Cambria Math"/>
              </w:rPr>
              <m:t>t</m:t>
            </m:r>
          </m:sub>
        </m:sSub>
      </m:oMath>
      <w:r w:rsidR="00E27D1E">
        <w:t xml:space="preserve"> that provides the best predictions for future loan loss impairments</w:t>
      </w:r>
      <w:r w:rsidR="008C185F">
        <w:t xml:space="preserve"> </w:t>
      </w:r>
      <w:sdt>
        <w:sdtPr>
          <w:id w:val="1518737589"/>
          <w:citation/>
        </w:sdtPr>
        <w:sdtContent>
          <w:r w:rsidR="008C185F">
            <w:fldChar w:fldCharType="begin"/>
          </w:r>
          <w:r w:rsidR="008C185F">
            <w:instrText xml:space="preserve"> CITATION Pla14 \l 1033 </w:instrText>
          </w:r>
          <w:r w:rsidR="008C185F">
            <w:fldChar w:fldCharType="separate"/>
          </w:r>
          <w:r w:rsidR="00C8403C">
            <w:rPr>
              <w:noProof/>
            </w:rPr>
            <w:t>(Plašil, Seidler, Hlaváč, &amp; Konečný, 2014)</w:t>
          </w:r>
          <w:r w:rsidR="008C185F">
            <w:fldChar w:fldCharType="end"/>
          </w:r>
        </w:sdtContent>
      </w:sdt>
      <w:r w:rsidR="00E27D1E">
        <w:t>.</w:t>
      </w:r>
    </w:p>
    <w:p w14:paraId="29CA9A1B" w14:textId="3A233B94" w:rsidR="00CA1878" w:rsidRDefault="00CA1878" w:rsidP="000036C9">
      <w:pPr>
        <w:pStyle w:val="SectionHeading"/>
        <w:numPr>
          <w:ilvl w:val="1"/>
          <w:numId w:val="9"/>
        </w:numPr>
      </w:pPr>
      <w:r w:rsidRPr="00363032">
        <w:t>Parametric fit</w:t>
      </w:r>
    </w:p>
    <w:p w14:paraId="74B17EB2" w14:textId="51FB7760" w:rsidR="00696C4B" w:rsidRPr="00FE45FD" w:rsidRDefault="00150551" w:rsidP="00E34BDC">
      <w:r w:rsidRPr="00D24523">
        <w:t xml:space="preserve">After evaluating the quantile regression models, we end up with </w:t>
      </w:r>
      <w:r w:rsidR="00056173" w:rsidRPr="00D24523">
        <w:t xml:space="preserve">conditional quantile </w:t>
      </w:r>
      <w:r w:rsidRPr="00D24523">
        <w:t xml:space="preserve">estimates </w:t>
      </w:r>
      <m:oMath>
        <m:sSubSup>
          <m:sSubSupPr>
            <m:ctrlPr>
              <w:rPr>
                <w:rFonts w:ascii="Cambria Math" w:hAnsi="Cambria Math"/>
                <w:i/>
              </w:rPr>
            </m:ctrlPr>
          </m:sSubSupPr>
          <m:e>
            <m:r>
              <m:rPr>
                <m:sty m:val="bi"/>
              </m:rPr>
              <w:rPr>
                <w:rFonts w:ascii="Cambria Math" w:hAnsi="Cambria Math"/>
              </w:rPr>
              <m:t>y</m:t>
            </m:r>
          </m:e>
          <m:sub>
            <m:r>
              <m:rPr>
                <m:sty m:val="bi"/>
              </m:rPr>
              <w:rPr>
                <w:rFonts w:ascii="Cambria Math" w:hAnsi="Cambria Math"/>
              </w:rPr>
              <m:t>t</m:t>
            </m:r>
            <m:r>
              <w:rPr>
                <w:rFonts w:ascii="Cambria Math" w:hAnsi="Cambria Math"/>
              </w:rPr>
              <m:t>+</m:t>
            </m:r>
            <m:r>
              <m:rPr>
                <m:sty m:val="bi"/>
              </m:rPr>
              <w:rPr>
                <w:rFonts w:ascii="Cambria Math" w:hAnsi="Cambria Math"/>
              </w:rPr>
              <m:t>h</m:t>
            </m:r>
            <m:r>
              <w:rPr>
                <w:rFonts w:ascii="Cambria Math" w:hAnsi="Cambria Math"/>
              </w:rPr>
              <m:t>,</m:t>
            </m:r>
            <m:r>
              <m:rPr>
                <m:sty m:val="bi"/>
              </m:rPr>
              <w:rPr>
                <w:rFonts w:ascii="Cambria Math" w:hAnsi="Cambria Math"/>
              </w:rPr>
              <m:t>τ</m:t>
            </m:r>
          </m:sub>
          <m:sup>
            <m:r>
              <w:rPr>
                <w:rFonts w:ascii="Cambria Math" w:hAnsi="Cambria Math"/>
              </w:rPr>
              <m:t>*</m:t>
            </m:r>
          </m:sup>
        </m:sSubSup>
      </m:oMath>
      <w:r w:rsidR="00056173" w:rsidRPr="00D24523">
        <w:t xml:space="preserve">. With a sufficiently large </w:t>
      </w:r>
      <w:r w:rsidR="005E44EB" w:rsidRPr="00D24523">
        <w:t xml:space="preserve">set of quantiles </w:t>
      </w:r>
      <m:oMath>
        <m:r>
          <m:rPr>
            <m:sty m:val="b"/>
          </m:rPr>
          <w:rPr>
            <w:rFonts w:ascii="Cambria Math" w:hAnsi="Cambria Math"/>
          </w:rPr>
          <m:t>Γ</m:t>
        </m:r>
      </m:oMath>
      <w:r w:rsidR="00D24523" w:rsidRPr="00D24523">
        <w:t>,</w:t>
      </w:r>
      <w:r w:rsidR="005E44EB" w:rsidRPr="00D24523">
        <w:t xml:space="preserve"> one can describe the conditional cumulative distribution function (CDF) of the </w:t>
      </w:r>
      <w:r w:rsidR="005E44EB" w:rsidRPr="00D24523">
        <w:lastRenderedPageBreak/>
        <w:t xml:space="preserve">output growth at time </w:t>
      </w:r>
      <m:oMath>
        <m:r>
          <m:rPr>
            <m:sty m:val="bi"/>
          </m:rPr>
          <w:rPr>
            <w:rFonts w:ascii="Cambria Math" w:hAnsi="Cambria Math"/>
          </w:rPr>
          <m:t>t</m:t>
        </m:r>
        <m:r>
          <w:rPr>
            <w:rFonts w:ascii="Cambria Math" w:hAnsi="Cambria Math"/>
          </w:rPr>
          <m:t>+</m:t>
        </m:r>
        <m:r>
          <m:rPr>
            <m:sty m:val="bi"/>
          </m:rPr>
          <w:rPr>
            <w:rFonts w:ascii="Cambria Math" w:hAnsi="Cambria Math"/>
          </w:rPr>
          <m:t>h</m:t>
        </m:r>
      </m:oMath>
      <w:r w:rsidR="005E44EB" w:rsidRPr="00D24523">
        <w:t xml:space="preserve">. </w:t>
      </w:r>
      <w:r w:rsidR="00B61DF3" w:rsidRPr="00D24523">
        <w:t>To derive the probability distribution function (PDF) a parametric t-skew fit</w:t>
      </w:r>
      <w:r w:rsidR="00797E67" w:rsidRPr="00D24523">
        <w:t xml:space="preserve"> </w:t>
      </w:r>
      <w:sdt>
        <w:sdtPr>
          <w:id w:val="-2042806687"/>
          <w:citation/>
        </w:sdtPr>
        <w:sdtContent>
          <w:r w:rsidR="00F93095" w:rsidRPr="00FE45FD">
            <w:fldChar w:fldCharType="begin"/>
          </w:r>
          <w:r w:rsidR="009B1CF8" w:rsidRPr="00FE45FD">
            <w:instrText xml:space="preserve">CITATION Adr19 \l 1033 </w:instrText>
          </w:r>
          <w:r w:rsidR="00F93095" w:rsidRPr="00FE45FD">
            <w:fldChar w:fldCharType="separate"/>
          </w:r>
          <w:r w:rsidR="00C8403C">
            <w:rPr>
              <w:noProof/>
            </w:rPr>
            <w:t>(Adrian, Boyarchenko, &amp; Giannone, 2019)</w:t>
          </w:r>
          <w:r w:rsidR="00F93095" w:rsidRPr="00FE45FD">
            <w:fldChar w:fldCharType="end"/>
          </w:r>
        </w:sdtContent>
      </w:sdt>
      <w:r w:rsidR="00B61DF3" w:rsidRPr="00FE45FD">
        <w:t xml:space="preserve"> is used</w:t>
      </w:r>
      <w:r w:rsidR="00F775F8" w:rsidRPr="00FE45FD">
        <w:t xml:space="preserve">. Compared to the normal distribution, the t-distribution is much better suited for capturing </w:t>
      </w:r>
      <w:r w:rsidR="009E0950" w:rsidRPr="00FE45FD">
        <w:t xml:space="preserve">the </w:t>
      </w:r>
      <w:r w:rsidR="00F775F8" w:rsidRPr="00FE45FD">
        <w:t>fat tails.</w:t>
      </w:r>
      <w:r w:rsidR="005A4F3A" w:rsidRPr="00FE45FD">
        <w:t xml:space="preserve"> </w:t>
      </w:r>
      <w:r w:rsidR="003F70BA" w:rsidRPr="00FE45FD">
        <w:t>Using the closed</w:t>
      </w:r>
      <w:r w:rsidR="00117CB3" w:rsidRPr="00FE45FD">
        <w:t>-f</w:t>
      </w:r>
      <w:r w:rsidR="003F70BA" w:rsidRPr="00FE45FD">
        <w:t xml:space="preserve">orm specification </w:t>
      </w:r>
      <w:r w:rsidR="008C3D7E" w:rsidRPr="00FE45FD">
        <w:t xml:space="preserve">of the distribution proposed by </w:t>
      </w:r>
      <w:proofErr w:type="spellStart"/>
      <w:r w:rsidR="003F70BA" w:rsidRPr="00FE45FD">
        <w:t>Giot</w:t>
      </w:r>
      <w:proofErr w:type="spellEnd"/>
      <w:r w:rsidR="003F70BA" w:rsidRPr="00FE45FD">
        <w:t xml:space="preserve"> and Laurent (2003) </w:t>
      </w:r>
      <w:r w:rsidR="008C3D7E" w:rsidRPr="00FE45FD">
        <w:t>we define the CDF as:</w:t>
      </w:r>
    </w:p>
    <w:p w14:paraId="44DE707A" w14:textId="2413D210" w:rsidR="008C3D7E" w:rsidRPr="00FE45FD" w:rsidRDefault="00000000" w:rsidP="00FE45FD">
      <w:pPr>
        <w:pStyle w:val="Caption"/>
        <w:rPr>
          <w:b w:val="0"/>
          <w:sz w:val="20"/>
        </w:rPr>
      </w:pPr>
      <m:oMathPara>
        <m:oMath>
          <m:eqArr>
            <m:eqArrPr>
              <m:maxDist m:val="1"/>
              <m:ctrlPr>
                <w:rPr>
                  <w:rFonts w:ascii="Cambria Math" w:hAnsi="Cambria Math"/>
                  <w:i/>
                  <w:sz w:val="20"/>
                </w:rPr>
              </m:ctrlPr>
            </m:eqArrPr>
            <m:e>
              <m:r>
                <m:rPr>
                  <m:sty m:val="bi"/>
                </m:rPr>
                <w:rPr>
                  <w:rFonts w:ascii="Cambria Math" w:hAnsi="Cambria Math"/>
                  <w:sz w:val="20"/>
                </w:rPr>
                <m:t>F</m:t>
              </m:r>
              <m:d>
                <m:dPr>
                  <m:ctrlPr>
                    <w:rPr>
                      <w:rFonts w:ascii="Cambria Math" w:hAnsi="Cambria Math"/>
                      <w:i/>
                      <w:sz w:val="20"/>
                    </w:rPr>
                  </m:ctrlPr>
                </m:dPr>
                <m:e>
                  <m:r>
                    <m:rPr>
                      <m:sty m:val="bi"/>
                    </m:rPr>
                    <w:rPr>
                      <w:rFonts w:ascii="Cambria Math" w:hAnsi="Cambria Math"/>
                      <w:sz w:val="20"/>
                    </w:rPr>
                    <m:t xml:space="preserve">x, μ,σ, </m:t>
                  </m:r>
                  <m:r>
                    <m:rPr>
                      <m:sty m:val="b"/>
                    </m:rPr>
                    <w:rPr>
                      <w:rFonts w:ascii="Cambria Math" w:hAnsi="Cambria Math"/>
                      <w:sz w:val="20"/>
                    </w:rPr>
                    <m:t>df</m:t>
                  </m:r>
                  <m:r>
                    <m:rPr>
                      <m:sty m:val="bi"/>
                    </m:rPr>
                    <w:rPr>
                      <w:rFonts w:ascii="Cambria Math" w:hAnsi="Cambria Math"/>
                      <w:sz w:val="20"/>
                    </w:rPr>
                    <m:t xml:space="preserve">, </m:t>
                  </m:r>
                  <m:r>
                    <m:rPr>
                      <m:sty m:val="bi"/>
                    </m:rPr>
                    <w:rPr>
                      <w:rFonts w:ascii="Cambria Math" w:eastAsia="SimSun" w:hAnsi="Cambria Math"/>
                      <w:sz w:val="20"/>
                      <w:lang w:eastAsia="zh-CN"/>
                    </w:rPr>
                    <m:t>ξ</m:t>
                  </m:r>
                </m:e>
              </m:d>
              <m:r>
                <m:rPr>
                  <m:sty m:val="bi"/>
                </m:rPr>
                <w:rPr>
                  <w:rFonts w:ascii="Cambria Math" w:hAnsi="Cambria Math"/>
                  <w:sz w:val="20"/>
                </w:rPr>
                <m:t>=</m:t>
              </m:r>
              <m:f>
                <m:fPr>
                  <m:ctrlPr>
                    <w:rPr>
                      <w:rFonts w:ascii="Cambria Math" w:hAnsi="Cambria Math"/>
                      <w:i/>
                      <w:sz w:val="20"/>
                    </w:rPr>
                  </m:ctrlPr>
                </m:fPr>
                <m:num>
                  <m:r>
                    <m:rPr>
                      <m:sty m:val="bi"/>
                    </m:rPr>
                    <w:rPr>
                      <w:rFonts w:ascii="Cambria Math" w:hAnsi="Cambria Math"/>
                      <w:sz w:val="20"/>
                    </w:rPr>
                    <m:t>2</m:t>
                  </m:r>
                </m:num>
                <m:den>
                  <m:r>
                    <m:rPr>
                      <m:sty m:val="bi"/>
                    </m:rPr>
                    <w:rPr>
                      <w:rFonts w:ascii="Cambria Math" w:hAnsi="Cambria Math"/>
                      <w:sz w:val="20"/>
                    </w:rPr>
                    <m:t>1+</m:t>
                  </m:r>
                  <m:sSup>
                    <m:sSupPr>
                      <m:ctrlPr>
                        <w:rPr>
                          <w:rFonts w:ascii="Cambria Math" w:eastAsia="SimSun" w:hAnsi="Cambria Math"/>
                          <w:i/>
                          <w:sz w:val="20"/>
                          <w:lang w:eastAsia="zh-CN"/>
                        </w:rPr>
                      </m:ctrlPr>
                    </m:sSupPr>
                    <m:e>
                      <m:r>
                        <m:rPr>
                          <m:sty m:val="bi"/>
                        </m:rPr>
                        <w:rPr>
                          <w:rFonts w:ascii="Cambria Math" w:eastAsia="SimSun" w:hAnsi="Cambria Math"/>
                          <w:sz w:val="20"/>
                          <w:lang w:eastAsia="zh-CN"/>
                        </w:rPr>
                        <m:t>ξ</m:t>
                      </m:r>
                      <m:ctrlPr>
                        <w:rPr>
                          <w:rFonts w:ascii="Cambria Math" w:hAnsi="Cambria Math"/>
                          <w:i/>
                          <w:sz w:val="20"/>
                        </w:rPr>
                      </m:ctrlPr>
                    </m:e>
                    <m:sup>
                      <m:r>
                        <m:rPr>
                          <m:sty m:val="bi"/>
                        </m:rPr>
                        <w:rPr>
                          <w:rFonts w:ascii="Cambria Math" w:eastAsia="SimSun" w:hAnsi="Cambria Math"/>
                          <w:sz w:val="20"/>
                          <w:lang w:eastAsia="zh-CN"/>
                        </w:rPr>
                        <m:t>2</m:t>
                      </m:r>
                    </m:sup>
                  </m:sSup>
                </m:den>
              </m:f>
              <m:sSub>
                <m:sSubPr>
                  <m:ctrlPr>
                    <w:rPr>
                      <w:rFonts w:ascii="Cambria Math" w:hAnsi="Cambria Math"/>
                      <w:i/>
                      <w:sz w:val="20"/>
                    </w:rPr>
                  </m:ctrlPr>
                </m:sSubPr>
                <m:e>
                  <m:r>
                    <m:rPr>
                      <m:sty m:val="bi"/>
                    </m:rPr>
                    <w:rPr>
                      <w:rFonts w:ascii="Cambria Math" w:hAnsi="Cambria Math"/>
                      <w:sz w:val="20"/>
                    </w:rPr>
                    <m:t>T</m:t>
                  </m:r>
                  <m:ctrlPr>
                    <w:rPr>
                      <w:rFonts w:ascii="Cambria Math" w:hAnsi="Cambria Math"/>
                      <w:bCs/>
                      <w:i/>
                      <w:sz w:val="20"/>
                    </w:rPr>
                  </m:ctrlPr>
                </m:e>
                <m:sub>
                  <m:r>
                    <m:rPr>
                      <m:sty m:val="bi"/>
                    </m:rPr>
                    <w:rPr>
                      <w:rFonts w:ascii="Cambria Math" w:hAnsi="Cambria Math"/>
                      <w:sz w:val="20"/>
                    </w:rPr>
                    <m:t>cdf</m:t>
                  </m:r>
                </m:sub>
              </m:sSub>
              <m:d>
                <m:dPr>
                  <m:ctrlPr>
                    <w:rPr>
                      <w:rFonts w:ascii="Cambria Math" w:hAnsi="Cambria Math"/>
                      <w:i/>
                      <w:sz w:val="20"/>
                    </w:rPr>
                  </m:ctrlPr>
                </m:dPr>
                <m:e>
                  <m:f>
                    <m:fPr>
                      <m:ctrlPr>
                        <w:rPr>
                          <w:rFonts w:ascii="Cambria Math" w:hAnsi="Cambria Math"/>
                          <w:i/>
                          <w:sz w:val="20"/>
                        </w:rPr>
                      </m:ctrlPr>
                    </m:fPr>
                    <m:num>
                      <m:r>
                        <m:rPr>
                          <m:sty m:val="bi"/>
                        </m:rPr>
                        <w:rPr>
                          <w:rFonts w:ascii="Cambria Math" w:hAnsi="Cambria Math"/>
                          <w:sz w:val="20"/>
                        </w:rPr>
                        <m:t>x-μ</m:t>
                      </m:r>
                    </m:num>
                    <m:den>
                      <m:r>
                        <m:rPr>
                          <m:sty m:val="bi"/>
                        </m:rPr>
                        <w:rPr>
                          <w:rFonts w:ascii="Cambria Math" w:hAnsi="Cambria Math"/>
                          <w:sz w:val="20"/>
                        </w:rPr>
                        <m:t>σ</m:t>
                      </m:r>
                    </m:den>
                  </m:f>
                  <m:r>
                    <m:rPr>
                      <m:sty m:val="bi"/>
                    </m:rPr>
                    <w:rPr>
                      <w:rFonts w:ascii="Cambria Math" w:eastAsia="SimSun" w:hAnsi="Cambria Math"/>
                      <w:sz w:val="20"/>
                      <w:lang w:eastAsia="zh-CN"/>
                    </w:rPr>
                    <m:t>ξ,</m:t>
                  </m:r>
                  <m:r>
                    <m:rPr>
                      <m:sty m:val="b"/>
                    </m:rPr>
                    <w:rPr>
                      <w:rFonts w:ascii="Cambria Math" w:eastAsia="SimSun" w:hAnsi="Cambria Math"/>
                      <w:sz w:val="20"/>
                      <w:lang w:eastAsia="zh-CN"/>
                    </w:rPr>
                    <m:t>df</m:t>
                  </m:r>
                </m:e>
              </m:d>
              <m:r>
                <m:rPr>
                  <m:sty m:val="bi"/>
                </m:rPr>
                <w:rPr>
                  <w:rFonts w:ascii="Cambria Math" w:hAnsi="Cambria Math"/>
                  <w:sz w:val="20"/>
                </w:rPr>
                <m:t xml:space="preserve"> </m:t>
              </m:r>
              <m:r>
                <m:rPr>
                  <m:sty m:val="b"/>
                </m:rPr>
                <w:rPr>
                  <w:rFonts w:ascii="Cambria Math" w:hAnsi="Cambria Math"/>
                  <w:sz w:val="20"/>
                </w:rPr>
                <m:t>if</m:t>
              </m:r>
              <m:r>
                <m:rPr>
                  <m:sty m:val="bi"/>
                </m:rPr>
                <w:rPr>
                  <w:rFonts w:ascii="Cambria Math" w:hAnsi="Cambria Math"/>
                  <w:sz w:val="20"/>
                </w:rPr>
                <m:t xml:space="preserve"> x≤μ#</m:t>
              </m:r>
              <m:d>
                <m:dPr>
                  <m:ctrlPr>
                    <w:rPr>
                      <w:rFonts w:ascii="Cambria Math" w:hAnsi="Cambria Math"/>
                      <w:i/>
                      <w:sz w:val="20"/>
                    </w:rPr>
                  </m:ctrlPr>
                </m:dPr>
                <m:e>
                  <m:r>
                    <m:rPr>
                      <m:sty m:val="bi"/>
                    </m:rPr>
                    <w:rPr>
                      <w:rFonts w:ascii="Cambria Math" w:hAnsi="Cambria Math"/>
                      <w:i/>
                      <w:sz w:val="20"/>
                    </w:rPr>
                    <w:fldChar w:fldCharType="begin"/>
                  </m:r>
                  <m:r>
                    <m:rPr>
                      <m:sty m:val="b"/>
                    </m:rPr>
                    <w:rPr>
                      <w:rFonts w:ascii="Cambria Math" w:hAnsi="Cambria Math"/>
                      <w:sz w:val="20"/>
                    </w:rPr>
                    <m:t xml:space="preserve"> SEQ Equation \* ARABIC </m:t>
                  </m:r>
                  <m:r>
                    <m:rPr>
                      <m:sty m:val="bi"/>
                    </m:rPr>
                    <w:rPr>
                      <w:rFonts w:ascii="Cambria Math" w:hAnsi="Cambria Math"/>
                      <w:i/>
                      <w:sz w:val="20"/>
                    </w:rPr>
                    <w:fldChar w:fldCharType="separate"/>
                  </m:r>
                  <m:r>
                    <m:rPr>
                      <m:sty m:val="b"/>
                    </m:rPr>
                    <w:rPr>
                      <w:rFonts w:ascii="Cambria Math" w:hAnsi="Cambria Math"/>
                      <w:noProof/>
                      <w:sz w:val="20"/>
                    </w:rPr>
                    <m:t>15</m:t>
                  </m:r>
                  <m:r>
                    <m:rPr>
                      <m:sty m:val="bi"/>
                    </m:rPr>
                    <w:rPr>
                      <w:rFonts w:ascii="Cambria Math" w:hAnsi="Cambria Math"/>
                      <w:i/>
                      <w:sz w:val="20"/>
                    </w:rPr>
                    <w:fldChar w:fldCharType="end"/>
                  </m:r>
                </m:e>
              </m:d>
              <m:r>
                <m:rPr>
                  <m:sty m:val="bi"/>
                </m:rPr>
                <w:rPr>
                  <w:rFonts w:ascii="Cambria Math" w:hAnsi="Cambria Math"/>
                  <w:sz w:val="20"/>
                </w:rPr>
                <m:t xml:space="preserve"> </m:t>
              </m:r>
            </m:e>
          </m:eqArr>
        </m:oMath>
      </m:oMathPara>
    </w:p>
    <w:p w14:paraId="222EFEFE" w14:textId="576705DA" w:rsidR="009B78BA" w:rsidRPr="00FE45FD" w:rsidRDefault="00000000" w:rsidP="00FE45FD">
      <w:pPr>
        <w:pStyle w:val="Caption"/>
        <w:rPr>
          <w:b w:val="0"/>
          <w:sz w:val="20"/>
        </w:rPr>
      </w:pPr>
      <m:oMathPara>
        <m:oMath>
          <m:eqArr>
            <m:eqArrPr>
              <m:maxDist m:val="1"/>
              <m:ctrlPr>
                <w:rPr>
                  <w:rFonts w:ascii="Cambria Math" w:hAnsi="Cambria Math"/>
                  <w:i/>
                  <w:sz w:val="20"/>
                </w:rPr>
              </m:ctrlPr>
            </m:eqArrPr>
            <m:e>
              <m:r>
                <m:rPr>
                  <m:sty m:val="bi"/>
                </m:rPr>
                <w:rPr>
                  <w:rFonts w:ascii="Cambria Math" w:hAnsi="Cambria Math"/>
                  <w:sz w:val="20"/>
                </w:rPr>
                <m:t>F</m:t>
              </m:r>
              <m:d>
                <m:dPr>
                  <m:ctrlPr>
                    <w:rPr>
                      <w:rFonts w:ascii="Cambria Math" w:hAnsi="Cambria Math"/>
                      <w:i/>
                      <w:sz w:val="20"/>
                    </w:rPr>
                  </m:ctrlPr>
                </m:dPr>
                <m:e>
                  <m:r>
                    <m:rPr>
                      <m:sty m:val="bi"/>
                    </m:rPr>
                    <w:rPr>
                      <w:rFonts w:ascii="Cambria Math" w:hAnsi="Cambria Math"/>
                      <w:sz w:val="20"/>
                    </w:rPr>
                    <m:t xml:space="preserve">x, μ,σ, </m:t>
                  </m:r>
                  <m:r>
                    <m:rPr>
                      <m:sty m:val="b"/>
                    </m:rPr>
                    <w:rPr>
                      <w:rFonts w:ascii="Cambria Math" w:hAnsi="Cambria Math"/>
                      <w:sz w:val="20"/>
                    </w:rPr>
                    <m:t>df</m:t>
                  </m:r>
                  <m:r>
                    <m:rPr>
                      <m:sty m:val="bi"/>
                    </m:rPr>
                    <w:rPr>
                      <w:rFonts w:ascii="Cambria Math" w:hAnsi="Cambria Math"/>
                      <w:sz w:val="20"/>
                    </w:rPr>
                    <m:t xml:space="preserve">, </m:t>
                  </m:r>
                  <m:r>
                    <m:rPr>
                      <m:sty m:val="bi"/>
                    </m:rPr>
                    <w:rPr>
                      <w:rFonts w:ascii="Cambria Math" w:eastAsia="SimSun" w:hAnsi="Cambria Math"/>
                      <w:sz w:val="20"/>
                      <w:lang w:eastAsia="zh-CN"/>
                    </w:rPr>
                    <m:t>ξ</m:t>
                  </m:r>
                </m:e>
              </m:d>
              <m:r>
                <m:rPr>
                  <m:sty m:val="bi"/>
                </m:rPr>
                <w:rPr>
                  <w:rFonts w:ascii="Cambria Math" w:hAnsi="Cambria Math"/>
                  <w:sz w:val="20"/>
                </w:rPr>
                <m:t>=1-</m:t>
              </m:r>
              <m:f>
                <m:fPr>
                  <m:ctrlPr>
                    <w:rPr>
                      <w:rFonts w:ascii="Cambria Math" w:hAnsi="Cambria Math"/>
                      <w:i/>
                      <w:sz w:val="20"/>
                    </w:rPr>
                  </m:ctrlPr>
                </m:fPr>
                <m:num>
                  <m:r>
                    <m:rPr>
                      <m:sty m:val="bi"/>
                    </m:rPr>
                    <w:rPr>
                      <w:rFonts w:ascii="Cambria Math" w:hAnsi="Cambria Math"/>
                      <w:sz w:val="20"/>
                    </w:rPr>
                    <m:t>2</m:t>
                  </m:r>
                </m:num>
                <m:den>
                  <m:r>
                    <m:rPr>
                      <m:sty m:val="bi"/>
                    </m:rPr>
                    <w:rPr>
                      <w:rFonts w:ascii="Cambria Math" w:hAnsi="Cambria Math"/>
                      <w:sz w:val="20"/>
                    </w:rPr>
                    <m:t>1+</m:t>
                  </m:r>
                  <m:f>
                    <m:fPr>
                      <m:ctrlPr>
                        <w:rPr>
                          <w:rFonts w:ascii="Cambria Math" w:eastAsia="SimSun" w:hAnsi="Cambria Math"/>
                          <w:i/>
                          <w:sz w:val="20"/>
                          <w:lang w:eastAsia="zh-CN"/>
                        </w:rPr>
                      </m:ctrlPr>
                    </m:fPr>
                    <m:num>
                      <m:r>
                        <m:rPr>
                          <m:sty m:val="bi"/>
                        </m:rPr>
                        <w:rPr>
                          <w:rFonts w:ascii="Cambria Math" w:eastAsia="SimSun" w:hAnsi="Cambria Math"/>
                          <w:sz w:val="20"/>
                          <w:lang w:eastAsia="zh-CN"/>
                        </w:rPr>
                        <m:t>1</m:t>
                      </m:r>
                      <m:ctrlPr>
                        <w:rPr>
                          <w:rFonts w:ascii="Cambria Math" w:hAnsi="Cambria Math"/>
                          <w:i/>
                          <w:sz w:val="20"/>
                        </w:rPr>
                      </m:ctrlPr>
                    </m:num>
                    <m:den>
                      <m:sSup>
                        <m:sSupPr>
                          <m:ctrlPr>
                            <w:rPr>
                              <w:rFonts w:ascii="Cambria Math" w:eastAsia="SimSun" w:hAnsi="Cambria Math"/>
                              <w:i/>
                              <w:sz w:val="20"/>
                              <w:lang w:eastAsia="zh-CN"/>
                            </w:rPr>
                          </m:ctrlPr>
                        </m:sSupPr>
                        <m:e>
                          <m:r>
                            <m:rPr>
                              <m:sty m:val="bi"/>
                            </m:rPr>
                            <w:rPr>
                              <w:rFonts w:ascii="Cambria Math" w:eastAsia="SimSun" w:hAnsi="Cambria Math"/>
                              <w:sz w:val="20"/>
                              <w:lang w:eastAsia="zh-CN"/>
                            </w:rPr>
                            <m:t>ξ</m:t>
                          </m:r>
                        </m:e>
                        <m:sup>
                          <m:r>
                            <m:rPr>
                              <m:sty m:val="bi"/>
                            </m:rPr>
                            <w:rPr>
                              <w:rFonts w:ascii="Cambria Math" w:eastAsia="SimSun" w:hAnsi="Cambria Math"/>
                              <w:sz w:val="20"/>
                              <w:lang w:eastAsia="zh-CN"/>
                            </w:rPr>
                            <m:t>2</m:t>
                          </m:r>
                        </m:sup>
                      </m:sSup>
                    </m:den>
                  </m:f>
                </m:den>
              </m:f>
              <m:sSub>
                <m:sSubPr>
                  <m:ctrlPr>
                    <w:rPr>
                      <w:rFonts w:ascii="Cambria Math" w:hAnsi="Cambria Math"/>
                      <w:i/>
                      <w:sz w:val="20"/>
                    </w:rPr>
                  </m:ctrlPr>
                </m:sSubPr>
                <m:e>
                  <m:r>
                    <m:rPr>
                      <m:sty m:val="bi"/>
                    </m:rPr>
                    <w:rPr>
                      <w:rFonts w:ascii="Cambria Math" w:hAnsi="Cambria Math"/>
                      <w:sz w:val="20"/>
                    </w:rPr>
                    <m:t>T</m:t>
                  </m:r>
                  <m:ctrlPr>
                    <w:rPr>
                      <w:rFonts w:ascii="Cambria Math" w:hAnsi="Cambria Math"/>
                      <w:bCs/>
                      <w:i/>
                      <w:sz w:val="20"/>
                    </w:rPr>
                  </m:ctrlPr>
                </m:e>
                <m:sub>
                  <m:r>
                    <m:rPr>
                      <m:sty m:val="bi"/>
                    </m:rPr>
                    <w:rPr>
                      <w:rFonts w:ascii="Cambria Math" w:hAnsi="Cambria Math"/>
                      <w:sz w:val="20"/>
                    </w:rPr>
                    <m:t>cdf</m:t>
                  </m:r>
                </m:sub>
              </m:sSub>
              <m:d>
                <m:dPr>
                  <m:ctrlPr>
                    <w:rPr>
                      <w:rFonts w:ascii="Cambria Math" w:hAnsi="Cambria Math"/>
                      <w:i/>
                      <w:sz w:val="20"/>
                    </w:rPr>
                  </m:ctrlPr>
                </m:dPr>
                <m:e>
                  <m:r>
                    <m:rPr>
                      <m:sty m:val="bi"/>
                    </m:rPr>
                    <w:rPr>
                      <w:rFonts w:ascii="Cambria Math" w:hAnsi="Cambria Math"/>
                      <w:sz w:val="20"/>
                    </w:rPr>
                    <m:t>-</m:t>
                  </m:r>
                  <m:f>
                    <m:fPr>
                      <m:ctrlPr>
                        <w:rPr>
                          <w:rFonts w:ascii="Cambria Math" w:hAnsi="Cambria Math"/>
                          <w:i/>
                          <w:sz w:val="20"/>
                        </w:rPr>
                      </m:ctrlPr>
                    </m:fPr>
                    <m:num>
                      <m:r>
                        <m:rPr>
                          <m:sty m:val="bi"/>
                        </m:rPr>
                        <w:rPr>
                          <w:rFonts w:ascii="Cambria Math" w:hAnsi="Cambria Math"/>
                          <w:sz w:val="20"/>
                        </w:rPr>
                        <m:t>x-μ</m:t>
                      </m:r>
                    </m:num>
                    <m:den>
                      <m:r>
                        <m:rPr>
                          <m:sty m:val="bi"/>
                        </m:rPr>
                        <w:rPr>
                          <w:rFonts w:ascii="Cambria Math" w:hAnsi="Cambria Math"/>
                          <w:sz w:val="20"/>
                        </w:rPr>
                        <m:t>σ</m:t>
                      </m:r>
                    </m:den>
                  </m:f>
                  <m:f>
                    <m:fPr>
                      <m:ctrlPr>
                        <w:rPr>
                          <w:rFonts w:ascii="Cambria Math" w:eastAsia="SimSun" w:hAnsi="Cambria Math"/>
                          <w:i/>
                          <w:sz w:val="20"/>
                          <w:lang w:eastAsia="zh-CN"/>
                        </w:rPr>
                      </m:ctrlPr>
                    </m:fPr>
                    <m:num>
                      <m:r>
                        <m:rPr>
                          <m:sty m:val="bi"/>
                        </m:rPr>
                        <w:rPr>
                          <w:rFonts w:ascii="Cambria Math" w:eastAsia="SimSun" w:hAnsi="Cambria Math"/>
                          <w:sz w:val="20"/>
                          <w:lang w:eastAsia="zh-CN"/>
                        </w:rPr>
                        <m:t>1</m:t>
                      </m:r>
                      <m:ctrlPr>
                        <w:rPr>
                          <w:rFonts w:ascii="Cambria Math" w:eastAsia="SimSun" w:hAnsi="Cambria Math"/>
                          <w:b w:val="0"/>
                          <w:bCs/>
                          <w:i/>
                          <w:sz w:val="20"/>
                          <w:lang w:eastAsia="zh-CN"/>
                        </w:rPr>
                      </m:ctrlPr>
                    </m:num>
                    <m:den>
                      <m:r>
                        <m:rPr>
                          <m:sty m:val="bi"/>
                        </m:rPr>
                        <w:rPr>
                          <w:rFonts w:ascii="Cambria Math" w:eastAsia="SimSun" w:hAnsi="Cambria Math"/>
                          <w:sz w:val="20"/>
                          <w:lang w:eastAsia="zh-CN"/>
                        </w:rPr>
                        <m:t>ξ</m:t>
                      </m:r>
                    </m:den>
                  </m:f>
                  <m:r>
                    <m:rPr>
                      <m:sty m:val="bi"/>
                    </m:rPr>
                    <w:rPr>
                      <w:rFonts w:ascii="Cambria Math" w:eastAsia="SimSun" w:hAnsi="Cambria Math"/>
                      <w:sz w:val="20"/>
                      <w:lang w:eastAsia="zh-CN"/>
                    </w:rPr>
                    <m:t>,</m:t>
                  </m:r>
                  <m:r>
                    <m:rPr>
                      <m:sty m:val="b"/>
                    </m:rPr>
                    <w:rPr>
                      <w:rFonts w:ascii="Cambria Math" w:eastAsia="SimSun" w:hAnsi="Cambria Math"/>
                      <w:sz w:val="20"/>
                      <w:lang w:eastAsia="zh-CN"/>
                    </w:rPr>
                    <m:t>df</m:t>
                  </m:r>
                </m:e>
              </m:d>
              <m:r>
                <m:rPr>
                  <m:sty m:val="bi"/>
                </m:rPr>
                <w:rPr>
                  <w:rFonts w:ascii="Cambria Math" w:hAnsi="Cambria Math"/>
                  <w:sz w:val="20"/>
                </w:rPr>
                <m:t xml:space="preserve"> </m:t>
              </m:r>
              <m:r>
                <m:rPr>
                  <m:sty m:val="b"/>
                </m:rPr>
                <w:rPr>
                  <w:rFonts w:ascii="Cambria Math" w:hAnsi="Cambria Math"/>
                  <w:sz w:val="20"/>
                </w:rPr>
                <m:t>if</m:t>
              </m:r>
              <m:r>
                <m:rPr>
                  <m:sty m:val="bi"/>
                </m:rPr>
                <w:rPr>
                  <w:rFonts w:ascii="Cambria Math" w:hAnsi="Cambria Math"/>
                  <w:sz w:val="20"/>
                </w:rPr>
                <m:t xml:space="preserve"> x&gt;μ#</m:t>
              </m:r>
              <m:d>
                <m:dPr>
                  <m:ctrlPr>
                    <w:rPr>
                      <w:rFonts w:ascii="Cambria Math" w:hAnsi="Cambria Math"/>
                      <w:i/>
                      <w:sz w:val="20"/>
                    </w:rPr>
                  </m:ctrlPr>
                </m:dPr>
                <m:e>
                  <m:r>
                    <m:rPr>
                      <m:sty m:val="bi"/>
                    </m:rPr>
                    <w:rPr>
                      <w:rFonts w:ascii="Cambria Math" w:hAnsi="Cambria Math"/>
                      <w:i/>
                      <w:sz w:val="20"/>
                    </w:rPr>
                    <w:fldChar w:fldCharType="begin"/>
                  </m:r>
                  <m:r>
                    <m:rPr>
                      <m:sty m:val="b"/>
                    </m:rPr>
                    <w:rPr>
                      <w:rFonts w:ascii="Cambria Math" w:hAnsi="Cambria Math"/>
                      <w:sz w:val="20"/>
                    </w:rPr>
                    <m:t xml:space="preserve"> SEQ Equation \* ARABIC </m:t>
                  </m:r>
                  <m:r>
                    <m:rPr>
                      <m:sty m:val="bi"/>
                    </m:rPr>
                    <w:rPr>
                      <w:rFonts w:ascii="Cambria Math" w:hAnsi="Cambria Math"/>
                      <w:i/>
                      <w:sz w:val="20"/>
                    </w:rPr>
                    <w:fldChar w:fldCharType="separate"/>
                  </m:r>
                  <m:r>
                    <m:rPr>
                      <m:sty m:val="b"/>
                    </m:rPr>
                    <w:rPr>
                      <w:rFonts w:ascii="Cambria Math" w:hAnsi="Cambria Math"/>
                      <w:noProof/>
                      <w:sz w:val="20"/>
                    </w:rPr>
                    <m:t>16</m:t>
                  </m:r>
                  <m:r>
                    <m:rPr>
                      <m:sty m:val="bi"/>
                    </m:rPr>
                    <w:rPr>
                      <w:rFonts w:ascii="Cambria Math" w:hAnsi="Cambria Math"/>
                      <w:i/>
                      <w:sz w:val="20"/>
                    </w:rPr>
                    <w:fldChar w:fldCharType="end"/>
                  </m:r>
                </m:e>
              </m:d>
              <m:r>
                <m:rPr>
                  <m:sty m:val="bi"/>
                </m:rPr>
                <w:rPr>
                  <w:rFonts w:ascii="Cambria Math" w:hAnsi="Cambria Math"/>
                  <w:sz w:val="20"/>
                </w:rPr>
                <m:t xml:space="preserve"> </m:t>
              </m:r>
            </m:e>
          </m:eqArr>
        </m:oMath>
      </m:oMathPara>
    </w:p>
    <w:p w14:paraId="340EF6A0" w14:textId="41E39C28" w:rsidR="009B78BA" w:rsidRPr="00FE45FD" w:rsidRDefault="00B55BA6" w:rsidP="00707ADB">
      <w:pPr>
        <w:ind w:firstLine="284"/>
      </w:pPr>
      <w:r w:rsidRPr="00FE45FD">
        <w:t xml:space="preserve">where </w:t>
      </w:r>
      <m:oMath>
        <m:r>
          <m:rPr>
            <m:sty m:val="bi"/>
          </m:rPr>
          <w:rPr>
            <w:rFonts w:ascii="Cambria Math" w:hAnsi="Cambria Math"/>
          </w:rPr>
          <m:t>μ</m:t>
        </m:r>
      </m:oMath>
      <w:r w:rsidRPr="00FE45FD">
        <w:t xml:space="preserve"> and </w:t>
      </w:r>
      <m:oMath>
        <m:r>
          <m:rPr>
            <m:sty m:val="bi"/>
          </m:rPr>
          <w:rPr>
            <w:rFonts w:ascii="Cambria Math" w:hAnsi="Cambria Math"/>
          </w:rPr>
          <m:t>σ</m:t>
        </m:r>
      </m:oMath>
      <w:r w:rsidRPr="00FE45FD">
        <w:t xml:space="preserve"> are the location and scale parameters, while </w:t>
      </w:r>
      <m:oMath>
        <m:r>
          <m:rPr>
            <m:sty m:val="bi"/>
          </m:rPr>
          <w:rPr>
            <w:rFonts w:ascii="Cambria Math" w:eastAsia="SimSun" w:hAnsi="Cambria Math"/>
            <w:lang w:eastAsia="zh-CN"/>
          </w:rPr>
          <m:t>ξ</m:t>
        </m:r>
      </m:oMath>
      <w:r w:rsidRPr="00FE45FD">
        <w:rPr>
          <w:lang w:eastAsia="zh-CN"/>
        </w:rPr>
        <w:t xml:space="preserve"> is the skewness. </w:t>
      </w:r>
      <w:r w:rsidR="009E0950" w:rsidRPr="00FE45FD">
        <w:t>To simplify the search space to only three parameters we anchor the degrees of freedom at 2 (</w:t>
      </w:r>
      <m:oMath>
        <m:r>
          <m:rPr>
            <m:sty m:val="b"/>
          </m:rPr>
          <w:rPr>
            <w:rFonts w:ascii="Cambria Math" w:hAnsi="Cambria Math"/>
          </w:rPr>
          <m:t>df</m:t>
        </m:r>
        <m:r>
          <w:rPr>
            <w:rFonts w:ascii="Cambria Math" w:hAnsi="Cambria Math"/>
          </w:rPr>
          <m:t>=</m:t>
        </m:r>
        <m:r>
          <m:rPr>
            <m:sty m:val="bi"/>
          </m:rPr>
          <w:rPr>
            <w:rFonts w:ascii="Cambria Math" w:hAnsi="Cambria Math"/>
          </w:rPr>
          <m:t>2</m:t>
        </m:r>
      </m:oMath>
      <w:r w:rsidR="009E0950" w:rsidRPr="00FE45FD">
        <w:t>)</w:t>
      </w:r>
      <w:r w:rsidRPr="00FE45FD">
        <w:t>. Finally, we define the optimization function in terms of quantiles:</w:t>
      </w:r>
    </w:p>
    <w:p w14:paraId="5E4E10AE" w14:textId="5FEC087C" w:rsidR="001A18F9" w:rsidRPr="00FE45FD" w:rsidRDefault="00000000" w:rsidP="00FE45FD">
      <w:pPr>
        <w:pStyle w:val="Caption"/>
        <w:rPr>
          <w:iCs/>
          <w:sz w:val="20"/>
          <w:lang w:eastAsia="zh-CN"/>
        </w:rPr>
      </w:pPr>
      <m:oMathPara>
        <m:oMath>
          <m:eqArr>
            <m:eqArrPr>
              <m:maxDist m:val="1"/>
              <m:ctrlPr>
                <w:rPr>
                  <w:rFonts w:ascii="Cambria Math" w:hAnsi="Cambria Math"/>
                  <w:iCs/>
                  <w:sz w:val="20"/>
                  <w:lang w:eastAsia="zh-CN"/>
                </w:rPr>
              </m:ctrlPr>
            </m:eqArrPr>
            <m:e>
              <m:sSubSup>
                <m:sSubSupPr>
                  <m:ctrlPr>
                    <w:rPr>
                      <w:rFonts w:ascii="Cambria Math" w:hAnsi="Cambria Math"/>
                      <w:i/>
                      <w:sz w:val="20"/>
                    </w:rPr>
                  </m:ctrlPr>
                </m:sSubSupPr>
                <m:e>
                  <m:r>
                    <m:rPr>
                      <m:sty m:val="bi"/>
                    </m:rPr>
                    <w:rPr>
                      <w:rFonts w:ascii="Cambria Math" w:hAnsi="Cambria Math"/>
                      <w:sz w:val="20"/>
                    </w:rPr>
                    <m:t>μ</m:t>
                  </m:r>
                  <m:ctrlPr>
                    <w:rPr>
                      <w:rFonts w:ascii="Cambria Math" w:hAnsi="Cambria Math"/>
                      <w:iCs/>
                      <w:sz w:val="20"/>
                      <w:lang w:eastAsia="zh-CN"/>
                    </w:rPr>
                  </m:ctrlPr>
                </m:e>
                <m:sub>
                  <m:r>
                    <m:rPr>
                      <m:sty m:val="bi"/>
                    </m:rPr>
                    <w:rPr>
                      <w:rFonts w:ascii="Cambria Math" w:hAnsi="Cambria Math"/>
                      <w:sz w:val="20"/>
                    </w:rPr>
                    <m:t>t+h</m:t>
                  </m:r>
                </m:sub>
                <m:sup>
                  <m:r>
                    <m:rPr>
                      <m:sty m:val="bi"/>
                    </m:rPr>
                    <w:rPr>
                      <w:rFonts w:ascii="Cambria Math" w:hAnsi="Cambria Math"/>
                      <w:sz w:val="20"/>
                    </w:rPr>
                    <m:t>*</m:t>
                  </m:r>
                </m:sup>
              </m:sSubSup>
              <m:r>
                <m:rPr>
                  <m:sty m:val="bi"/>
                </m:rPr>
                <w:rPr>
                  <w:rFonts w:ascii="Cambria Math" w:hAnsi="Cambria Math"/>
                  <w:sz w:val="20"/>
                </w:rPr>
                <m:t>,</m:t>
              </m:r>
              <m:sSubSup>
                <m:sSubSupPr>
                  <m:ctrlPr>
                    <w:rPr>
                      <w:rFonts w:ascii="Cambria Math" w:hAnsi="Cambria Math"/>
                      <w:i/>
                      <w:sz w:val="20"/>
                    </w:rPr>
                  </m:ctrlPr>
                </m:sSubSupPr>
                <m:e>
                  <m:r>
                    <m:rPr>
                      <m:sty m:val="bi"/>
                    </m:rPr>
                    <w:rPr>
                      <w:rFonts w:ascii="Cambria Math" w:hAnsi="Cambria Math"/>
                      <w:sz w:val="20"/>
                    </w:rPr>
                    <m:t>σ</m:t>
                  </m:r>
                </m:e>
                <m:sub>
                  <m:r>
                    <m:rPr>
                      <m:sty m:val="bi"/>
                    </m:rPr>
                    <w:rPr>
                      <w:rFonts w:ascii="Cambria Math" w:hAnsi="Cambria Math"/>
                      <w:sz w:val="20"/>
                    </w:rPr>
                    <m:t>t+h</m:t>
                  </m:r>
                </m:sub>
                <m:sup>
                  <m:r>
                    <m:rPr>
                      <m:sty m:val="bi"/>
                    </m:rPr>
                    <w:rPr>
                      <w:rFonts w:ascii="Cambria Math" w:hAnsi="Cambria Math"/>
                      <w:sz w:val="20"/>
                    </w:rPr>
                    <m:t>*</m:t>
                  </m:r>
                </m:sup>
              </m:sSubSup>
              <m:r>
                <m:rPr>
                  <m:sty m:val="bi"/>
                </m:rPr>
                <w:rPr>
                  <w:rFonts w:ascii="Cambria Math" w:hAnsi="Cambria Math"/>
                  <w:sz w:val="20"/>
                </w:rPr>
                <m:t xml:space="preserve">, </m:t>
              </m:r>
              <m:sSubSup>
                <m:sSubSupPr>
                  <m:ctrlPr>
                    <w:rPr>
                      <w:rFonts w:ascii="Cambria Math" w:eastAsia="SimSun" w:hAnsi="Cambria Math"/>
                      <w:i/>
                      <w:sz w:val="20"/>
                      <w:lang w:eastAsia="zh-CN"/>
                    </w:rPr>
                  </m:ctrlPr>
                </m:sSubSupPr>
                <m:e>
                  <m:r>
                    <m:rPr>
                      <m:sty m:val="bi"/>
                    </m:rPr>
                    <w:rPr>
                      <w:rFonts w:ascii="Cambria Math" w:eastAsia="SimSun" w:hAnsi="Cambria Math"/>
                      <w:sz w:val="20"/>
                      <w:lang w:eastAsia="zh-CN"/>
                    </w:rPr>
                    <m:t>ξ</m:t>
                  </m:r>
                  <m:ctrlPr>
                    <w:rPr>
                      <w:rFonts w:ascii="Cambria Math" w:hAnsi="Cambria Math"/>
                      <w:i/>
                      <w:sz w:val="20"/>
                    </w:rPr>
                  </m:ctrlPr>
                </m:e>
                <m:sub>
                  <m:r>
                    <m:rPr>
                      <m:sty m:val="bi"/>
                    </m:rPr>
                    <w:rPr>
                      <w:rFonts w:ascii="Cambria Math" w:eastAsia="SimSun" w:hAnsi="Cambria Math"/>
                      <w:sz w:val="20"/>
                      <w:lang w:eastAsia="zh-CN"/>
                    </w:rPr>
                    <m:t>t+h</m:t>
                  </m:r>
                </m:sub>
                <m:sup>
                  <m:r>
                    <m:rPr>
                      <m:sty m:val="bi"/>
                    </m:rPr>
                    <w:rPr>
                      <w:rFonts w:ascii="Cambria Math" w:eastAsia="SimSun" w:hAnsi="Cambria Math"/>
                      <w:sz w:val="20"/>
                      <w:lang w:eastAsia="zh-CN"/>
                    </w:rPr>
                    <m:t>*</m:t>
                  </m:r>
                </m:sup>
              </m:sSubSup>
              <m:r>
                <m:rPr>
                  <m:sty m:val="bi"/>
                </m:rPr>
                <w:rPr>
                  <w:rFonts w:ascii="Cambria Math" w:eastAsia="SimSun" w:hAnsi="Cambria Math"/>
                  <w:sz w:val="20"/>
                  <w:lang w:eastAsia="zh-CN"/>
                </w:rPr>
                <m:t>=</m:t>
              </m:r>
              <m:r>
                <m:rPr>
                  <m:sty m:val="b"/>
                </m:rPr>
                <w:rPr>
                  <w:rFonts w:ascii="Cambria Math" w:eastAsia="SimSun" w:hAnsi="Cambria Math"/>
                  <w:sz w:val="20"/>
                  <w:lang w:eastAsia="zh-CN"/>
                </w:rPr>
                <m:t>argmin</m:t>
              </m:r>
              <m:d>
                <m:dPr>
                  <m:ctrlPr>
                    <w:rPr>
                      <w:rFonts w:ascii="Cambria Math" w:eastAsia="SimSun" w:hAnsi="Cambria Math"/>
                      <w:iCs/>
                      <w:sz w:val="20"/>
                      <w:lang w:eastAsia="zh-CN"/>
                    </w:rPr>
                  </m:ctrlPr>
                </m:dPr>
                <m:e>
                  <m:nary>
                    <m:naryPr>
                      <m:chr m:val="∑"/>
                      <m:limLoc m:val="undOvr"/>
                      <m:supHide m:val="1"/>
                      <m:ctrlPr>
                        <w:rPr>
                          <w:rFonts w:ascii="Cambria Math" w:eastAsia="SimSun" w:hAnsi="Cambria Math"/>
                          <w:i/>
                          <w:iCs/>
                          <w:sz w:val="20"/>
                          <w:lang w:eastAsia="zh-CN"/>
                        </w:rPr>
                      </m:ctrlPr>
                    </m:naryPr>
                    <m:sub>
                      <m:r>
                        <m:rPr>
                          <m:sty m:val="bi"/>
                        </m:rPr>
                        <w:rPr>
                          <w:rFonts w:ascii="Cambria Math" w:eastAsia="SimSun" w:hAnsi="Cambria Math"/>
                          <w:sz w:val="20"/>
                          <w:lang w:eastAsia="zh-CN"/>
                        </w:rPr>
                        <m:t>τ</m:t>
                      </m:r>
                    </m:sub>
                    <m:sup/>
                    <m:e>
                      <m:sSup>
                        <m:sSupPr>
                          <m:ctrlPr>
                            <w:rPr>
                              <w:rFonts w:ascii="Cambria Math" w:eastAsia="SimSun" w:hAnsi="Cambria Math"/>
                              <w:i/>
                              <w:iCs/>
                              <w:sz w:val="20"/>
                              <w:lang w:eastAsia="zh-CN"/>
                            </w:rPr>
                          </m:ctrlPr>
                        </m:sSupPr>
                        <m:e>
                          <m:d>
                            <m:dPr>
                              <m:ctrlPr>
                                <w:rPr>
                                  <w:rFonts w:ascii="Cambria Math" w:eastAsia="SimSun" w:hAnsi="Cambria Math"/>
                                  <w:i/>
                                  <w:iCs/>
                                  <w:sz w:val="20"/>
                                  <w:lang w:eastAsia="zh-CN"/>
                                </w:rPr>
                              </m:ctrlPr>
                            </m:dPr>
                            <m:e>
                              <m:r>
                                <m:rPr>
                                  <m:sty m:val="bi"/>
                                </m:rPr>
                                <w:rPr>
                                  <w:rFonts w:ascii="Cambria Math" w:eastAsia="SimSun" w:hAnsi="Cambria Math"/>
                                  <w:sz w:val="20"/>
                                  <w:lang w:eastAsia="zh-CN"/>
                                </w:rPr>
                                <m:t>F</m:t>
                              </m:r>
                              <m:d>
                                <m:dPr>
                                  <m:ctrlPr>
                                    <w:rPr>
                                      <w:rFonts w:ascii="Cambria Math" w:eastAsia="SimSun" w:hAnsi="Cambria Math"/>
                                      <w:i/>
                                      <w:iCs/>
                                      <w:sz w:val="20"/>
                                      <w:lang w:eastAsia="zh-CN"/>
                                    </w:rPr>
                                  </m:ctrlPr>
                                </m:dPr>
                                <m:e>
                                  <m:sSubSup>
                                    <m:sSubSupPr>
                                      <m:ctrlPr>
                                        <w:rPr>
                                          <w:rFonts w:ascii="Cambria Math" w:hAnsi="Cambria Math"/>
                                          <w:i/>
                                          <w:sz w:val="20"/>
                                        </w:rPr>
                                      </m:ctrlPr>
                                    </m:sSubSupPr>
                                    <m:e>
                                      <m:r>
                                        <m:rPr>
                                          <m:sty m:val="bi"/>
                                        </m:rPr>
                                        <w:rPr>
                                          <w:rFonts w:ascii="Cambria Math" w:hAnsi="Cambria Math"/>
                                          <w:sz w:val="20"/>
                                        </w:rPr>
                                        <m:t>y</m:t>
                                      </m:r>
                                      <m:ctrlPr>
                                        <w:rPr>
                                          <w:rFonts w:ascii="Cambria Math" w:eastAsia="SimSun" w:hAnsi="Cambria Math"/>
                                          <w:i/>
                                          <w:iCs/>
                                          <w:sz w:val="20"/>
                                          <w:lang w:eastAsia="zh-CN"/>
                                        </w:rPr>
                                      </m:ctrlPr>
                                    </m:e>
                                    <m:sub>
                                      <m:r>
                                        <m:rPr>
                                          <m:sty m:val="bi"/>
                                        </m:rPr>
                                        <w:rPr>
                                          <w:rFonts w:ascii="Cambria Math" w:hAnsi="Cambria Math"/>
                                          <w:sz w:val="20"/>
                                        </w:rPr>
                                        <m:t>t+h,τ</m:t>
                                      </m:r>
                                    </m:sub>
                                    <m:sup>
                                      <m:r>
                                        <m:rPr>
                                          <m:sty m:val="bi"/>
                                        </m:rPr>
                                        <w:rPr>
                                          <w:rFonts w:ascii="Cambria Math" w:hAnsi="Cambria Math"/>
                                          <w:sz w:val="20"/>
                                        </w:rPr>
                                        <m:t>*</m:t>
                                      </m:r>
                                    </m:sup>
                                  </m:sSubSup>
                                  <m:r>
                                    <m:rPr>
                                      <m:sty m:val="bi"/>
                                    </m:rPr>
                                    <w:rPr>
                                      <w:rFonts w:ascii="Cambria Math" w:eastAsia="SimSun" w:hAnsi="Cambria Math"/>
                                      <w:sz w:val="20"/>
                                      <w:lang w:eastAsia="zh-CN"/>
                                    </w:rPr>
                                    <m:t>,μ,σ,</m:t>
                                  </m:r>
                                  <m:r>
                                    <m:rPr>
                                      <m:sty m:val="b"/>
                                    </m:rPr>
                                    <w:rPr>
                                      <w:rFonts w:ascii="Cambria Math" w:eastAsia="SimSun" w:hAnsi="Cambria Math"/>
                                      <w:sz w:val="20"/>
                                      <w:lang w:eastAsia="zh-CN"/>
                                    </w:rPr>
                                    <m:t>d</m:t>
                                  </m:r>
                                  <m:sSup>
                                    <m:sSupPr>
                                      <m:ctrlPr>
                                        <w:rPr>
                                          <w:rFonts w:ascii="Cambria Math" w:eastAsia="SimSun" w:hAnsi="Cambria Math"/>
                                          <w:sz w:val="20"/>
                                          <w:lang w:eastAsia="zh-CN"/>
                                        </w:rPr>
                                      </m:ctrlPr>
                                    </m:sSupPr>
                                    <m:e>
                                      <m:r>
                                        <m:rPr>
                                          <m:sty m:val="b"/>
                                        </m:rPr>
                                        <w:rPr>
                                          <w:rFonts w:ascii="Cambria Math" w:eastAsia="SimSun" w:hAnsi="Cambria Math"/>
                                          <w:sz w:val="20"/>
                                          <w:lang w:eastAsia="zh-CN"/>
                                        </w:rPr>
                                        <m:t>f</m:t>
                                      </m:r>
                                    </m:e>
                                    <m:sup>
                                      <m:r>
                                        <m:rPr>
                                          <m:sty m:val="b"/>
                                        </m:rPr>
                                        <w:rPr>
                                          <w:rFonts w:ascii="Cambria Math" w:eastAsia="SimSun" w:hAnsi="Cambria Math"/>
                                          <w:sz w:val="20"/>
                                          <w:lang w:eastAsia="zh-CN"/>
                                        </w:rPr>
                                        <m:t>*</m:t>
                                      </m:r>
                                    </m:sup>
                                  </m:sSup>
                                  <m:r>
                                    <m:rPr>
                                      <m:sty m:val="bi"/>
                                    </m:rPr>
                                    <w:rPr>
                                      <w:rFonts w:ascii="Cambria Math" w:eastAsia="SimSun" w:hAnsi="Cambria Math"/>
                                      <w:sz w:val="20"/>
                                      <w:lang w:eastAsia="zh-CN"/>
                                    </w:rPr>
                                    <m:t>,ξ</m:t>
                                  </m:r>
                                </m:e>
                              </m:d>
                              <m:r>
                                <m:rPr>
                                  <m:sty m:val="bi"/>
                                </m:rPr>
                                <w:rPr>
                                  <w:rFonts w:ascii="Cambria Math" w:eastAsia="SimSun" w:hAnsi="Cambria Math"/>
                                  <w:sz w:val="20"/>
                                  <w:lang w:eastAsia="zh-CN"/>
                                </w:rPr>
                                <m:t>-τ</m:t>
                              </m:r>
                            </m:e>
                          </m:d>
                        </m:e>
                        <m:sup>
                          <m:r>
                            <m:rPr>
                              <m:sty m:val="bi"/>
                            </m:rPr>
                            <w:rPr>
                              <w:rFonts w:ascii="Cambria Math" w:eastAsia="SimSun" w:hAnsi="Cambria Math"/>
                              <w:sz w:val="20"/>
                              <w:lang w:eastAsia="zh-CN"/>
                            </w:rPr>
                            <m:t>2</m:t>
                          </m:r>
                        </m:sup>
                      </m:sSup>
                    </m:e>
                  </m:nary>
                  <m:r>
                    <m:rPr>
                      <m:sty m:val="bi"/>
                    </m:rPr>
                    <w:rPr>
                      <w:rFonts w:ascii="Cambria Math" w:eastAsia="SimSun" w:hAnsi="Cambria Math"/>
                      <w:sz w:val="20"/>
                      <w:lang w:eastAsia="zh-CN"/>
                    </w:rPr>
                    <m:t xml:space="preserve"> </m:t>
                  </m:r>
                </m:e>
              </m:d>
              <m:r>
                <m:rPr>
                  <m:sty m:val="bi"/>
                </m:rPr>
                <w:rPr>
                  <w:rFonts w:ascii="Cambria Math" w:hAnsi="Cambria Math"/>
                  <w:sz w:val="20"/>
                </w:rPr>
                <m:t>#</m:t>
              </m:r>
              <m:d>
                <m:dPr>
                  <m:ctrlPr>
                    <w:rPr>
                      <w:rFonts w:ascii="Cambria Math" w:hAnsi="Cambria Math"/>
                      <w:iCs/>
                      <w:sz w:val="20"/>
                      <w:lang w:eastAsia="zh-CN"/>
                    </w:rPr>
                  </m:ctrlPr>
                </m:dPr>
                <m:e>
                  <m:r>
                    <m:rPr>
                      <m:sty m:val="b"/>
                    </m:rPr>
                    <w:rPr>
                      <w:rFonts w:ascii="Cambria Math" w:hAnsi="Cambria Math"/>
                      <w:iCs/>
                      <w:sz w:val="20"/>
                      <w:lang w:eastAsia="zh-CN"/>
                    </w:rPr>
                    <w:fldChar w:fldCharType="begin"/>
                  </m:r>
                  <m:r>
                    <m:rPr>
                      <m:sty m:val="b"/>
                    </m:rPr>
                    <w:rPr>
                      <w:rFonts w:ascii="Cambria Math" w:hAnsi="Cambria Math"/>
                      <w:sz w:val="20"/>
                      <w:lang w:eastAsia="zh-CN"/>
                    </w:rPr>
                    <m:t xml:space="preserve"> SEQ Equation \* ARABIC </m:t>
                  </m:r>
                  <m:r>
                    <m:rPr>
                      <m:sty m:val="b"/>
                    </m:rPr>
                    <w:rPr>
                      <w:rFonts w:ascii="Cambria Math" w:hAnsi="Cambria Math"/>
                      <w:iCs/>
                      <w:sz w:val="20"/>
                      <w:lang w:eastAsia="zh-CN"/>
                    </w:rPr>
                    <w:fldChar w:fldCharType="separate"/>
                  </m:r>
                  <m:r>
                    <m:rPr>
                      <m:sty m:val="b"/>
                    </m:rPr>
                    <w:rPr>
                      <w:rFonts w:ascii="Cambria Math" w:hAnsi="Cambria Math"/>
                      <w:noProof/>
                      <w:sz w:val="20"/>
                      <w:lang w:eastAsia="zh-CN"/>
                    </w:rPr>
                    <m:t>17</m:t>
                  </m:r>
                  <m:r>
                    <m:rPr>
                      <m:sty m:val="b"/>
                    </m:rPr>
                    <w:rPr>
                      <w:rFonts w:ascii="Cambria Math" w:hAnsi="Cambria Math"/>
                      <w:iCs/>
                      <w:sz w:val="20"/>
                      <w:lang w:eastAsia="zh-CN"/>
                    </w:rPr>
                    <w:fldChar w:fldCharType="end"/>
                  </m:r>
                </m:e>
              </m:d>
            </m:e>
          </m:eqArr>
        </m:oMath>
      </m:oMathPara>
    </w:p>
    <w:p w14:paraId="3696A345" w14:textId="4E84A1C0" w:rsidR="00554FF5" w:rsidRPr="00554FF5" w:rsidRDefault="00B55BA6" w:rsidP="00707ADB">
      <w:pPr>
        <w:ind w:firstLine="284"/>
        <w:rPr>
          <w:b/>
        </w:rPr>
      </w:pPr>
      <w:r w:rsidRPr="00FE45FD">
        <w:rPr>
          <w:iCs/>
          <w:lang w:eastAsia="zh-CN"/>
        </w:rPr>
        <w:t xml:space="preserve">After the </w:t>
      </w:r>
      <w:r w:rsidRPr="00FE45FD">
        <w:t xml:space="preserve">location, scale and </w:t>
      </w:r>
      <w:r w:rsidRPr="00FE45FD">
        <w:rPr>
          <w:lang w:eastAsia="zh-CN"/>
        </w:rPr>
        <w:t xml:space="preserve">skewness </w:t>
      </w:r>
      <w:r w:rsidRPr="00FE45FD">
        <w:t xml:space="preserve">parameters are estimated they can be used to generate the t-skew PDF and CDF at time at time </w:t>
      </w:r>
      <m:oMath>
        <m:r>
          <m:rPr>
            <m:sty m:val="bi"/>
          </m:rPr>
          <w:rPr>
            <w:rFonts w:ascii="Cambria Math" w:hAnsi="Cambria Math"/>
          </w:rPr>
          <m:t>t+h</m:t>
        </m:r>
      </m:oMath>
      <w:r>
        <w:t>.</w:t>
      </w:r>
    </w:p>
    <w:p w14:paraId="515418E4" w14:textId="29FEE933" w:rsidR="000036C9" w:rsidRDefault="000036C9" w:rsidP="000036C9">
      <w:pPr>
        <w:pStyle w:val="SectionHeading"/>
        <w:numPr>
          <w:ilvl w:val="1"/>
          <w:numId w:val="9"/>
        </w:numPr>
      </w:pPr>
      <w:r>
        <w:t>Data</w:t>
      </w:r>
    </w:p>
    <w:p w14:paraId="01EEF8E7" w14:textId="63E00894" w:rsidR="005C366F" w:rsidRDefault="00720C6F" w:rsidP="00720C6F">
      <w:r>
        <w:t>The panel model for this study utilizes a quarterly dataset covering 41 countries and 16 variables (19, including interaction effects) for the period from 1993 to 2020. The majority of the data was sourced from two key International Monetary Fund (IMF) databases: the International Financial Statistics (IFS) and the Financial Soundness Indicators (FSI) (IMF, 2024). For data related to equity indices, we relied on the Global Economic Monitor (GEM) database (2023), maintained by the World Bank (WB).</w:t>
      </w:r>
      <w:r w:rsidR="00B97B98">
        <w:t xml:space="preserve"> </w:t>
      </w:r>
      <w:r w:rsidR="005C366F">
        <w:t xml:space="preserve">Some of the variables related to government bond rates were extracted from individual central bank websites. </w:t>
      </w:r>
      <w:r w:rsidRPr="00720C6F">
        <w:t>Lastly, data for the MPI was sourced from the iMaPP database</w:t>
      </w:r>
      <w:r w:rsidR="005C366F">
        <w:t xml:space="preserve"> </w:t>
      </w:r>
      <w:sdt>
        <w:sdtPr>
          <w:id w:val="865639156"/>
          <w:citation/>
        </w:sdtPr>
        <w:sdtContent>
          <w:r w:rsidR="005C366F">
            <w:fldChar w:fldCharType="begin"/>
          </w:r>
          <w:r w:rsidR="005C366F">
            <w:instrText xml:space="preserve"> CITATION Alam19 \l 1033 </w:instrText>
          </w:r>
          <w:r w:rsidR="005C366F">
            <w:fldChar w:fldCharType="separate"/>
          </w:r>
          <w:r w:rsidR="00C8403C">
            <w:rPr>
              <w:noProof/>
            </w:rPr>
            <w:t>(Alam, et al., 2019)</w:t>
          </w:r>
          <w:r w:rsidR="005C366F">
            <w:fldChar w:fldCharType="end"/>
          </w:r>
        </w:sdtContent>
      </w:sdt>
      <w:r w:rsidR="005C366F">
        <w:t>.</w:t>
      </w:r>
    </w:p>
    <w:p w14:paraId="3019FE49" w14:textId="4AF10FF0" w:rsidR="0059269E" w:rsidRDefault="00083E46" w:rsidP="00E546A0">
      <w:pPr>
        <w:ind w:firstLine="284"/>
      </w:pPr>
      <w:r>
        <w:t xml:space="preserve">The </w:t>
      </w:r>
      <w:r w:rsidR="00433499">
        <w:t xml:space="preserve">Armenian model effectively utilized </w:t>
      </w:r>
      <w:r w:rsidR="00032EC4">
        <w:t>32</w:t>
      </w:r>
      <w:r w:rsidR="00E546A0">
        <w:t xml:space="preserve"> variables</w:t>
      </w:r>
      <w:r w:rsidR="00105200">
        <w:t xml:space="preserve"> (</w:t>
      </w:r>
      <w:r w:rsidR="00E546A0">
        <w:t>3</w:t>
      </w:r>
      <w:r w:rsidR="00032EC4">
        <w:t>5</w:t>
      </w:r>
      <w:r w:rsidR="00105200">
        <w:t xml:space="preserve"> with </w:t>
      </w:r>
      <w:r w:rsidR="00105200" w:rsidRPr="00813F15">
        <w:t>interaction</w:t>
      </w:r>
      <w:r w:rsidR="00105200">
        <w:t xml:space="preserve"> </w:t>
      </w:r>
      <w:r w:rsidR="00105200" w:rsidRPr="00813F15">
        <w:t>effects</w:t>
      </w:r>
      <w:r w:rsidR="00105200">
        <w:t>)</w:t>
      </w:r>
      <w:r w:rsidR="00433499">
        <w:t xml:space="preserve"> </w:t>
      </w:r>
      <w:r w:rsidR="00D60AFD">
        <w:t>covering the period from 2003 to 2024</w:t>
      </w:r>
      <w:r w:rsidR="00433499">
        <w:t xml:space="preserve">. The FCI required </w:t>
      </w:r>
      <w:r w:rsidR="00E546A0">
        <w:t>8</w:t>
      </w:r>
      <w:r w:rsidR="00433499">
        <w:t xml:space="preserve"> interest</w:t>
      </w:r>
      <w:r w:rsidR="00CC7357">
        <w:t>-</w:t>
      </w:r>
      <w:r w:rsidR="00433499">
        <w:t xml:space="preserve">rate related variables, FCyI was constructed using </w:t>
      </w:r>
      <w:r w:rsidR="00E546A0">
        <w:t>9</w:t>
      </w:r>
      <w:r w:rsidR="00433499">
        <w:t xml:space="preserve"> credit</w:t>
      </w:r>
      <w:r w:rsidR="00CC7357">
        <w:t>-</w:t>
      </w:r>
      <w:r w:rsidR="00433499">
        <w:t xml:space="preserve">related variables, </w:t>
      </w:r>
      <w:r w:rsidR="00E546A0">
        <w:t xml:space="preserve">the </w:t>
      </w:r>
      <w:r w:rsidR="00E546A0">
        <w:lastRenderedPageBreak/>
        <w:t xml:space="preserve">MI </w:t>
      </w:r>
      <w:r w:rsidR="00E546A0" w:rsidRPr="00E546A0">
        <w:t>incorporated</w:t>
      </w:r>
      <w:r w:rsidR="00E546A0">
        <w:t xml:space="preserve"> 10 macroeconomic variables, </w:t>
      </w:r>
      <w:r w:rsidR="00433499">
        <w:t xml:space="preserve">while the final model included </w:t>
      </w:r>
      <w:r w:rsidR="00032EC4">
        <w:t>8</w:t>
      </w:r>
      <w:r w:rsidR="00433499">
        <w:t xml:space="preserve"> </w:t>
      </w:r>
      <w:r w:rsidR="00433499" w:rsidRPr="00433499">
        <w:t xml:space="preserve">exogenous </w:t>
      </w:r>
      <w:r w:rsidR="00433499">
        <w:t xml:space="preserve">indicators (including the </w:t>
      </w:r>
      <w:r w:rsidR="00E546A0">
        <w:t>three</w:t>
      </w:r>
      <w:r w:rsidR="00433499">
        <w:t xml:space="preserve"> </w:t>
      </w:r>
      <w:r w:rsidR="00433499" w:rsidRPr="00433499">
        <w:t>indices</w:t>
      </w:r>
      <w:r w:rsidR="00433499">
        <w:t xml:space="preserve">). All of the data for the local model were collected from the </w:t>
      </w:r>
      <w:r w:rsidR="00CC7357">
        <w:t>C</w:t>
      </w:r>
      <w:r w:rsidR="00433499" w:rsidRPr="00433499">
        <w:t xml:space="preserve">entral </w:t>
      </w:r>
      <w:r w:rsidR="00CC7357">
        <w:t>B</w:t>
      </w:r>
      <w:r w:rsidR="00433499" w:rsidRPr="00433499">
        <w:t xml:space="preserve">ank of </w:t>
      </w:r>
      <w:r w:rsidR="00433499">
        <w:t>Armenia.</w:t>
      </w:r>
      <w:r w:rsidR="00B9450D">
        <w:rPr>
          <w:rStyle w:val="FootnoteReference"/>
        </w:rPr>
        <w:footnoteReference w:id="2"/>
      </w:r>
    </w:p>
    <w:p w14:paraId="3E751907" w14:textId="611A675F" w:rsidR="001D439C" w:rsidRDefault="004F1BA1" w:rsidP="004525E8">
      <w:pPr>
        <w:pStyle w:val="SectionHeading"/>
      </w:pPr>
      <w:r>
        <w:t>Results</w:t>
      </w:r>
    </w:p>
    <w:p w14:paraId="675E0C6E" w14:textId="369F653C" w:rsidR="00CA1878" w:rsidRDefault="004F76B2" w:rsidP="000036C9">
      <w:pPr>
        <w:pStyle w:val="SectionHeading"/>
        <w:numPr>
          <w:ilvl w:val="1"/>
          <w:numId w:val="9"/>
        </w:numPr>
      </w:pPr>
      <w:r>
        <w:t>Q</w:t>
      </w:r>
      <w:r w:rsidR="00CA1878">
        <w:t xml:space="preserve">uantile regression </w:t>
      </w:r>
      <w:r w:rsidR="00CA1878" w:rsidRPr="00363032">
        <w:t>estimates</w:t>
      </w:r>
      <w:r>
        <w:t xml:space="preserve"> for panel and local models</w:t>
      </w:r>
    </w:p>
    <w:p w14:paraId="4C19B424" w14:textId="5C91BA95" w:rsidR="00002747" w:rsidRDefault="008E466F" w:rsidP="006D0017">
      <w:r>
        <w:t xml:space="preserve">To </w:t>
      </w:r>
      <w:r w:rsidRPr="008E466F">
        <w:t>analyze</w:t>
      </w:r>
      <w:r>
        <w:t xml:space="preserve"> the </w:t>
      </w:r>
      <w:r w:rsidRPr="008E466F">
        <w:t>relationship</w:t>
      </w:r>
      <w:r>
        <w:t xml:space="preserve"> between systemic risks, </w:t>
      </w:r>
      <w:r w:rsidRPr="008E466F">
        <w:t>macroprudential policy</w:t>
      </w:r>
      <w:r w:rsidR="005A42E9">
        <w:t>,</w:t>
      </w:r>
      <w:r>
        <w:t xml:space="preserve"> and GDP growth</w:t>
      </w:r>
      <w:r w:rsidR="00362985">
        <w:t>,</w:t>
      </w:r>
      <w:r>
        <w:t xml:space="preserve"> </w:t>
      </w:r>
      <w:r w:rsidR="00362985">
        <w:t xml:space="preserve">we use </w:t>
      </w:r>
      <w:r w:rsidR="00D112CB">
        <w:t xml:space="preserve">the </w:t>
      </w:r>
      <w:r w:rsidR="00362985">
        <w:t xml:space="preserve">model estimates </w:t>
      </w:r>
      <w:r w:rsidR="00D112CB">
        <w:t>of</w:t>
      </w:r>
      <w:r w:rsidR="00F824A6">
        <w:t xml:space="preserve"> </w:t>
      </w:r>
      <w:r w:rsidRPr="000A7127">
        <w:rPr>
          <w:b/>
          <w:bCs/>
        </w:rPr>
        <w:t>Equation 5</w:t>
      </w:r>
      <w:r>
        <w:t xml:space="preserve"> and </w:t>
      </w:r>
      <w:r w:rsidRPr="000A7127">
        <w:rPr>
          <w:b/>
          <w:bCs/>
        </w:rPr>
        <w:t>Equation 8</w:t>
      </w:r>
      <w:r w:rsidR="000A7127">
        <w:t xml:space="preserve"> </w:t>
      </w:r>
      <w:r w:rsidR="00362985">
        <w:t xml:space="preserve">as the foundation for </w:t>
      </w:r>
      <w:r w:rsidR="00D112CB">
        <w:t>the</w:t>
      </w:r>
      <w:r w:rsidR="00362985">
        <w:t xml:space="preserve"> comparisons.</w:t>
      </w:r>
      <w:r w:rsidR="00002747">
        <w:t xml:space="preserve"> </w:t>
      </w:r>
      <w:r w:rsidR="00BA6A77" w:rsidRPr="00BA6A77">
        <w:rPr>
          <w:b/>
          <w:bCs/>
        </w:rPr>
        <w:fldChar w:fldCharType="begin"/>
      </w:r>
      <w:r w:rsidR="00BA6A77" w:rsidRPr="00BA6A77">
        <w:rPr>
          <w:b/>
          <w:bCs/>
        </w:rPr>
        <w:instrText xml:space="preserve"> REF _Ref169641594 \h </w:instrText>
      </w:r>
      <w:r w:rsidR="00BA6A77">
        <w:rPr>
          <w:b/>
          <w:bCs/>
        </w:rPr>
        <w:instrText xml:space="preserve"> \* MERGEFORMAT </w:instrText>
      </w:r>
      <w:r w:rsidR="00BA6A77" w:rsidRPr="00BA6A77">
        <w:rPr>
          <w:b/>
          <w:bCs/>
        </w:rPr>
      </w:r>
      <w:r w:rsidR="00BA6A77" w:rsidRPr="00BA6A77">
        <w:rPr>
          <w:b/>
          <w:bCs/>
        </w:rPr>
        <w:fldChar w:fldCharType="separate"/>
      </w:r>
      <w:r w:rsidR="00BA6A77" w:rsidRPr="00BA6A77">
        <w:rPr>
          <w:b/>
          <w:bCs/>
        </w:rPr>
        <w:t xml:space="preserve">Figure </w:t>
      </w:r>
      <w:r w:rsidR="00BA6A77" w:rsidRPr="00BA6A77">
        <w:rPr>
          <w:b/>
          <w:bCs/>
          <w:noProof/>
        </w:rPr>
        <w:t>9</w:t>
      </w:r>
      <w:r w:rsidR="00BA6A77" w:rsidRPr="00BA6A77">
        <w:rPr>
          <w:b/>
          <w:bCs/>
        </w:rPr>
        <w:fldChar w:fldCharType="end"/>
      </w:r>
      <w:r w:rsidR="006D0017">
        <w:t xml:space="preserve"> </w:t>
      </w:r>
      <w:r w:rsidR="00BA6A77">
        <w:t xml:space="preserve">and </w:t>
      </w:r>
      <w:r w:rsidR="00BA6A77" w:rsidRPr="00BA6A77">
        <w:rPr>
          <w:b/>
          <w:bCs/>
        </w:rPr>
        <w:fldChar w:fldCharType="begin"/>
      </w:r>
      <w:r w:rsidR="00BA6A77" w:rsidRPr="00BA6A77">
        <w:rPr>
          <w:b/>
          <w:bCs/>
        </w:rPr>
        <w:instrText xml:space="preserve"> REF _Ref177059749 \h </w:instrText>
      </w:r>
      <w:r w:rsidR="00BA6A77">
        <w:rPr>
          <w:b/>
          <w:bCs/>
        </w:rPr>
        <w:instrText xml:space="preserve"> \* MERGEFORMAT </w:instrText>
      </w:r>
      <w:r w:rsidR="00BA6A77" w:rsidRPr="00BA6A77">
        <w:rPr>
          <w:b/>
          <w:bCs/>
        </w:rPr>
      </w:r>
      <w:r w:rsidR="00BA6A77" w:rsidRPr="00BA6A77">
        <w:rPr>
          <w:b/>
          <w:bCs/>
        </w:rPr>
        <w:fldChar w:fldCharType="separate"/>
      </w:r>
      <w:r w:rsidR="00BA6A77" w:rsidRPr="00BA6A77">
        <w:rPr>
          <w:b/>
          <w:bCs/>
        </w:rPr>
        <w:t xml:space="preserve">Figure </w:t>
      </w:r>
      <w:r w:rsidR="00BA6A77" w:rsidRPr="00BA6A77">
        <w:rPr>
          <w:b/>
          <w:bCs/>
          <w:noProof/>
        </w:rPr>
        <w:t>10</w:t>
      </w:r>
      <w:r w:rsidR="00BA6A77" w:rsidRPr="00BA6A77">
        <w:rPr>
          <w:b/>
          <w:bCs/>
        </w:rPr>
        <w:fldChar w:fldCharType="end"/>
      </w:r>
      <w:r w:rsidR="00BA6A77">
        <w:t xml:space="preserve"> </w:t>
      </w:r>
      <w:r w:rsidR="003365AF">
        <w:t>illustrate</w:t>
      </w:r>
      <w:r w:rsidR="00BA6A77">
        <w:t xml:space="preserve"> the </w:t>
      </w:r>
      <w:r w:rsidR="006D0017">
        <w:t>goodness of fit</w:t>
      </w:r>
      <w:r w:rsidR="00BA6A77">
        <w:t xml:space="preserve"> of the panel and local quantile regression models across </w:t>
      </w:r>
      <w:r w:rsidR="003365AF">
        <w:t xml:space="preserve">various </w:t>
      </w:r>
      <w:r w:rsidR="00BA6A77">
        <w:t xml:space="preserve">quantiles and horizons. </w:t>
      </w:r>
      <w:r w:rsidR="004478D8">
        <w:t>Specifically, horizons 4, 8, and 12 represent GDP growth projections for 1, 2, and 3 years ahead</w:t>
      </w:r>
      <w:r w:rsidR="006D0017">
        <w:t>.</w:t>
      </w:r>
      <w:r w:rsidR="004530BB">
        <w:t xml:space="preserve"> </w:t>
      </w:r>
      <w:r w:rsidR="00002747">
        <w:t xml:space="preserve">The models demonstrate optimal in-sample performance at the lower and upper quantiles of the GDP growth distribution. </w:t>
      </w:r>
      <w:r w:rsidR="006D0017">
        <w:t xml:space="preserve">This outcome is by design since our </w:t>
      </w:r>
      <w:r w:rsidR="004530BB">
        <w:t>focus is on tail risks.</w:t>
      </w:r>
      <w:r w:rsidR="00002747">
        <w:t xml:space="preserve"> </w:t>
      </w:r>
      <w:r w:rsidR="00102180">
        <w:t xml:space="preserve">In the panel model, the strongest fit occurs when predicting GDP growth 2-3 years ahead, whereas the local model excels in forecasting 1-2 years ahead. </w:t>
      </w:r>
      <w:r w:rsidR="00002747">
        <w:t xml:space="preserve">This </w:t>
      </w:r>
      <w:r w:rsidR="00102180">
        <w:t xml:space="preserve">may </w:t>
      </w:r>
      <w:r w:rsidR="00002747">
        <w:t xml:space="preserve">suggest that the lag between systemic risk buildup and its materialization </w:t>
      </w:r>
      <w:r w:rsidR="00F824A6">
        <w:t>is</w:t>
      </w:r>
      <w:r w:rsidR="00002747">
        <w:t xml:space="preserve"> shorter in Armenia compared to other countries. </w:t>
      </w:r>
      <w:r w:rsidR="00F824A6" w:rsidRPr="00F824A6">
        <w:t>Therefore</w:t>
      </w:r>
      <w:r w:rsidR="00002747" w:rsidRPr="00002747">
        <w:t xml:space="preserve">, </w:t>
      </w:r>
      <w:r w:rsidR="00102180">
        <w:t>we adopt the 1-year ahead estimates as the primary benchmark for our comparisons and discussions.</w:t>
      </w:r>
    </w:p>
    <w:p w14:paraId="4481A780" w14:textId="77777777" w:rsidR="006D0017" w:rsidRDefault="006D0017" w:rsidP="00ED6A45">
      <w:pPr>
        <w:spacing w:after="0" w:line="240" w:lineRule="auto"/>
      </w:pPr>
      <w:r>
        <w:rPr>
          <w:noProof/>
        </w:rPr>
        <w:drawing>
          <wp:inline distT="0" distB="0" distL="0" distR="0" wp14:anchorId="352A02B4" wp14:editId="0A8B3F72">
            <wp:extent cx="5541606" cy="16188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9"/>
                    <a:stretch>
                      <a:fillRect/>
                    </a:stretch>
                  </pic:blipFill>
                  <pic:spPr>
                    <a:xfrm>
                      <a:off x="0" y="0"/>
                      <a:ext cx="5541606" cy="1618896"/>
                    </a:xfrm>
                    <a:prstGeom prst="rect">
                      <a:avLst/>
                    </a:prstGeom>
                  </pic:spPr>
                </pic:pic>
              </a:graphicData>
            </a:graphic>
          </wp:inline>
        </w:drawing>
      </w:r>
    </w:p>
    <w:p w14:paraId="4F24023F" w14:textId="57793AD3" w:rsidR="007C73E4" w:rsidRDefault="006D0017" w:rsidP="00701311">
      <w:pPr>
        <w:pStyle w:val="Caption"/>
        <w:spacing w:before="0"/>
        <w:jc w:val="both"/>
      </w:pPr>
      <w:bookmarkStart w:id="8" w:name="_Ref169641594"/>
      <w:r>
        <w:t xml:space="preserve">Figure </w:t>
      </w:r>
      <w:fldSimple w:instr=" SEQ Figure \* ARABIC ">
        <w:r w:rsidR="00E941CA">
          <w:rPr>
            <w:noProof/>
          </w:rPr>
          <w:t>9</w:t>
        </w:r>
      </w:fldSimple>
      <w:bookmarkEnd w:id="8"/>
      <w:r>
        <w:t xml:space="preserve">. </w:t>
      </w:r>
      <w:r w:rsidRPr="00F9493F">
        <w:rPr>
          <w:b w:val="0"/>
          <w:bCs/>
        </w:rPr>
        <w:t xml:space="preserve">Pseudo r-squared for </w:t>
      </w:r>
      <w:r w:rsidR="00E31489" w:rsidRPr="00F9493F">
        <w:rPr>
          <w:b w:val="0"/>
          <w:bCs/>
        </w:rPr>
        <w:t xml:space="preserve">panel </w:t>
      </w:r>
      <w:r w:rsidRPr="00F9493F">
        <w:rPr>
          <w:b w:val="0"/>
          <w:bCs/>
        </w:rPr>
        <w:t xml:space="preserve">quantile regression estimates across quantiles and horizons. OLS r-squared displayed as a dashed line. Note: generally, quantile regression and OLS </w:t>
      </w:r>
      <w:r w:rsidR="00F64B6C">
        <w:rPr>
          <w:b w:val="0"/>
          <w:bCs/>
        </w:rPr>
        <w:t>(</w:t>
      </w:r>
      <w:r w:rsidR="00F64B6C" w:rsidRPr="00F64B6C">
        <w:rPr>
          <w:b w:val="0"/>
          <w:bCs/>
        </w:rPr>
        <w:t>pseudo</w:t>
      </w:r>
      <w:r w:rsidR="00F64B6C">
        <w:rPr>
          <w:b w:val="0"/>
          <w:bCs/>
        </w:rPr>
        <w:t xml:space="preserve">) </w:t>
      </w:r>
      <w:r w:rsidRPr="00F9493F">
        <w:rPr>
          <w:b w:val="0"/>
          <w:bCs/>
        </w:rPr>
        <w:t>r-squared aren’t comparable. They are here for convenience.</w:t>
      </w:r>
    </w:p>
    <w:p w14:paraId="6350F05A" w14:textId="77777777" w:rsidR="00E31489" w:rsidRDefault="00E31489" w:rsidP="00786A77">
      <w:pPr>
        <w:spacing w:after="0" w:line="240" w:lineRule="auto"/>
        <w:jc w:val="left"/>
      </w:pPr>
      <w:r>
        <w:rPr>
          <w:noProof/>
        </w:rPr>
        <w:lastRenderedPageBreak/>
        <w:drawing>
          <wp:inline distT="0" distB="0" distL="0" distR="0" wp14:anchorId="3217520E" wp14:editId="6FCF95C6">
            <wp:extent cx="5943600" cy="173609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0"/>
                    <a:stretch>
                      <a:fillRect/>
                    </a:stretch>
                  </pic:blipFill>
                  <pic:spPr>
                    <a:xfrm>
                      <a:off x="0" y="0"/>
                      <a:ext cx="5943600" cy="1736090"/>
                    </a:xfrm>
                    <a:prstGeom prst="rect">
                      <a:avLst/>
                    </a:prstGeom>
                  </pic:spPr>
                </pic:pic>
              </a:graphicData>
            </a:graphic>
          </wp:inline>
        </w:drawing>
      </w:r>
    </w:p>
    <w:p w14:paraId="524A6AF2" w14:textId="5F54366E" w:rsidR="00E31489" w:rsidRDefault="00E31489" w:rsidP="00701311">
      <w:pPr>
        <w:pStyle w:val="Caption"/>
        <w:spacing w:before="0"/>
        <w:jc w:val="left"/>
        <w:rPr>
          <w:b w:val="0"/>
          <w:bCs/>
        </w:rPr>
      </w:pPr>
      <w:bookmarkStart w:id="9" w:name="_Ref177059749"/>
      <w:r>
        <w:t xml:space="preserve">Figure </w:t>
      </w:r>
      <w:fldSimple w:instr=" SEQ Figure \* ARABIC ">
        <w:r w:rsidR="00E941CA">
          <w:rPr>
            <w:noProof/>
          </w:rPr>
          <w:t>10</w:t>
        </w:r>
      </w:fldSimple>
      <w:bookmarkEnd w:id="9"/>
      <w:r>
        <w:t xml:space="preserve">. </w:t>
      </w:r>
      <w:r w:rsidRPr="00E31489">
        <w:rPr>
          <w:b w:val="0"/>
          <w:bCs/>
        </w:rPr>
        <w:t xml:space="preserve">Pseudo r-squared for </w:t>
      </w:r>
      <w:r>
        <w:rPr>
          <w:b w:val="0"/>
          <w:bCs/>
        </w:rPr>
        <w:t>local</w:t>
      </w:r>
      <w:r w:rsidRPr="00E31489">
        <w:rPr>
          <w:b w:val="0"/>
          <w:bCs/>
        </w:rPr>
        <w:t xml:space="preserve"> quantile regression estimates across quantiles and horizons. OLS r-squared displayed as a dashed line.</w:t>
      </w:r>
    </w:p>
    <w:p w14:paraId="24DD690B" w14:textId="77777777" w:rsidR="003208E8" w:rsidRDefault="00E16E33" w:rsidP="003208E8">
      <w:pPr>
        <w:ind w:firstLine="284"/>
      </w:pPr>
      <w:r w:rsidRPr="00E16E33">
        <w:rPr>
          <w:b/>
          <w:bCs/>
        </w:rPr>
        <w:fldChar w:fldCharType="begin"/>
      </w:r>
      <w:r w:rsidRPr="00E16E33">
        <w:rPr>
          <w:b/>
          <w:bCs/>
        </w:rPr>
        <w:instrText xml:space="preserve"> REF _Ref177063772 \h </w:instrText>
      </w:r>
      <w:r>
        <w:rPr>
          <w:b/>
          <w:bCs/>
        </w:rPr>
        <w:instrText xml:space="preserve"> \* MERGEFORMAT </w:instrText>
      </w:r>
      <w:r w:rsidRPr="00E16E33">
        <w:rPr>
          <w:b/>
          <w:bCs/>
        </w:rPr>
      </w:r>
      <w:r w:rsidRPr="00E16E33">
        <w:rPr>
          <w:b/>
          <w:bCs/>
        </w:rPr>
        <w:fldChar w:fldCharType="separate"/>
      </w:r>
      <w:r w:rsidRPr="00E16E33">
        <w:rPr>
          <w:b/>
          <w:bCs/>
        </w:rPr>
        <w:t xml:space="preserve">Figure </w:t>
      </w:r>
      <w:r w:rsidRPr="00E16E33">
        <w:rPr>
          <w:b/>
          <w:bCs/>
          <w:noProof/>
        </w:rPr>
        <w:t>11</w:t>
      </w:r>
      <w:r w:rsidRPr="00E16E33">
        <w:rPr>
          <w:b/>
          <w:bCs/>
        </w:rPr>
        <w:fldChar w:fldCharType="end"/>
      </w:r>
      <w:r>
        <w:t xml:space="preserve"> and </w:t>
      </w:r>
      <w:r w:rsidRPr="00E16E33">
        <w:rPr>
          <w:b/>
          <w:bCs/>
        </w:rPr>
        <w:fldChar w:fldCharType="begin"/>
      </w:r>
      <w:r w:rsidRPr="00E16E33">
        <w:rPr>
          <w:b/>
          <w:bCs/>
        </w:rPr>
        <w:instrText xml:space="preserve"> REF _Ref177063791 \h </w:instrText>
      </w:r>
      <w:r>
        <w:rPr>
          <w:b/>
          <w:bCs/>
        </w:rPr>
        <w:instrText xml:space="preserve"> \* MERGEFORMAT </w:instrText>
      </w:r>
      <w:r w:rsidRPr="00E16E33">
        <w:rPr>
          <w:b/>
          <w:bCs/>
        </w:rPr>
      </w:r>
      <w:r w:rsidRPr="00E16E33">
        <w:rPr>
          <w:b/>
          <w:bCs/>
        </w:rPr>
        <w:fldChar w:fldCharType="separate"/>
      </w:r>
      <w:r w:rsidRPr="00E16E33">
        <w:rPr>
          <w:b/>
          <w:bCs/>
        </w:rPr>
        <w:t xml:space="preserve">Figure </w:t>
      </w:r>
      <w:r w:rsidRPr="00E16E33">
        <w:rPr>
          <w:b/>
          <w:bCs/>
          <w:noProof/>
        </w:rPr>
        <w:t>12</w:t>
      </w:r>
      <w:r w:rsidRPr="00E16E33">
        <w:rPr>
          <w:b/>
          <w:bCs/>
        </w:rPr>
        <w:fldChar w:fldCharType="end"/>
      </w:r>
      <w:r w:rsidR="0023205F">
        <w:t xml:space="preserve"> display the quantile regression coefficients for the FCyI in the local and panel models, respectively.</w:t>
      </w:r>
      <w:r w:rsidR="0023205F" w:rsidRPr="0023205F">
        <w:t xml:space="preserve"> </w:t>
      </w:r>
      <w:r w:rsidR="0023205F">
        <w:t>In the local model, the FCyI shows a negative but insignificant effect in the short run, while its negative impact becomes significant over the long run. Conversely, the panel model demonstrates a consistently negative and significant FCyI effect in both the short and long run.</w:t>
      </w:r>
    </w:p>
    <w:p w14:paraId="2CD58059" w14:textId="0F750A7B" w:rsidR="00156721" w:rsidRDefault="003208E8" w:rsidP="003208E8">
      <w:pPr>
        <w:ind w:firstLine="284"/>
      </w:pPr>
      <w:r>
        <w:t xml:space="preserve">Additionally, the results reveal heterogeneous effects of FCyI across the distribution, with more pronounced impacts in the lower quantiles. This indicates that increases in FCyI exacerbate tail risks, </w:t>
      </w:r>
      <w:r w:rsidR="0034259A">
        <w:t>suggest</w:t>
      </w:r>
      <w:r>
        <w:t>ing</w:t>
      </w:r>
      <w:r w:rsidR="0034259A">
        <w:t xml:space="preserve"> </w:t>
      </w:r>
      <w:r w:rsidR="00161A70">
        <w:t>that it</w:t>
      </w:r>
      <w:r w:rsidR="0034259A">
        <w:t xml:space="preserve"> would increase distance-to-tail, which is in line </w:t>
      </w:r>
      <w:r w:rsidR="000F5428">
        <w:t xml:space="preserve">with the theory of business and financial cycles where a maturity or a peak phase is followed by a </w:t>
      </w:r>
      <w:r w:rsidR="000F5428" w:rsidRPr="0040207D">
        <w:t>contraction</w:t>
      </w:r>
      <w:r w:rsidR="000F5428">
        <w:t>.</w:t>
      </w:r>
      <w:r w:rsidR="005A4172">
        <w:t xml:space="preserve"> </w:t>
      </w:r>
      <w:r w:rsidR="00156721">
        <w:t>The results suggest that financial vulnerabilities affect the economy in the medium</w:t>
      </w:r>
      <w:r w:rsidR="003C0420">
        <w:t>-</w:t>
      </w:r>
      <w:r w:rsidR="00156721">
        <w:t xml:space="preserve">term. This relationship was also observed in Portugal where credit aggregates were the most relevant </w:t>
      </w:r>
      <w:r w:rsidR="00161A70">
        <w:t>medium-term</w:t>
      </w:r>
      <w:r w:rsidR="00156721">
        <w:t xml:space="preserve"> predictors of future GDP growth </w:t>
      </w:r>
      <w:sdt>
        <w:sdtPr>
          <w:id w:val="442813035"/>
          <w:citation/>
        </w:sdtPr>
        <w:sdtContent>
          <w:r w:rsidR="00156721">
            <w:fldChar w:fldCharType="begin"/>
          </w:r>
          <w:r w:rsidR="00156721">
            <w:instrText xml:space="preserve"> CITATION Pra19 \l 1033 </w:instrText>
          </w:r>
          <w:r w:rsidR="00156721">
            <w:fldChar w:fldCharType="separate"/>
          </w:r>
          <w:r w:rsidR="00C8403C">
            <w:rPr>
              <w:noProof/>
            </w:rPr>
            <w:t>(Adrian, et al., 2019)</w:t>
          </w:r>
          <w:r w:rsidR="00156721">
            <w:fldChar w:fldCharType="end"/>
          </w:r>
        </w:sdtContent>
      </w:sdt>
      <w:r w:rsidR="00156721">
        <w:t>.</w:t>
      </w:r>
    </w:p>
    <w:p w14:paraId="01261D27" w14:textId="77777777" w:rsidR="00A942C6" w:rsidRDefault="00A942C6" w:rsidP="00786A77">
      <w:pPr>
        <w:spacing w:after="0" w:line="240" w:lineRule="auto"/>
        <w:jc w:val="left"/>
      </w:pPr>
      <w:r>
        <w:rPr>
          <w:noProof/>
        </w:rPr>
        <w:drawing>
          <wp:inline distT="0" distB="0" distL="0" distR="0" wp14:anchorId="5B0C5F90" wp14:editId="6D8CF660">
            <wp:extent cx="5943600" cy="145478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1"/>
                    <a:stretch>
                      <a:fillRect/>
                    </a:stretch>
                  </pic:blipFill>
                  <pic:spPr>
                    <a:xfrm>
                      <a:off x="0" y="0"/>
                      <a:ext cx="5943600" cy="1454785"/>
                    </a:xfrm>
                    <a:prstGeom prst="rect">
                      <a:avLst/>
                    </a:prstGeom>
                  </pic:spPr>
                </pic:pic>
              </a:graphicData>
            </a:graphic>
          </wp:inline>
        </w:drawing>
      </w:r>
    </w:p>
    <w:p w14:paraId="770ECE95" w14:textId="3644D192" w:rsidR="00A942C6" w:rsidRDefault="00A942C6" w:rsidP="00A942C6">
      <w:pPr>
        <w:pStyle w:val="Caption"/>
        <w:spacing w:before="0"/>
        <w:jc w:val="left"/>
        <w:rPr>
          <w:b w:val="0"/>
          <w:bCs/>
        </w:rPr>
      </w:pPr>
      <w:bookmarkStart w:id="10" w:name="_Ref177063772"/>
      <w:r>
        <w:t xml:space="preserve">Figure </w:t>
      </w:r>
      <w:fldSimple w:instr=" SEQ Figure \* ARABIC ">
        <w:r w:rsidR="00E941CA">
          <w:rPr>
            <w:noProof/>
          </w:rPr>
          <w:t>11</w:t>
        </w:r>
      </w:fldSimple>
      <w:bookmarkEnd w:id="10"/>
      <w:r>
        <w:t xml:space="preserve">. </w:t>
      </w:r>
      <w:r w:rsidRPr="00A942C6">
        <w:rPr>
          <w:b w:val="0"/>
          <w:bCs/>
        </w:rPr>
        <w:t xml:space="preserve">Local model </w:t>
      </w:r>
      <w:r w:rsidR="00413083">
        <w:rPr>
          <w:b w:val="0"/>
          <w:bCs/>
        </w:rPr>
        <w:t>F</w:t>
      </w:r>
      <w:r w:rsidR="00413083" w:rsidRPr="00413083">
        <w:rPr>
          <w:b w:val="0"/>
          <w:bCs/>
        </w:rPr>
        <w:t>inancial</w:t>
      </w:r>
      <w:r w:rsidR="00413083">
        <w:rPr>
          <w:b w:val="0"/>
          <w:bCs/>
        </w:rPr>
        <w:t xml:space="preserve"> C</w:t>
      </w:r>
      <w:r w:rsidR="00413083" w:rsidRPr="00413083">
        <w:rPr>
          <w:b w:val="0"/>
          <w:bCs/>
        </w:rPr>
        <w:t xml:space="preserve">ycle </w:t>
      </w:r>
      <w:r w:rsidR="00413083">
        <w:rPr>
          <w:b w:val="0"/>
          <w:bCs/>
        </w:rPr>
        <w:t>I</w:t>
      </w:r>
      <w:r w:rsidR="00413083" w:rsidRPr="00413083">
        <w:rPr>
          <w:b w:val="0"/>
          <w:bCs/>
        </w:rPr>
        <w:t>ndex</w:t>
      </w:r>
      <w:r w:rsidRPr="00A942C6">
        <w:rPr>
          <w:b w:val="0"/>
          <w:bCs/>
        </w:rPr>
        <w:t xml:space="preserve"> coefficients</w:t>
      </w:r>
      <w:r w:rsidR="004F76B2">
        <w:rPr>
          <w:b w:val="0"/>
          <w:bCs/>
        </w:rPr>
        <w:t xml:space="preserve">. </w:t>
      </w:r>
      <w:r w:rsidR="004F76B2" w:rsidRPr="000A7310">
        <w:rPr>
          <w:b w:val="0"/>
          <w:bCs/>
        </w:rPr>
        <w:t>Estimated quantile regression coefficients for horizons 4, 8 and 12. The grey shaded areas represent the 95% confidence intervals. The dashed horizontal line presents the OLS coefficient.</w:t>
      </w:r>
    </w:p>
    <w:p w14:paraId="5DE0675A" w14:textId="77777777" w:rsidR="00F831EB" w:rsidRDefault="00F831EB" w:rsidP="00725863">
      <w:pPr>
        <w:spacing w:after="0" w:line="240" w:lineRule="auto"/>
      </w:pPr>
      <w:r>
        <w:rPr>
          <w:noProof/>
        </w:rPr>
        <w:lastRenderedPageBreak/>
        <w:drawing>
          <wp:inline distT="0" distB="0" distL="0" distR="0" wp14:anchorId="7A3B7BF2" wp14:editId="09F58F5E">
            <wp:extent cx="5943600" cy="145478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2"/>
                    <a:stretch>
                      <a:fillRect/>
                    </a:stretch>
                  </pic:blipFill>
                  <pic:spPr>
                    <a:xfrm>
                      <a:off x="0" y="0"/>
                      <a:ext cx="5943600" cy="1454785"/>
                    </a:xfrm>
                    <a:prstGeom prst="rect">
                      <a:avLst/>
                    </a:prstGeom>
                  </pic:spPr>
                </pic:pic>
              </a:graphicData>
            </a:graphic>
          </wp:inline>
        </w:drawing>
      </w:r>
    </w:p>
    <w:p w14:paraId="1E6E5C20" w14:textId="081B7780" w:rsidR="00D026AD" w:rsidRDefault="00F831EB" w:rsidP="00F831EB">
      <w:pPr>
        <w:pStyle w:val="Caption"/>
        <w:jc w:val="left"/>
        <w:rPr>
          <w:b w:val="0"/>
          <w:bCs/>
        </w:rPr>
      </w:pPr>
      <w:bookmarkStart w:id="11" w:name="_Ref177063791"/>
      <w:r>
        <w:t xml:space="preserve">Figure </w:t>
      </w:r>
      <w:fldSimple w:instr=" SEQ Figure \* ARABIC ">
        <w:r w:rsidR="00E941CA">
          <w:rPr>
            <w:noProof/>
          </w:rPr>
          <w:t>12</w:t>
        </w:r>
      </w:fldSimple>
      <w:bookmarkEnd w:id="11"/>
      <w:r>
        <w:t xml:space="preserve">. </w:t>
      </w:r>
      <w:r w:rsidRPr="00F831EB">
        <w:rPr>
          <w:b w:val="0"/>
          <w:bCs/>
        </w:rPr>
        <w:t xml:space="preserve">Panel model </w:t>
      </w:r>
      <w:r w:rsidR="00413083">
        <w:rPr>
          <w:b w:val="0"/>
          <w:bCs/>
        </w:rPr>
        <w:t>F</w:t>
      </w:r>
      <w:r w:rsidR="00413083" w:rsidRPr="00413083">
        <w:rPr>
          <w:b w:val="0"/>
          <w:bCs/>
        </w:rPr>
        <w:t>inancial</w:t>
      </w:r>
      <w:r w:rsidR="00413083">
        <w:rPr>
          <w:b w:val="0"/>
          <w:bCs/>
        </w:rPr>
        <w:t xml:space="preserve"> C</w:t>
      </w:r>
      <w:r w:rsidR="00413083" w:rsidRPr="00413083">
        <w:rPr>
          <w:b w:val="0"/>
          <w:bCs/>
        </w:rPr>
        <w:t xml:space="preserve">ycle </w:t>
      </w:r>
      <w:r w:rsidR="00413083">
        <w:rPr>
          <w:b w:val="0"/>
          <w:bCs/>
        </w:rPr>
        <w:t>I</w:t>
      </w:r>
      <w:r w:rsidR="00413083" w:rsidRPr="00413083">
        <w:rPr>
          <w:b w:val="0"/>
          <w:bCs/>
        </w:rPr>
        <w:t>ndex</w:t>
      </w:r>
      <w:r w:rsidR="00413083" w:rsidRPr="00A942C6">
        <w:rPr>
          <w:b w:val="0"/>
          <w:bCs/>
        </w:rPr>
        <w:t xml:space="preserve"> coefficients</w:t>
      </w:r>
      <w:r w:rsidR="00413083">
        <w:rPr>
          <w:b w:val="0"/>
          <w:bCs/>
        </w:rPr>
        <w:t>.</w:t>
      </w:r>
    </w:p>
    <w:p w14:paraId="32240C32" w14:textId="77777777" w:rsidR="00DB08D7" w:rsidRDefault="00705F1E" w:rsidP="00DB08D7">
      <w:pPr>
        <w:ind w:firstLine="284"/>
      </w:pPr>
      <w:r w:rsidRPr="00705F1E">
        <w:rPr>
          <w:b/>
          <w:bCs/>
        </w:rPr>
        <w:fldChar w:fldCharType="begin"/>
      </w:r>
      <w:r w:rsidRPr="00705F1E">
        <w:rPr>
          <w:b/>
          <w:bCs/>
        </w:rPr>
        <w:instrText xml:space="preserve"> REF _Ref177065303 \h </w:instrText>
      </w:r>
      <w:r>
        <w:rPr>
          <w:b/>
          <w:bCs/>
        </w:rPr>
        <w:instrText xml:space="preserve"> \* MERGEFORMAT </w:instrText>
      </w:r>
      <w:r w:rsidRPr="00705F1E">
        <w:rPr>
          <w:b/>
          <w:bCs/>
        </w:rPr>
      </w:r>
      <w:r w:rsidRPr="00705F1E">
        <w:rPr>
          <w:b/>
          <w:bCs/>
        </w:rPr>
        <w:fldChar w:fldCharType="separate"/>
      </w:r>
      <w:r w:rsidRPr="00705F1E">
        <w:rPr>
          <w:b/>
          <w:bCs/>
        </w:rPr>
        <w:t xml:space="preserve">Figure </w:t>
      </w:r>
      <w:r w:rsidRPr="00705F1E">
        <w:rPr>
          <w:b/>
          <w:bCs/>
          <w:noProof/>
        </w:rPr>
        <w:t>13</w:t>
      </w:r>
      <w:r w:rsidRPr="00705F1E">
        <w:rPr>
          <w:b/>
          <w:bCs/>
        </w:rPr>
        <w:fldChar w:fldCharType="end"/>
      </w:r>
      <w:r>
        <w:t xml:space="preserve"> and </w:t>
      </w:r>
      <w:r w:rsidRPr="00705F1E">
        <w:rPr>
          <w:b/>
          <w:bCs/>
        </w:rPr>
        <w:fldChar w:fldCharType="begin"/>
      </w:r>
      <w:r w:rsidRPr="00705F1E">
        <w:rPr>
          <w:b/>
          <w:bCs/>
        </w:rPr>
        <w:instrText xml:space="preserve"> REF _Ref177065314 \h </w:instrText>
      </w:r>
      <w:r>
        <w:rPr>
          <w:b/>
          <w:bCs/>
        </w:rPr>
        <w:instrText xml:space="preserve"> \* MERGEFORMAT </w:instrText>
      </w:r>
      <w:r w:rsidRPr="00705F1E">
        <w:rPr>
          <w:b/>
          <w:bCs/>
        </w:rPr>
      </w:r>
      <w:r w:rsidRPr="00705F1E">
        <w:rPr>
          <w:b/>
          <w:bCs/>
        </w:rPr>
        <w:fldChar w:fldCharType="separate"/>
      </w:r>
      <w:r w:rsidRPr="00705F1E">
        <w:rPr>
          <w:b/>
          <w:bCs/>
        </w:rPr>
        <w:t xml:space="preserve">Figure </w:t>
      </w:r>
      <w:r w:rsidRPr="00705F1E">
        <w:rPr>
          <w:b/>
          <w:bCs/>
          <w:noProof/>
        </w:rPr>
        <w:t>14</w:t>
      </w:r>
      <w:r w:rsidRPr="00705F1E">
        <w:rPr>
          <w:b/>
          <w:bCs/>
        </w:rPr>
        <w:fldChar w:fldCharType="end"/>
      </w:r>
      <w:r w:rsidR="00C363D3">
        <w:t xml:space="preserve"> </w:t>
      </w:r>
      <w:r w:rsidRPr="00705F1E">
        <w:t xml:space="preserve">present the quantile regression coefficients for the </w:t>
      </w:r>
      <w:r>
        <w:t>FCI</w:t>
      </w:r>
      <w:r w:rsidRPr="00705F1E">
        <w:t xml:space="preserve"> </w:t>
      </w:r>
      <w:r w:rsidR="00C363D3" w:rsidRPr="00C363D3">
        <w:t>in both the local and panel models.</w:t>
      </w:r>
      <w:r w:rsidR="00C363D3">
        <w:t xml:space="preserve"> </w:t>
      </w:r>
      <w:r w:rsidR="00C363D3" w:rsidRPr="00C363D3">
        <w:t>In the local model, the FCI is positive and largely significant in the short run but becomes insignificant over the long</w:t>
      </w:r>
      <w:r w:rsidR="00C363D3">
        <w:t>-</w:t>
      </w:r>
      <w:r w:rsidR="00C363D3" w:rsidRPr="00C363D3">
        <w:t>term.</w:t>
      </w:r>
      <w:r w:rsidR="00C363D3">
        <w:t xml:space="preserve"> </w:t>
      </w:r>
      <w:r w:rsidR="00DB08D7" w:rsidRPr="00C363D3">
        <w:t xml:space="preserve">In contrast, the panel model shows that FCI remains significant across both time </w:t>
      </w:r>
      <w:r w:rsidR="00DB08D7" w:rsidRPr="00DB08D7">
        <w:t>dimensions</w:t>
      </w:r>
      <w:r w:rsidR="00DB08D7">
        <w:t xml:space="preserve">, </w:t>
      </w:r>
      <w:r w:rsidR="00DB08D7" w:rsidRPr="00C363D3">
        <w:t>though its effect varies considerably.</w:t>
      </w:r>
      <w:r w:rsidR="00DB08D7">
        <w:t xml:space="preserve"> </w:t>
      </w:r>
      <w:r w:rsidR="00DB08D7" w:rsidRPr="00DB08D7">
        <w:t>The FCI negatively impacts the left and right tails while positively influencing the middle quantiles.</w:t>
      </w:r>
    </w:p>
    <w:p w14:paraId="4BB10DCB" w14:textId="356B293D" w:rsidR="00DB08D7" w:rsidRPr="00C81722" w:rsidRDefault="001B65A9" w:rsidP="002D3CB2">
      <w:pPr>
        <w:ind w:firstLine="284"/>
      </w:pPr>
      <w:r>
        <w:t xml:space="preserve">A high FCI </w:t>
      </w:r>
      <w:r w:rsidR="00DB08D7" w:rsidRPr="00DB08D7">
        <w:t>reflects</w:t>
      </w:r>
      <w:r>
        <w:t xml:space="preserve"> tight financial conditions. In the near term, this effect should be negative</w:t>
      </w:r>
      <w:r w:rsidR="00715DD5">
        <w:t xml:space="preserve">, yet </w:t>
      </w:r>
      <w:r>
        <w:t xml:space="preserve">due to </w:t>
      </w:r>
      <w:r w:rsidR="00E8575D">
        <w:t>its</w:t>
      </w:r>
      <w:r>
        <w:t xml:space="preserve"> </w:t>
      </w:r>
      <w:r w:rsidRPr="001B65A9">
        <w:t>cyclical</w:t>
      </w:r>
      <w:r w:rsidR="00DB08D7">
        <w:t xml:space="preserve"> and</w:t>
      </w:r>
      <w:r w:rsidR="00201D29">
        <w:t xml:space="preserve"> mean</w:t>
      </w:r>
      <w:r w:rsidR="00640CF9">
        <w:t>-</w:t>
      </w:r>
      <w:r w:rsidR="00201D29">
        <w:t xml:space="preserve">reverting </w:t>
      </w:r>
      <w:r w:rsidRPr="001B65A9">
        <w:t>nature</w:t>
      </w:r>
      <w:r w:rsidR="00640CF9">
        <w:t>,</w:t>
      </w:r>
      <w:r w:rsidR="00201D29">
        <w:t xml:space="preserve"> </w:t>
      </w:r>
      <w:r w:rsidR="00715DD5">
        <w:t>it</w:t>
      </w:r>
      <w:r w:rsidR="00201D29">
        <w:t xml:space="preserve"> will eventually normalize, boosting future growth </w:t>
      </w:r>
      <w:sdt>
        <w:sdtPr>
          <w:id w:val="1322008805"/>
          <w:citation/>
        </w:sdtPr>
        <w:sdtContent>
          <w:r w:rsidR="00201D29">
            <w:fldChar w:fldCharType="begin"/>
          </w:r>
          <w:r w:rsidR="00201D29">
            <w:instrText xml:space="preserve"> CITATION Pra19 \l 1033 </w:instrText>
          </w:r>
          <w:r w:rsidR="00201D29">
            <w:fldChar w:fldCharType="separate"/>
          </w:r>
          <w:r w:rsidR="00C8403C">
            <w:rPr>
              <w:noProof/>
            </w:rPr>
            <w:t>(Adrian, et al., 2019)</w:t>
          </w:r>
          <w:r w:rsidR="00201D29">
            <w:fldChar w:fldCharType="end"/>
          </w:r>
        </w:sdtContent>
      </w:sdt>
      <w:r w:rsidR="00201D29">
        <w:t xml:space="preserve">. </w:t>
      </w:r>
      <w:r w:rsidR="00DB08D7" w:rsidRPr="00DB08D7">
        <w:t>The positive short-term coefficient in the local model likely reflects this cycle, where financial stress is followed by economic recovery.</w:t>
      </w:r>
      <w:r w:rsidR="00201D29">
        <w:t xml:space="preserve"> </w:t>
      </w:r>
      <w:r w:rsidR="002D3CB2" w:rsidRPr="002D3CB2">
        <w:t>Meanwhile, the negative effect on the left tail in the panel model underscores the long-term negative externalities that financial stress can create.</w:t>
      </w:r>
      <w:r w:rsidR="005D5D79">
        <w:t xml:space="preserve"> </w:t>
      </w:r>
      <w:r w:rsidR="002D3CB2" w:rsidRPr="00DB08D7">
        <w:t>Overall, the literature suggests</w:t>
      </w:r>
      <w:r w:rsidR="005D5D79">
        <w:t xml:space="preserve"> that FCIs should primarily </w:t>
      </w:r>
      <w:r w:rsidR="002D3CB2" w:rsidRPr="00DB08D7">
        <w:t>exert</w:t>
      </w:r>
      <w:r w:rsidR="005D5D79">
        <w:t xml:space="preserve"> short-term effects on the GDP growth distribution (ESRB, 2021).</w:t>
      </w:r>
    </w:p>
    <w:p w14:paraId="784ECE36" w14:textId="77777777" w:rsidR="00AC1EBE" w:rsidRDefault="00AC1EBE" w:rsidP="00D42BD9">
      <w:pPr>
        <w:spacing w:after="0" w:line="240" w:lineRule="auto"/>
      </w:pPr>
      <w:r>
        <w:rPr>
          <w:noProof/>
        </w:rPr>
        <w:drawing>
          <wp:inline distT="0" distB="0" distL="0" distR="0" wp14:anchorId="1ED37237" wp14:editId="1C6D7A04">
            <wp:extent cx="5943600" cy="145478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3"/>
                    <a:stretch>
                      <a:fillRect/>
                    </a:stretch>
                  </pic:blipFill>
                  <pic:spPr>
                    <a:xfrm>
                      <a:off x="0" y="0"/>
                      <a:ext cx="5943600" cy="1454785"/>
                    </a:xfrm>
                    <a:prstGeom prst="rect">
                      <a:avLst/>
                    </a:prstGeom>
                  </pic:spPr>
                </pic:pic>
              </a:graphicData>
            </a:graphic>
          </wp:inline>
        </w:drawing>
      </w:r>
    </w:p>
    <w:p w14:paraId="6677C853" w14:textId="0207D7B7" w:rsidR="00AC1EBE" w:rsidRDefault="00AC1EBE" w:rsidP="00AC1EBE">
      <w:pPr>
        <w:pStyle w:val="Caption"/>
        <w:jc w:val="left"/>
        <w:rPr>
          <w:b w:val="0"/>
          <w:bCs/>
        </w:rPr>
      </w:pPr>
      <w:bookmarkStart w:id="12" w:name="_Ref177065303"/>
      <w:r>
        <w:t xml:space="preserve">Figure </w:t>
      </w:r>
      <w:fldSimple w:instr=" SEQ Figure \* ARABIC ">
        <w:r w:rsidR="00E941CA">
          <w:rPr>
            <w:noProof/>
          </w:rPr>
          <w:t>13</w:t>
        </w:r>
      </w:fldSimple>
      <w:bookmarkEnd w:id="12"/>
      <w:r>
        <w:t xml:space="preserve">. </w:t>
      </w:r>
      <w:r w:rsidR="00F64F43" w:rsidRPr="00A942C6">
        <w:rPr>
          <w:b w:val="0"/>
          <w:bCs/>
        </w:rPr>
        <w:t xml:space="preserve">Local model </w:t>
      </w:r>
      <w:r w:rsidR="00F64F43">
        <w:rPr>
          <w:b w:val="0"/>
          <w:bCs/>
        </w:rPr>
        <w:t>F</w:t>
      </w:r>
      <w:r w:rsidR="00F64F43" w:rsidRPr="00F64F43">
        <w:rPr>
          <w:b w:val="0"/>
          <w:bCs/>
        </w:rPr>
        <w:t xml:space="preserve">inancial </w:t>
      </w:r>
      <w:r w:rsidR="00F64F43">
        <w:rPr>
          <w:b w:val="0"/>
          <w:bCs/>
        </w:rPr>
        <w:t>C</w:t>
      </w:r>
      <w:r w:rsidR="00F64F43" w:rsidRPr="00F64F43">
        <w:rPr>
          <w:b w:val="0"/>
          <w:bCs/>
        </w:rPr>
        <w:t xml:space="preserve">onditions </w:t>
      </w:r>
      <w:r w:rsidR="00F64F43">
        <w:rPr>
          <w:b w:val="0"/>
          <w:bCs/>
        </w:rPr>
        <w:t>I</w:t>
      </w:r>
      <w:r w:rsidR="00F64F43" w:rsidRPr="00F64F43">
        <w:rPr>
          <w:b w:val="0"/>
          <w:bCs/>
        </w:rPr>
        <w:t>ndex</w:t>
      </w:r>
      <w:r w:rsidR="00F64F43" w:rsidRPr="00A942C6">
        <w:rPr>
          <w:b w:val="0"/>
          <w:bCs/>
        </w:rPr>
        <w:t xml:space="preserve"> coefficients</w:t>
      </w:r>
      <w:r w:rsidR="00F64F43">
        <w:rPr>
          <w:b w:val="0"/>
          <w:bCs/>
        </w:rPr>
        <w:t xml:space="preserve">. </w:t>
      </w:r>
      <w:r w:rsidR="00F64F43" w:rsidRPr="000A7310">
        <w:rPr>
          <w:b w:val="0"/>
          <w:bCs/>
        </w:rPr>
        <w:t>Estimated quantile regression coefficients for horizons 4, 8 and 12. The grey shaded areas represent the 95% confidence intervals. The dashed horizontal line presents the OLS coefficient.</w:t>
      </w:r>
    </w:p>
    <w:p w14:paraId="6CE0AC33" w14:textId="77777777" w:rsidR="002D2175" w:rsidRDefault="002D2175" w:rsidP="000F7EAB">
      <w:pPr>
        <w:spacing w:after="0" w:line="240" w:lineRule="auto"/>
      </w:pPr>
      <w:r>
        <w:rPr>
          <w:noProof/>
        </w:rPr>
        <w:lastRenderedPageBreak/>
        <w:drawing>
          <wp:inline distT="0" distB="0" distL="0" distR="0" wp14:anchorId="402B3923" wp14:editId="2499FC5F">
            <wp:extent cx="5943600" cy="145478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4"/>
                    <a:stretch>
                      <a:fillRect/>
                    </a:stretch>
                  </pic:blipFill>
                  <pic:spPr>
                    <a:xfrm>
                      <a:off x="0" y="0"/>
                      <a:ext cx="5943600" cy="1454785"/>
                    </a:xfrm>
                    <a:prstGeom prst="rect">
                      <a:avLst/>
                    </a:prstGeom>
                  </pic:spPr>
                </pic:pic>
              </a:graphicData>
            </a:graphic>
          </wp:inline>
        </w:drawing>
      </w:r>
    </w:p>
    <w:p w14:paraId="51BF40CE" w14:textId="26A1B3B4" w:rsidR="00736679" w:rsidRPr="00164EF0" w:rsidRDefault="002D2175" w:rsidP="00164EF0">
      <w:pPr>
        <w:pStyle w:val="Caption"/>
        <w:jc w:val="left"/>
        <w:rPr>
          <w:b w:val="0"/>
          <w:bCs/>
        </w:rPr>
      </w:pPr>
      <w:bookmarkStart w:id="13" w:name="_Ref177065314"/>
      <w:r>
        <w:t xml:space="preserve">Figure </w:t>
      </w:r>
      <w:fldSimple w:instr=" SEQ Figure \* ARABIC ">
        <w:r w:rsidR="00E941CA">
          <w:rPr>
            <w:noProof/>
          </w:rPr>
          <w:t>14</w:t>
        </w:r>
      </w:fldSimple>
      <w:bookmarkEnd w:id="13"/>
      <w:r>
        <w:t xml:space="preserve">. </w:t>
      </w:r>
      <w:r w:rsidRPr="002D2175">
        <w:rPr>
          <w:b w:val="0"/>
          <w:bCs/>
        </w:rPr>
        <w:t>Panel</w:t>
      </w:r>
      <w:r w:rsidR="00254C00">
        <w:rPr>
          <w:b w:val="0"/>
          <w:bCs/>
        </w:rPr>
        <w:t xml:space="preserve"> </w:t>
      </w:r>
      <w:r w:rsidR="00254C00" w:rsidRPr="00A942C6">
        <w:rPr>
          <w:b w:val="0"/>
          <w:bCs/>
        </w:rPr>
        <w:t xml:space="preserve">model </w:t>
      </w:r>
      <w:r w:rsidR="00254C00">
        <w:rPr>
          <w:b w:val="0"/>
          <w:bCs/>
        </w:rPr>
        <w:t>F</w:t>
      </w:r>
      <w:r w:rsidR="00254C00" w:rsidRPr="00F64F43">
        <w:rPr>
          <w:b w:val="0"/>
          <w:bCs/>
        </w:rPr>
        <w:t xml:space="preserve">inancial </w:t>
      </w:r>
      <w:r w:rsidR="00254C00">
        <w:rPr>
          <w:b w:val="0"/>
          <w:bCs/>
        </w:rPr>
        <w:t>C</w:t>
      </w:r>
      <w:r w:rsidR="00254C00" w:rsidRPr="00F64F43">
        <w:rPr>
          <w:b w:val="0"/>
          <w:bCs/>
        </w:rPr>
        <w:t xml:space="preserve">onditions </w:t>
      </w:r>
      <w:r w:rsidR="00254C00">
        <w:rPr>
          <w:b w:val="0"/>
          <w:bCs/>
        </w:rPr>
        <w:t>I</w:t>
      </w:r>
      <w:r w:rsidR="00254C00" w:rsidRPr="00F64F43">
        <w:rPr>
          <w:b w:val="0"/>
          <w:bCs/>
        </w:rPr>
        <w:t>ndex</w:t>
      </w:r>
      <w:r w:rsidR="00254C00" w:rsidRPr="00A942C6">
        <w:rPr>
          <w:b w:val="0"/>
          <w:bCs/>
        </w:rPr>
        <w:t xml:space="preserve"> coefficients</w:t>
      </w:r>
      <w:r w:rsidR="00254C00">
        <w:rPr>
          <w:b w:val="0"/>
          <w:bCs/>
        </w:rPr>
        <w:t>.</w:t>
      </w:r>
    </w:p>
    <w:p w14:paraId="443FF598" w14:textId="24D949D3" w:rsidR="00CA1878" w:rsidRDefault="00CA1878" w:rsidP="000036C9">
      <w:pPr>
        <w:pStyle w:val="SectionHeading"/>
        <w:numPr>
          <w:ilvl w:val="1"/>
          <w:numId w:val="9"/>
        </w:numPr>
      </w:pPr>
      <w:r>
        <w:t xml:space="preserve">The impact of </w:t>
      </w:r>
      <w:r w:rsidRPr="004F1BA1">
        <w:t>macroprudential policy</w:t>
      </w:r>
      <w:r>
        <w:t xml:space="preserve"> on output growth </w:t>
      </w:r>
      <w:r w:rsidRPr="00363032">
        <w:t>distribution</w:t>
      </w:r>
    </w:p>
    <w:p w14:paraId="2442863A" w14:textId="5D7B54AF" w:rsidR="00864E74" w:rsidRDefault="008E31AC" w:rsidP="00CD33BE">
      <w:pPr>
        <w:jc w:val="left"/>
      </w:pPr>
      <w:r w:rsidRPr="008E31AC">
        <w:t>Macroprudential policy</w:t>
      </w:r>
      <w:r>
        <w:t xml:space="preserve"> enters the panel and local </w:t>
      </w:r>
      <w:r w:rsidRPr="008E31AC">
        <w:t>equations</w:t>
      </w:r>
      <w:r>
        <w:t xml:space="preserve"> through both direct and indirect </w:t>
      </w:r>
      <w:r w:rsidR="008276EA">
        <w:t>(</w:t>
      </w:r>
      <w:r w:rsidRPr="008E31AC">
        <w:t>interaction</w:t>
      </w:r>
      <w:r w:rsidR="008276EA">
        <w:t>)</w:t>
      </w:r>
      <w:r>
        <w:t xml:space="preserve"> effects.</w:t>
      </w:r>
      <w:r w:rsidR="00864E74">
        <w:t xml:space="preserve"> Direct effects capture the benefits of increased resilience from policy interventions, as well as the associated costs. </w:t>
      </w:r>
      <w:r w:rsidR="00864E74" w:rsidRPr="00864E74">
        <w:t>Interaction effects, on the other hand, capture the role of macroprudential policy in mitigating systemic risks.</w:t>
      </w:r>
    </w:p>
    <w:p w14:paraId="76B75310" w14:textId="2F71FB91" w:rsidR="005B2AA7" w:rsidRDefault="0038618C" w:rsidP="005B2AA7">
      <w:pPr>
        <w:ind w:firstLine="284"/>
        <w:jc w:val="left"/>
      </w:pPr>
      <w:r w:rsidRPr="0038618C">
        <w:rPr>
          <w:b/>
          <w:bCs/>
        </w:rPr>
        <w:fldChar w:fldCharType="begin"/>
      </w:r>
      <w:r w:rsidRPr="0038618C">
        <w:rPr>
          <w:b/>
          <w:bCs/>
        </w:rPr>
        <w:instrText xml:space="preserve"> REF _Ref177067801 \h </w:instrText>
      </w:r>
      <w:r>
        <w:rPr>
          <w:b/>
          <w:bCs/>
        </w:rPr>
        <w:instrText xml:space="preserve"> \* MERGEFORMAT </w:instrText>
      </w:r>
      <w:r w:rsidRPr="0038618C">
        <w:rPr>
          <w:b/>
          <w:bCs/>
        </w:rPr>
      </w:r>
      <w:r w:rsidRPr="0038618C">
        <w:rPr>
          <w:b/>
          <w:bCs/>
        </w:rPr>
        <w:fldChar w:fldCharType="separate"/>
      </w:r>
      <w:r w:rsidRPr="0038618C">
        <w:rPr>
          <w:b/>
          <w:bCs/>
        </w:rPr>
        <w:t xml:space="preserve">Figure </w:t>
      </w:r>
      <w:r w:rsidRPr="0038618C">
        <w:rPr>
          <w:b/>
          <w:bCs/>
          <w:noProof/>
        </w:rPr>
        <w:t>15</w:t>
      </w:r>
      <w:r w:rsidRPr="0038618C">
        <w:rPr>
          <w:b/>
          <w:bCs/>
        </w:rPr>
        <w:fldChar w:fldCharType="end"/>
      </w:r>
      <w:r>
        <w:t xml:space="preserve"> and </w:t>
      </w:r>
      <w:r w:rsidRPr="0038618C">
        <w:rPr>
          <w:b/>
          <w:bCs/>
        </w:rPr>
        <w:fldChar w:fldCharType="begin"/>
      </w:r>
      <w:r w:rsidRPr="0038618C">
        <w:rPr>
          <w:b/>
          <w:bCs/>
        </w:rPr>
        <w:instrText xml:space="preserve"> REF _Ref177067811 \h </w:instrText>
      </w:r>
      <w:r>
        <w:rPr>
          <w:b/>
          <w:bCs/>
        </w:rPr>
        <w:instrText xml:space="preserve"> \* MERGEFORMAT </w:instrText>
      </w:r>
      <w:r w:rsidRPr="0038618C">
        <w:rPr>
          <w:b/>
          <w:bCs/>
        </w:rPr>
      </w:r>
      <w:r w:rsidRPr="0038618C">
        <w:rPr>
          <w:b/>
          <w:bCs/>
        </w:rPr>
        <w:fldChar w:fldCharType="separate"/>
      </w:r>
      <w:r w:rsidRPr="0038618C">
        <w:rPr>
          <w:b/>
          <w:bCs/>
        </w:rPr>
        <w:t xml:space="preserve">Figure </w:t>
      </w:r>
      <w:r w:rsidRPr="0038618C">
        <w:rPr>
          <w:b/>
          <w:bCs/>
          <w:noProof/>
        </w:rPr>
        <w:t>16</w:t>
      </w:r>
      <w:r w:rsidRPr="0038618C">
        <w:rPr>
          <w:b/>
          <w:bCs/>
        </w:rPr>
        <w:fldChar w:fldCharType="end"/>
      </w:r>
      <w:r w:rsidR="00864E74">
        <w:t xml:space="preserve"> </w:t>
      </w:r>
      <w:r w:rsidR="00612693">
        <w:t>plot</w:t>
      </w:r>
      <w:r w:rsidR="00612693" w:rsidRPr="00705F1E">
        <w:t xml:space="preserve"> the quantile regression coefficients for </w:t>
      </w:r>
      <w:r w:rsidR="00612693">
        <w:t xml:space="preserve">the </w:t>
      </w:r>
      <w:r w:rsidR="008E31AC">
        <w:t xml:space="preserve">direct effects of MPI </w:t>
      </w:r>
      <w:r w:rsidR="00864E74">
        <w:t>in</w:t>
      </w:r>
      <w:r w:rsidR="008E31AC" w:rsidRPr="00705F1E">
        <w:t xml:space="preserve"> the local and panel models</w:t>
      </w:r>
      <w:r w:rsidR="00864E74">
        <w:t>,</w:t>
      </w:r>
      <w:r w:rsidR="008E31AC" w:rsidRPr="00705F1E">
        <w:t xml:space="preserve"> respectively.</w:t>
      </w:r>
      <w:r w:rsidR="008E31AC">
        <w:t xml:space="preserve"> </w:t>
      </w:r>
      <w:r w:rsidR="00864E74" w:rsidRPr="00864E74">
        <w:t xml:space="preserve">In the local model, the short-run direct effects are positive at the </w:t>
      </w:r>
      <w:r w:rsidR="00864E74">
        <w:t xml:space="preserve">left </w:t>
      </w:r>
      <w:r w:rsidR="00864E74" w:rsidRPr="00864E74">
        <w:t>tail and negative at the median, though these coefficients are statistically insignificant.</w:t>
      </w:r>
      <w:r w:rsidR="00612693">
        <w:t xml:space="preserve"> </w:t>
      </w:r>
      <w:r w:rsidR="005B2AA7" w:rsidRPr="00864E74">
        <w:t>The panel model shows similar short-run patterns but with significant effects.</w:t>
      </w:r>
      <w:r w:rsidR="005B2AA7">
        <w:t xml:space="preserve"> </w:t>
      </w:r>
      <w:r w:rsidR="00C8267E">
        <w:t xml:space="preserve">Lastly, the long-run direct effects </w:t>
      </w:r>
      <w:r w:rsidR="008E31AC">
        <w:t xml:space="preserve">are </w:t>
      </w:r>
      <w:r w:rsidR="00864E74">
        <w:t xml:space="preserve">negative and </w:t>
      </w:r>
      <w:r w:rsidR="00C8267E" w:rsidRPr="00C8267E">
        <w:t>significant</w:t>
      </w:r>
      <w:r w:rsidR="00C8267E">
        <w:t>.</w:t>
      </w:r>
    </w:p>
    <w:p w14:paraId="7005AA50" w14:textId="67F20F68" w:rsidR="00435246" w:rsidRDefault="005B2AA7" w:rsidP="00435246">
      <w:pPr>
        <w:ind w:firstLine="284"/>
        <w:jc w:val="left"/>
      </w:pPr>
      <w:r w:rsidRPr="005B2AA7">
        <w:t>The heterogeneity in the direct effects suggests that, in the short run, MPI improves resilience and reduces distance-to-tail.</w:t>
      </w:r>
      <w:r>
        <w:t xml:space="preserve"> </w:t>
      </w:r>
      <w:r w:rsidRPr="005B2AA7">
        <w:t xml:space="preserve">However, if financial conditions remain stable and </w:t>
      </w:r>
      <w:r>
        <w:t>no crisis is observed</w:t>
      </w:r>
      <w:r w:rsidRPr="005B2AA7">
        <w:t>, MPI could have negative long-term implications for both the median and distance-to-tail.</w:t>
      </w:r>
      <w:r w:rsidR="00435246" w:rsidRPr="00435246">
        <w:t xml:space="preserve"> </w:t>
      </w:r>
      <w:r w:rsidR="00435246" w:rsidRPr="005B2AA7">
        <w:t>These outcomes reflect the practical costs of macroprudential policy</w:t>
      </w:r>
      <w:r w:rsidR="00435246">
        <w:t xml:space="preserve">, but also </w:t>
      </w:r>
      <w:r w:rsidR="00435246" w:rsidRPr="00435246">
        <w:t xml:space="preserve">the prolonged requirement for banks to hold excess capital, which </w:t>
      </w:r>
      <w:r w:rsidR="00435246">
        <w:t>may</w:t>
      </w:r>
      <w:r w:rsidR="00435246" w:rsidRPr="00435246">
        <w:t xml:space="preserve"> suppress economic activity over time.</w:t>
      </w:r>
    </w:p>
    <w:p w14:paraId="2C8D953D" w14:textId="77777777" w:rsidR="00C64D56" w:rsidRDefault="00C64D56" w:rsidP="000F7EAB">
      <w:pPr>
        <w:spacing w:after="0" w:line="240" w:lineRule="auto"/>
      </w:pPr>
      <w:r>
        <w:rPr>
          <w:noProof/>
        </w:rPr>
        <w:drawing>
          <wp:inline distT="0" distB="0" distL="0" distR="0" wp14:anchorId="7B5B3B04" wp14:editId="4027AD2B">
            <wp:extent cx="5803641" cy="1420528"/>
            <wp:effectExtent l="0" t="0" r="635"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5"/>
                    <a:stretch>
                      <a:fillRect/>
                    </a:stretch>
                  </pic:blipFill>
                  <pic:spPr>
                    <a:xfrm>
                      <a:off x="0" y="0"/>
                      <a:ext cx="5856275" cy="1433411"/>
                    </a:xfrm>
                    <a:prstGeom prst="rect">
                      <a:avLst/>
                    </a:prstGeom>
                  </pic:spPr>
                </pic:pic>
              </a:graphicData>
            </a:graphic>
          </wp:inline>
        </w:drawing>
      </w:r>
    </w:p>
    <w:p w14:paraId="3421CC13" w14:textId="26FC22F5" w:rsidR="00C64D56" w:rsidRDefault="00C64D56" w:rsidP="00C64D56">
      <w:pPr>
        <w:pStyle w:val="Caption"/>
        <w:tabs>
          <w:tab w:val="left" w:pos="3394"/>
        </w:tabs>
        <w:spacing w:before="0"/>
        <w:jc w:val="left"/>
      </w:pPr>
      <w:bookmarkStart w:id="14" w:name="_Ref177067801"/>
      <w:r>
        <w:t xml:space="preserve">Figure </w:t>
      </w:r>
      <w:fldSimple w:instr=" SEQ Figure \* ARABIC ">
        <w:r w:rsidR="00E941CA">
          <w:rPr>
            <w:noProof/>
          </w:rPr>
          <w:t>15</w:t>
        </w:r>
      </w:fldSimple>
      <w:bookmarkEnd w:id="14"/>
      <w:r>
        <w:t xml:space="preserve">. </w:t>
      </w:r>
      <w:r w:rsidR="00D33A1E" w:rsidRPr="00A942C6">
        <w:rPr>
          <w:b w:val="0"/>
          <w:bCs/>
        </w:rPr>
        <w:t xml:space="preserve">Local model </w:t>
      </w:r>
      <w:r w:rsidR="00C8267E">
        <w:rPr>
          <w:b w:val="0"/>
          <w:bCs/>
        </w:rPr>
        <w:t xml:space="preserve">direct </w:t>
      </w:r>
      <w:r w:rsidR="00D33A1E">
        <w:rPr>
          <w:b w:val="0"/>
          <w:bCs/>
        </w:rPr>
        <w:t>M</w:t>
      </w:r>
      <w:r w:rsidR="00D33A1E" w:rsidRPr="00D33A1E">
        <w:rPr>
          <w:b w:val="0"/>
          <w:bCs/>
        </w:rPr>
        <w:t xml:space="preserve">acroprudential </w:t>
      </w:r>
      <w:r w:rsidR="00D33A1E">
        <w:rPr>
          <w:b w:val="0"/>
          <w:bCs/>
        </w:rPr>
        <w:t>P</w:t>
      </w:r>
      <w:r w:rsidR="00D33A1E" w:rsidRPr="00D33A1E">
        <w:rPr>
          <w:b w:val="0"/>
          <w:bCs/>
        </w:rPr>
        <w:t xml:space="preserve">olicy </w:t>
      </w:r>
      <w:r w:rsidR="00D33A1E">
        <w:rPr>
          <w:b w:val="0"/>
          <w:bCs/>
        </w:rPr>
        <w:t>I</w:t>
      </w:r>
      <w:r w:rsidR="00D33A1E" w:rsidRPr="00D33A1E">
        <w:rPr>
          <w:b w:val="0"/>
          <w:bCs/>
        </w:rPr>
        <w:t>ndex</w:t>
      </w:r>
      <w:r w:rsidR="00D33A1E" w:rsidRPr="00A942C6">
        <w:rPr>
          <w:b w:val="0"/>
          <w:bCs/>
        </w:rPr>
        <w:t xml:space="preserve"> coefficients</w:t>
      </w:r>
      <w:r w:rsidR="00D33A1E">
        <w:rPr>
          <w:b w:val="0"/>
          <w:bCs/>
        </w:rPr>
        <w:t xml:space="preserve">. </w:t>
      </w:r>
      <w:r w:rsidR="00D33A1E" w:rsidRPr="000A7310">
        <w:rPr>
          <w:b w:val="0"/>
          <w:bCs/>
        </w:rPr>
        <w:t>Estimated quantile regression coefficients for horizons 4, 8 and 12. The grey shaded areas represent the 95% confidence intervals. The dashed horizontal line presents the OLS coefficient.</w:t>
      </w:r>
    </w:p>
    <w:p w14:paraId="660F9BEB" w14:textId="77777777" w:rsidR="001453E0" w:rsidRDefault="001453E0" w:rsidP="000F7EAB">
      <w:pPr>
        <w:spacing w:after="0" w:line="240" w:lineRule="auto"/>
      </w:pPr>
      <w:r>
        <w:rPr>
          <w:noProof/>
        </w:rPr>
        <w:lastRenderedPageBreak/>
        <w:drawing>
          <wp:inline distT="0" distB="0" distL="0" distR="0" wp14:anchorId="7626AEA8" wp14:editId="48D2DD23">
            <wp:extent cx="5943600" cy="145478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6"/>
                    <a:stretch>
                      <a:fillRect/>
                    </a:stretch>
                  </pic:blipFill>
                  <pic:spPr>
                    <a:xfrm>
                      <a:off x="0" y="0"/>
                      <a:ext cx="5943600" cy="1454785"/>
                    </a:xfrm>
                    <a:prstGeom prst="rect">
                      <a:avLst/>
                    </a:prstGeom>
                  </pic:spPr>
                </pic:pic>
              </a:graphicData>
            </a:graphic>
          </wp:inline>
        </w:drawing>
      </w:r>
    </w:p>
    <w:p w14:paraId="21DA6087" w14:textId="55669896" w:rsidR="001453E0" w:rsidRDefault="001453E0" w:rsidP="001453E0">
      <w:pPr>
        <w:pStyle w:val="Caption"/>
        <w:jc w:val="both"/>
      </w:pPr>
      <w:bookmarkStart w:id="15" w:name="_Ref177067811"/>
      <w:r>
        <w:t xml:space="preserve">Figure </w:t>
      </w:r>
      <w:fldSimple w:instr=" SEQ Figure \* ARABIC ">
        <w:r w:rsidR="00E941CA">
          <w:rPr>
            <w:noProof/>
          </w:rPr>
          <w:t>16</w:t>
        </w:r>
      </w:fldSimple>
      <w:bookmarkEnd w:id="15"/>
      <w:r>
        <w:t xml:space="preserve">. </w:t>
      </w:r>
      <w:r w:rsidRPr="001453E0">
        <w:rPr>
          <w:b w:val="0"/>
          <w:bCs/>
        </w:rPr>
        <w:t xml:space="preserve">Panel </w:t>
      </w:r>
      <w:r w:rsidR="00D33A1E" w:rsidRPr="00A942C6">
        <w:rPr>
          <w:b w:val="0"/>
          <w:bCs/>
        </w:rPr>
        <w:t xml:space="preserve">model </w:t>
      </w:r>
      <w:r w:rsidR="00C8267E">
        <w:rPr>
          <w:b w:val="0"/>
          <w:bCs/>
        </w:rPr>
        <w:t xml:space="preserve">direct </w:t>
      </w:r>
      <w:r w:rsidR="00D33A1E">
        <w:rPr>
          <w:b w:val="0"/>
          <w:bCs/>
        </w:rPr>
        <w:t>M</w:t>
      </w:r>
      <w:r w:rsidR="00D33A1E" w:rsidRPr="00D33A1E">
        <w:rPr>
          <w:b w:val="0"/>
          <w:bCs/>
        </w:rPr>
        <w:t xml:space="preserve">acroprudential </w:t>
      </w:r>
      <w:r w:rsidR="00D33A1E">
        <w:rPr>
          <w:b w:val="0"/>
          <w:bCs/>
        </w:rPr>
        <w:t>P</w:t>
      </w:r>
      <w:r w:rsidR="00D33A1E" w:rsidRPr="00D33A1E">
        <w:rPr>
          <w:b w:val="0"/>
          <w:bCs/>
        </w:rPr>
        <w:t xml:space="preserve">olicy </w:t>
      </w:r>
      <w:r w:rsidR="00D33A1E">
        <w:rPr>
          <w:b w:val="0"/>
          <w:bCs/>
        </w:rPr>
        <w:t>I</w:t>
      </w:r>
      <w:r w:rsidR="00D33A1E" w:rsidRPr="00D33A1E">
        <w:rPr>
          <w:b w:val="0"/>
          <w:bCs/>
        </w:rPr>
        <w:t>ndex</w:t>
      </w:r>
      <w:r w:rsidR="00D33A1E" w:rsidRPr="00A942C6">
        <w:rPr>
          <w:b w:val="0"/>
          <w:bCs/>
        </w:rPr>
        <w:t xml:space="preserve"> coefficients</w:t>
      </w:r>
      <w:r w:rsidR="00D33A1E">
        <w:rPr>
          <w:b w:val="0"/>
          <w:bCs/>
        </w:rPr>
        <w:t>.</w:t>
      </w:r>
    </w:p>
    <w:p w14:paraId="5D6DBB13" w14:textId="2659A5DF" w:rsidR="00905628" w:rsidRPr="005111CB" w:rsidRDefault="00BF0E82" w:rsidP="00905628">
      <w:pPr>
        <w:ind w:firstLine="284"/>
        <w:jc w:val="left"/>
        <w:rPr>
          <w:bCs/>
        </w:rPr>
      </w:pPr>
      <w:r>
        <w:t xml:space="preserve">To examine the overall </w:t>
      </w:r>
      <w:r w:rsidR="00905628" w:rsidRPr="00905628">
        <w:rPr>
          <w:bCs/>
        </w:rPr>
        <w:t>impact</w:t>
      </w:r>
      <w:r>
        <w:t xml:space="preserve"> of </w:t>
      </w:r>
      <w:r w:rsidRPr="00BF0E82">
        <w:t>macroprudential policy</w:t>
      </w:r>
      <w:r w:rsidR="00905628">
        <w:t>,</w:t>
      </w:r>
      <w:r>
        <w:t xml:space="preserve"> we present the conditional MPI </w:t>
      </w:r>
      <w:r w:rsidRPr="00A942C6">
        <w:rPr>
          <w:bCs/>
        </w:rPr>
        <w:t>coefficients</w:t>
      </w:r>
      <w:r>
        <w:rPr>
          <w:bCs/>
        </w:rPr>
        <w:t xml:space="preserve"> in </w:t>
      </w:r>
      <w:r w:rsidRPr="00BF0E82">
        <w:rPr>
          <w:b/>
        </w:rPr>
        <w:fldChar w:fldCharType="begin"/>
      </w:r>
      <w:r w:rsidRPr="00BF0E82">
        <w:rPr>
          <w:b/>
        </w:rPr>
        <w:instrText xml:space="preserve"> REF _Ref177074521 \h </w:instrText>
      </w:r>
      <w:r>
        <w:rPr>
          <w:b/>
        </w:rPr>
        <w:instrText xml:space="preserve"> \* MERGEFORMAT </w:instrText>
      </w:r>
      <w:r w:rsidRPr="00BF0E82">
        <w:rPr>
          <w:b/>
        </w:rPr>
      </w:r>
      <w:r w:rsidRPr="00BF0E82">
        <w:rPr>
          <w:b/>
        </w:rPr>
        <w:fldChar w:fldCharType="separate"/>
      </w:r>
      <w:r w:rsidRPr="00BF0E82">
        <w:rPr>
          <w:b/>
        </w:rPr>
        <w:t xml:space="preserve">Figure </w:t>
      </w:r>
      <w:r w:rsidRPr="00BF0E82">
        <w:rPr>
          <w:b/>
          <w:noProof/>
        </w:rPr>
        <w:t>17</w:t>
      </w:r>
      <w:r w:rsidRPr="00BF0E82">
        <w:rPr>
          <w:b/>
        </w:rPr>
        <w:fldChar w:fldCharType="end"/>
      </w:r>
      <w:r>
        <w:rPr>
          <w:bCs/>
        </w:rPr>
        <w:t>.</w:t>
      </w:r>
      <w:r w:rsidR="005111CB">
        <w:rPr>
          <w:bCs/>
        </w:rPr>
        <w:t xml:space="preserve"> </w:t>
      </w:r>
      <w:r w:rsidR="00905628" w:rsidRPr="00905628">
        <w:rPr>
          <w:bCs/>
        </w:rPr>
        <w:t xml:space="preserve">Both short- and long-term effects highlight the positive influence on the lower tail of the GDP </w:t>
      </w:r>
      <w:r w:rsidR="00905628">
        <w:rPr>
          <w:bCs/>
        </w:rPr>
        <w:t xml:space="preserve">growth </w:t>
      </w:r>
      <w:r w:rsidR="00905628" w:rsidRPr="00905628">
        <w:rPr>
          <w:bCs/>
        </w:rPr>
        <w:t>distribution and the negative impact on the upper quantiles.</w:t>
      </w:r>
      <w:r w:rsidR="00905628">
        <w:rPr>
          <w:bCs/>
        </w:rPr>
        <w:t xml:space="preserve"> </w:t>
      </w:r>
      <w:r w:rsidR="00905628" w:rsidRPr="00905628">
        <w:rPr>
          <w:bCs/>
        </w:rPr>
        <w:t>The findings suggest that macroprudential policy is most effective during periods of low financial stress.</w:t>
      </w:r>
      <w:r w:rsidR="00905628">
        <w:rPr>
          <w:bCs/>
        </w:rPr>
        <w:t xml:space="preserve"> </w:t>
      </w:r>
      <w:r w:rsidR="00905628" w:rsidRPr="00905628">
        <w:rPr>
          <w:bCs/>
        </w:rPr>
        <w:t>However, if such periods coincide with excessive credit growth or asset price surges, the short-term costs to growth will be higher.</w:t>
      </w:r>
      <w:r w:rsidR="00905628">
        <w:rPr>
          <w:bCs/>
        </w:rPr>
        <w:t xml:space="preserve"> </w:t>
      </w:r>
      <w:r w:rsidR="00905628" w:rsidRPr="00905628">
        <w:rPr>
          <w:bCs/>
        </w:rPr>
        <w:t>Nonetheless, these conditions also lead to the most significant reduction of risks in the medium</w:t>
      </w:r>
      <w:r w:rsidR="009560AE">
        <w:rPr>
          <w:bCs/>
        </w:rPr>
        <w:t xml:space="preserve"> </w:t>
      </w:r>
      <w:r w:rsidR="00905628" w:rsidRPr="00905628">
        <w:rPr>
          <w:bCs/>
        </w:rPr>
        <w:t>term.</w:t>
      </w:r>
    </w:p>
    <w:p w14:paraId="3BE3A35B" w14:textId="77777777" w:rsidR="001E7DDC" w:rsidRDefault="001E7DDC" w:rsidP="00BE58C7">
      <w:pPr>
        <w:spacing w:after="0" w:line="240" w:lineRule="auto"/>
      </w:pPr>
      <w:r>
        <w:rPr>
          <w:noProof/>
        </w:rPr>
        <w:drawing>
          <wp:inline distT="0" distB="0" distL="0" distR="0" wp14:anchorId="54A5456A" wp14:editId="20398175">
            <wp:extent cx="5943600" cy="145478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7"/>
                    <a:stretch>
                      <a:fillRect/>
                    </a:stretch>
                  </pic:blipFill>
                  <pic:spPr>
                    <a:xfrm>
                      <a:off x="0" y="0"/>
                      <a:ext cx="5943600" cy="1454785"/>
                    </a:xfrm>
                    <a:prstGeom prst="rect">
                      <a:avLst/>
                    </a:prstGeom>
                  </pic:spPr>
                </pic:pic>
              </a:graphicData>
            </a:graphic>
          </wp:inline>
        </w:drawing>
      </w:r>
    </w:p>
    <w:p w14:paraId="62015B22" w14:textId="43DB2551" w:rsidR="001E7DDC" w:rsidRDefault="001E7DDC" w:rsidP="007929B4">
      <w:pPr>
        <w:pStyle w:val="Caption"/>
        <w:spacing w:before="0"/>
        <w:jc w:val="both"/>
      </w:pPr>
      <w:bookmarkStart w:id="16" w:name="_Ref177074521"/>
      <w:r>
        <w:t xml:space="preserve">Figure </w:t>
      </w:r>
      <w:fldSimple w:instr=" SEQ Figure \* ARABIC ">
        <w:r w:rsidR="00E941CA">
          <w:rPr>
            <w:noProof/>
          </w:rPr>
          <w:t>17</w:t>
        </w:r>
      </w:fldSimple>
      <w:bookmarkEnd w:id="16"/>
      <w:r>
        <w:t xml:space="preserve">. </w:t>
      </w:r>
      <w:r w:rsidR="007929B4" w:rsidRPr="00A942C6">
        <w:rPr>
          <w:b w:val="0"/>
          <w:bCs/>
        </w:rPr>
        <w:t xml:space="preserve">Local model </w:t>
      </w:r>
      <w:r w:rsidR="007929B4">
        <w:rPr>
          <w:b w:val="0"/>
          <w:bCs/>
        </w:rPr>
        <w:t>conditional M</w:t>
      </w:r>
      <w:r w:rsidR="007929B4" w:rsidRPr="00D33A1E">
        <w:rPr>
          <w:b w:val="0"/>
          <w:bCs/>
        </w:rPr>
        <w:t xml:space="preserve">acroprudential </w:t>
      </w:r>
      <w:r w:rsidR="007929B4">
        <w:rPr>
          <w:b w:val="0"/>
          <w:bCs/>
        </w:rPr>
        <w:t>P</w:t>
      </w:r>
      <w:r w:rsidR="007929B4" w:rsidRPr="00D33A1E">
        <w:rPr>
          <w:b w:val="0"/>
          <w:bCs/>
        </w:rPr>
        <w:t xml:space="preserve">olicy </w:t>
      </w:r>
      <w:r w:rsidR="007929B4">
        <w:rPr>
          <w:b w:val="0"/>
          <w:bCs/>
        </w:rPr>
        <w:t>I</w:t>
      </w:r>
      <w:r w:rsidR="007929B4" w:rsidRPr="00D33A1E">
        <w:rPr>
          <w:b w:val="0"/>
          <w:bCs/>
        </w:rPr>
        <w:t>ndex</w:t>
      </w:r>
      <w:r w:rsidR="007929B4" w:rsidRPr="00A942C6">
        <w:rPr>
          <w:b w:val="0"/>
          <w:bCs/>
        </w:rPr>
        <w:t xml:space="preserve"> coefficients</w:t>
      </w:r>
      <w:r w:rsidR="007929B4">
        <w:rPr>
          <w:b w:val="0"/>
          <w:bCs/>
        </w:rPr>
        <w:t xml:space="preserve">. </w:t>
      </w:r>
      <w:r w:rsidR="007929B4" w:rsidRPr="000A7310">
        <w:rPr>
          <w:b w:val="0"/>
          <w:bCs/>
        </w:rPr>
        <w:t>Estimated quantile regression coefficients for horizons 4, 8 and 12.</w:t>
      </w:r>
    </w:p>
    <w:p w14:paraId="35BAB9B6" w14:textId="0C9561F2" w:rsidR="004F1BA1" w:rsidRDefault="00E80680" w:rsidP="001C4294">
      <w:pPr>
        <w:pStyle w:val="SectionHeading"/>
        <w:spacing w:before="240"/>
      </w:pPr>
      <w:r>
        <w:t>M</w:t>
      </w:r>
      <w:r w:rsidRPr="004F1BA1">
        <w:t>acroprudential</w:t>
      </w:r>
      <w:r>
        <w:t xml:space="preserve"> policy stance</w:t>
      </w:r>
    </w:p>
    <w:p w14:paraId="59DB3058" w14:textId="4E512565" w:rsidR="00E80680" w:rsidRDefault="00E80680" w:rsidP="00E80680">
      <w:pPr>
        <w:pStyle w:val="SectionHeading"/>
        <w:numPr>
          <w:ilvl w:val="1"/>
          <w:numId w:val="9"/>
        </w:numPr>
        <w:spacing w:before="240"/>
      </w:pPr>
      <w:r w:rsidRPr="00865D62">
        <w:t>Distance-to-tail</w:t>
      </w:r>
      <w:r>
        <w:t xml:space="preserve"> </w:t>
      </w:r>
      <w:r w:rsidRPr="00865D62">
        <w:t>approach</w:t>
      </w:r>
    </w:p>
    <w:p w14:paraId="04F8DE77" w14:textId="01986532" w:rsidR="0058556E" w:rsidRDefault="00CB1311" w:rsidP="00FA49ED">
      <w:r>
        <w:t xml:space="preserve">The goal of </w:t>
      </w:r>
      <w:r w:rsidRPr="00CB1311">
        <w:t>stance</w:t>
      </w:r>
      <w:r>
        <w:t xml:space="preserve"> assessment is to </w:t>
      </w:r>
      <w:r w:rsidR="0058556E" w:rsidRPr="0058556E">
        <w:t>assist</w:t>
      </w:r>
      <w:r>
        <w:t xml:space="preserve"> </w:t>
      </w:r>
      <w:r w:rsidRPr="00CB1311">
        <w:t xml:space="preserve">macroprudential </w:t>
      </w:r>
      <w:r>
        <w:t>policymaker</w:t>
      </w:r>
      <w:r w:rsidR="0058556E">
        <w:t>s</w:t>
      </w:r>
      <w:r>
        <w:t xml:space="preserve"> in making informed decisions to manage financial stability. </w:t>
      </w:r>
      <w:r w:rsidR="00E96680">
        <w:t xml:space="preserve">The </w:t>
      </w:r>
      <w:r w:rsidR="00E96680" w:rsidRPr="00A86BA3">
        <w:rPr>
          <w:bCs/>
        </w:rPr>
        <w:t>distance-to-tail</w:t>
      </w:r>
      <w:r w:rsidR="00E96680">
        <w:rPr>
          <w:bCs/>
        </w:rPr>
        <w:t xml:space="preserve"> approach achieves this by </w:t>
      </w:r>
      <w:r w:rsidR="00F62F84" w:rsidRPr="00F62F84">
        <w:rPr>
          <w:bCs/>
        </w:rPr>
        <w:t>quantifying and differentiating</w:t>
      </w:r>
      <w:r w:rsidR="00F62F84">
        <w:rPr>
          <w:bCs/>
        </w:rPr>
        <w:t xml:space="preserve"> systemic risks in the economy. </w:t>
      </w:r>
      <w:r w:rsidR="00F62F84" w:rsidRPr="00E2777B">
        <w:rPr>
          <w:b/>
        </w:rPr>
        <w:fldChar w:fldCharType="begin"/>
      </w:r>
      <w:r w:rsidR="00F62F84" w:rsidRPr="00E2777B">
        <w:rPr>
          <w:b/>
        </w:rPr>
        <w:instrText xml:space="preserve"> REF _Ref177114484 \h </w:instrText>
      </w:r>
      <w:r w:rsidR="00F62F84">
        <w:rPr>
          <w:b/>
        </w:rPr>
        <w:instrText xml:space="preserve"> \* MERGEFORMAT </w:instrText>
      </w:r>
      <w:r w:rsidR="00F62F84" w:rsidRPr="00E2777B">
        <w:rPr>
          <w:b/>
        </w:rPr>
      </w:r>
      <w:r w:rsidR="00F62F84" w:rsidRPr="00E2777B">
        <w:rPr>
          <w:b/>
        </w:rPr>
        <w:fldChar w:fldCharType="separate"/>
      </w:r>
      <w:r w:rsidR="00F62F84" w:rsidRPr="00E2777B">
        <w:rPr>
          <w:b/>
        </w:rPr>
        <w:t xml:space="preserve">Figure </w:t>
      </w:r>
      <w:r w:rsidR="00F62F84" w:rsidRPr="00E2777B">
        <w:rPr>
          <w:b/>
          <w:noProof/>
        </w:rPr>
        <w:t>18</w:t>
      </w:r>
      <w:r w:rsidR="00F62F84" w:rsidRPr="00E2777B">
        <w:rPr>
          <w:b/>
        </w:rPr>
        <w:fldChar w:fldCharType="end"/>
      </w:r>
      <w:r w:rsidR="00F62F84">
        <w:rPr>
          <w:bCs/>
        </w:rPr>
        <w:t xml:space="preserve"> </w:t>
      </w:r>
      <w:r w:rsidR="0058556E" w:rsidRPr="0058556E">
        <w:t>depicts</w:t>
      </w:r>
      <w:r w:rsidR="0058556E">
        <w:t xml:space="preserve"> </w:t>
      </w:r>
      <w:r w:rsidR="0058556E" w:rsidRPr="0058556E">
        <w:t>Armenia's estimated distance-to-tail over time</w:t>
      </w:r>
      <w:r w:rsidR="00F62F84">
        <w:t xml:space="preserve">. </w:t>
      </w:r>
      <w:r w:rsidR="002675A7">
        <w:t xml:space="preserve">An increase in this value </w:t>
      </w:r>
      <w:r w:rsidR="0058556E" w:rsidRPr="0058556E">
        <w:t>signals</w:t>
      </w:r>
      <w:r w:rsidR="008C4A68">
        <w:t xml:space="preserve"> </w:t>
      </w:r>
      <w:r w:rsidR="0058556E">
        <w:t>the</w:t>
      </w:r>
      <w:r w:rsidR="008C4A68">
        <w:t xml:space="preserve"> </w:t>
      </w:r>
      <w:r w:rsidR="002675A7">
        <w:t xml:space="preserve">buildup of </w:t>
      </w:r>
      <w:r w:rsidR="002675A7" w:rsidRPr="002675A7">
        <w:t>financial exposures</w:t>
      </w:r>
      <w:r w:rsidR="002675A7">
        <w:t xml:space="preserve">. </w:t>
      </w:r>
      <w:r w:rsidR="00A86B8B">
        <w:t xml:space="preserve">We </w:t>
      </w:r>
      <w:r w:rsidR="0058556E" w:rsidRPr="0058556E">
        <w:t>classify</w:t>
      </w:r>
      <w:r w:rsidR="00A86B8B">
        <w:t xml:space="preserve"> systemic risks into </w:t>
      </w:r>
      <w:r w:rsidR="00A86B8B" w:rsidRPr="00A86B8B">
        <w:t>financial vulnerabilities</w:t>
      </w:r>
      <w:r w:rsidR="00A86B8B">
        <w:t xml:space="preserve">, financial stress, </w:t>
      </w:r>
      <w:r w:rsidR="00A86B8B" w:rsidRPr="00A86B8B">
        <w:t>liquidity risks</w:t>
      </w:r>
      <w:r w:rsidR="00A86B8B">
        <w:t>, capital risks</w:t>
      </w:r>
      <w:r w:rsidR="008C4A68">
        <w:t>,</w:t>
      </w:r>
      <w:r w:rsidR="002A17D4">
        <w:t xml:space="preserve"> and </w:t>
      </w:r>
      <w:r w:rsidR="00A86B8B">
        <w:t xml:space="preserve">the interactions between these risks. We also separate them from the </w:t>
      </w:r>
      <w:r w:rsidR="004B54E4">
        <w:t xml:space="preserve">effects of </w:t>
      </w:r>
      <w:r w:rsidR="004B54E4" w:rsidRPr="004B54E4">
        <w:t>macroeconomic events</w:t>
      </w:r>
      <w:r w:rsidR="004B54E4">
        <w:t>.</w:t>
      </w:r>
    </w:p>
    <w:p w14:paraId="27BA4E3F" w14:textId="02ED9136" w:rsidR="00314889" w:rsidRPr="00E2777B" w:rsidRDefault="00314889" w:rsidP="00314889">
      <w:pPr>
        <w:ind w:firstLine="284"/>
      </w:pPr>
      <w:r>
        <w:lastRenderedPageBreak/>
        <w:t xml:space="preserve">The results </w:t>
      </w:r>
      <w:r w:rsidRPr="007A36CE">
        <w:t>demonstrate</w:t>
      </w:r>
      <w:r>
        <w:t xml:space="preserve"> that financial vulnerabilities follow a cyclical pattern, while financial stress tends to appear more abruptly. Liquidity risks are persistent but exhibit slow changes with minimal volatility. </w:t>
      </w:r>
      <w:r w:rsidR="00CE3A8C">
        <w:t xml:space="preserve">Capital risks are more prominent during crisis periods. Additionally, </w:t>
      </w:r>
      <w:r w:rsidR="00CE3A8C" w:rsidRPr="003A6AB8">
        <w:t>financial intermediaries</w:t>
      </w:r>
      <w:r w:rsidR="00CE3A8C">
        <w:t xml:space="preserve"> </w:t>
      </w:r>
      <w:r>
        <w:t xml:space="preserve">often </w:t>
      </w:r>
      <w:r w:rsidR="00CE3A8C">
        <w:t xml:space="preserve">hold </w:t>
      </w:r>
      <w:r w:rsidR="00CE3A8C" w:rsidRPr="003A6AB8">
        <w:t>excess capital</w:t>
      </w:r>
      <w:r w:rsidR="00CE3A8C">
        <w:t xml:space="preserve"> after </w:t>
      </w:r>
      <w:r w:rsidR="00710E91">
        <w:t>economic downturns</w:t>
      </w:r>
      <w:r w:rsidR="00B15A93">
        <w:t xml:space="preserve">, which </w:t>
      </w:r>
      <w:r w:rsidR="00B15A93" w:rsidRPr="00B15A93">
        <w:t>contribute</w:t>
      </w:r>
      <w:r w:rsidR="00710E91">
        <w:t>s</w:t>
      </w:r>
      <w:r w:rsidR="00B15A93">
        <w:t xml:space="preserve"> to a reduction of risks.</w:t>
      </w:r>
      <w:r w:rsidR="003442FF">
        <w:t xml:space="preserve"> The interaction between </w:t>
      </w:r>
      <w:r w:rsidR="003442FF" w:rsidRPr="007A36CE">
        <w:t>financial vulnerabilit</w:t>
      </w:r>
      <w:r w:rsidR="003442FF">
        <w:t xml:space="preserve">ies and </w:t>
      </w:r>
      <w:r w:rsidR="003442FF" w:rsidRPr="007A36CE">
        <w:t>financial stress</w:t>
      </w:r>
      <w:r w:rsidR="003442FF">
        <w:t xml:space="preserve"> has a </w:t>
      </w:r>
      <w:r w:rsidR="003442FF" w:rsidRPr="003442FF">
        <w:t>procyclical</w:t>
      </w:r>
      <w:r w:rsidR="003442FF">
        <w:t xml:space="preserve"> behavior, </w:t>
      </w:r>
      <w:r w:rsidR="00710E91" w:rsidRPr="00710E91">
        <w:t>manifesting</w:t>
      </w:r>
      <w:r w:rsidR="00710E91">
        <w:t xml:space="preserve"> during financial crises and </w:t>
      </w:r>
      <w:r w:rsidR="005A1421" w:rsidRPr="005A1421">
        <w:t>amplifying</w:t>
      </w:r>
      <w:r w:rsidR="00710E91">
        <w:t xml:space="preserve"> existing risks.</w:t>
      </w:r>
      <w:r w:rsidR="00D2289D">
        <w:t xml:space="preserve"> M</w:t>
      </w:r>
      <w:r w:rsidR="00D2289D" w:rsidRPr="00CB1311">
        <w:t>acroprudential</w:t>
      </w:r>
      <w:r w:rsidR="00D2289D">
        <w:t xml:space="preserve"> policy actions mostly </w:t>
      </w:r>
      <w:r w:rsidR="00D2289D" w:rsidRPr="00D2289D">
        <w:t>contribute</w:t>
      </w:r>
      <w:r w:rsidR="00D2289D">
        <w:t xml:space="preserve"> to a reduction of risks. Their impact on </w:t>
      </w:r>
      <w:r w:rsidR="00D2289D" w:rsidRPr="007A36CE">
        <w:t>financial vulnerabilit</w:t>
      </w:r>
      <w:r w:rsidR="00D2289D">
        <w:t xml:space="preserve">ies is much stronger than on financial </w:t>
      </w:r>
      <w:r w:rsidR="00CE3154">
        <w:t>stress</w:t>
      </w:r>
      <w:r w:rsidR="00D2289D">
        <w:t xml:space="preserve">. </w:t>
      </w:r>
      <w:r>
        <w:t>However</w:t>
      </w:r>
      <w:r w:rsidR="00CE3154">
        <w:t xml:space="preserve">, </w:t>
      </w:r>
      <w:r w:rsidR="00CE3154" w:rsidRPr="00CE3154">
        <w:t>failure</w:t>
      </w:r>
      <w:r w:rsidR="00CE3154">
        <w:t xml:space="preserve"> to implement </w:t>
      </w:r>
      <w:r w:rsidR="00CE3154" w:rsidRPr="00CE3154">
        <w:t>loosening</w:t>
      </w:r>
      <w:r w:rsidR="00CE3154">
        <w:t xml:space="preserve"> measures during </w:t>
      </w:r>
      <w:r w:rsidR="00CE3154" w:rsidRPr="00CE3154">
        <w:t>crisis periods</w:t>
      </w:r>
      <w:r w:rsidR="00CE3154">
        <w:t xml:space="preserve"> can</w:t>
      </w:r>
      <w:r>
        <w:t xml:space="preserve"> heighten </w:t>
      </w:r>
      <w:r w:rsidR="00CE3154">
        <w:t xml:space="preserve">risk </w:t>
      </w:r>
      <w:r w:rsidR="00CE3154" w:rsidRPr="00CE3154">
        <w:t>perception</w:t>
      </w:r>
      <w:r w:rsidR="00CE3154">
        <w:t>.</w:t>
      </w:r>
      <w:r>
        <w:t xml:space="preserve"> Finally, the influence of macroeconomic events on systemic risks is minimal, as they tend to shift the entire GDP growth distribution uniformly, showing little heterogeneity in their effects.</w:t>
      </w:r>
    </w:p>
    <w:p w14:paraId="7905BE7D" w14:textId="77777777" w:rsidR="00711082" w:rsidRDefault="00711082" w:rsidP="00FA49ED">
      <w:pPr>
        <w:spacing w:after="0" w:line="240" w:lineRule="auto"/>
      </w:pPr>
      <w:r>
        <w:rPr>
          <w:noProof/>
        </w:rPr>
        <w:drawing>
          <wp:inline distT="0" distB="0" distL="0" distR="0" wp14:anchorId="1E2D50C5" wp14:editId="327A869A">
            <wp:extent cx="5943600" cy="24390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8"/>
                    <a:stretch>
                      <a:fillRect/>
                    </a:stretch>
                  </pic:blipFill>
                  <pic:spPr>
                    <a:xfrm>
                      <a:off x="0" y="0"/>
                      <a:ext cx="5943600" cy="2439035"/>
                    </a:xfrm>
                    <a:prstGeom prst="rect">
                      <a:avLst/>
                    </a:prstGeom>
                  </pic:spPr>
                </pic:pic>
              </a:graphicData>
            </a:graphic>
          </wp:inline>
        </w:drawing>
      </w:r>
    </w:p>
    <w:p w14:paraId="3E73AF2C" w14:textId="42DA19F9" w:rsidR="00711082" w:rsidRPr="004A4BED" w:rsidRDefault="00711082" w:rsidP="00711082">
      <w:pPr>
        <w:pStyle w:val="Caption"/>
        <w:jc w:val="left"/>
        <w:rPr>
          <w:b w:val="0"/>
          <w:bCs/>
        </w:rPr>
      </w:pPr>
      <w:bookmarkStart w:id="17" w:name="_Ref177114484"/>
      <w:r>
        <w:t xml:space="preserve">Figure </w:t>
      </w:r>
      <w:fldSimple w:instr=" SEQ Figure \* ARABIC ">
        <w:r w:rsidR="00E941CA">
          <w:rPr>
            <w:noProof/>
          </w:rPr>
          <w:t>18</w:t>
        </w:r>
      </w:fldSimple>
      <w:bookmarkEnd w:id="17"/>
      <w:r>
        <w:t xml:space="preserve">. </w:t>
      </w:r>
      <w:r w:rsidR="009028F8">
        <w:rPr>
          <w:b w:val="0"/>
          <w:bCs/>
        </w:rPr>
        <w:t>Estimated d</w:t>
      </w:r>
      <w:r w:rsidRPr="00711082">
        <w:rPr>
          <w:b w:val="0"/>
          <w:bCs/>
        </w:rPr>
        <w:t xml:space="preserve">istance-to-tail </w:t>
      </w:r>
      <w:r w:rsidR="009028F8">
        <w:rPr>
          <w:b w:val="0"/>
          <w:bCs/>
        </w:rPr>
        <w:t xml:space="preserve">over time and </w:t>
      </w:r>
      <w:r w:rsidR="009028F8" w:rsidRPr="009028F8">
        <w:rPr>
          <w:b w:val="0"/>
          <w:bCs/>
        </w:rPr>
        <w:t>decomposition</w:t>
      </w:r>
      <w:r w:rsidR="009028F8">
        <w:rPr>
          <w:b w:val="0"/>
          <w:bCs/>
        </w:rPr>
        <w:t xml:space="preserve"> of systemic risks. </w:t>
      </w:r>
      <w:r w:rsidR="009028F8" w:rsidRPr="009028F8">
        <w:rPr>
          <w:b w:val="0"/>
          <w:bCs/>
        </w:rPr>
        <w:t xml:space="preserve">Vertical areas in </w:t>
      </w:r>
      <w:r w:rsidR="009028F8">
        <w:rPr>
          <w:b w:val="0"/>
          <w:bCs/>
        </w:rPr>
        <w:t>grey</w:t>
      </w:r>
      <w:r w:rsidR="009028F8" w:rsidRPr="009028F8">
        <w:rPr>
          <w:b w:val="0"/>
          <w:bCs/>
        </w:rPr>
        <w:t xml:space="preserve"> represent economic disturbances.</w:t>
      </w:r>
    </w:p>
    <w:p w14:paraId="5B54A424" w14:textId="6484AC83" w:rsidR="001714DF" w:rsidRPr="00B50B73" w:rsidRDefault="002761E1" w:rsidP="001714DF">
      <w:pPr>
        <w:ind w:firstLine="284"/>
      </w:pPr>
      <w:r>
        <w:t xml:space="preserve">To examine the performance of the distance-to-tail metric for crisis periods we compare systemic risks in Armenia before four major </w:t>
      </w:r>
      <w:r w:rsidRPr="009028F8">
        <w:rPr>
          <w:bCs/>
        </w:rPr>
        <w:t>economic disturbances</w:t>
      </w:r>
      <w:r>
        <w:rPr>
          <w:bCs/>
        </w:rPr>
        <w:t xml:space="preserve"> in </w:t>
      </w:r>
      <w:r w:rsidRPr="002761E1">
        <w:rPr>
          <w:b/>
        </w:rPr>
        <w:fldChar w:fldCharType="begin"/>
      </w:r>
      <w:r w:rsidRPr="002761E1">
        <w:rPr>
          <w:b/>
        </w:rPr>
        <w:instrText xml:space="preserve"> REF _Ref177122061 \h </w:instrText>
      </w:r>
      <w:r>
        <w:rPr>
          <w:b/>
        </w:rPr>
        <w:instrText xml:space="preserve"> \* MERGEFORMAT </w:instrText>
      </w:r>
      <w:r w:rsidRPr="002761E1">
        <w:rPr>
          <w:b/>
        </w:rPr>
      </w:r>
      <w:r w:rsidRPr="002761E1">
        <w:rPr>
          <w:b/>
        </w:rPr>
        <w:fldChar w:fldCharType="separate"/>
      </w:r>
      <w:r w:rsidRPr="002761E1">
        <w:rPr>
          <w:b/>
        </w:rPr>
        <w:t xml:space="preserve">Figure </w:t>
      </w:r>
      <w:r w:rsidRPr="002761E1">
        <w:rPr>
          <w:b/>
          <w:noProof/>
        </w:rPr>
        <w:t>19</w:t>
      </w:r>
      <w:r w:rsidRPr="002761E1">
        <w:rPr>
          <w:b/>
        </w:rPr>
        <w:fldChar w:fldCharType="end"/>
      </w:r>
      <w:r>
        <w:rPr>
          <w:bCs/>
        </w:rPr>
        <w:t>.</w:t>
      </w:r>
      <w:r w:rsidR="00B50B73">
        <w:rPr>
          <w:bCs/>
        </w:rPr>
        <w:t xml:space="preserve"> </w:t>
      </w:r>
      <w:r w:rsidR="001714DF" w:rsidRPr="001714DF">
        <w:t>Prior to the 2007–2009 financial crisis, there was a significant buildup of financial vulnerabilities, along with the accumulation of other risks that could intensify economic downturns.</w:t>
      </w:r>
      <w:r w:rsidR="001714DF">
        <w:t xml:space="preserve"> </w:t>
      </w:r>
      <w:r w:rsidR="00B50B73">
        <w:t>These exposures continued to be prominent during the 2014-2015 R</w:t>
      </w:r>
      <w:r w:rsidR="00B50B73" w:rsidRPr="00117AD6">
        <w:t>ussia</w:t>
      </w:r>
      <w:r w:rsidR="00B50B73">
        <w:t>n</w:t>
      </w:r>
      <w:r w:rsidR="00B50B73" w:rsidRPr="00117AD6">
        <w:t xml:space="preserve"> oil crisis</w:t>
      </w:r>
      <w:r w:rsidR="00B50B73">
        <w:t xml:space="preserve">, </w:t>
      </w:r>
      <w:r w:rsidR="00B50B73" w:rsidRPr="00B50B73">
        <w:t>accompanied</w:t>
      </w:r>
      <w:r w:rsidR="00B50B73">
        <w:t xml:space="preserve"> </w:t>
      </w:r>
      <w:r w:rsidR="008F370D">
        <w:t>by</w:t>
      </w:r>
      <w:r w:rsidR="00B50B73">
        <w:t xml:space="preserve"> capital</w:t>
      </w:r>
      <w:r w:rsidR="008F370D">
        <w:t>-</w:t>
      </w:r>
      <w:r w:rsidR="00B50B73">
        <w:t>related risks.</w:t>
      </w:r>
      <w:r w:rsidR="0034165D">
        <w:t xml:space="preserve"> Before the Covid-19 shock and the </w:t>
      </w:r>
      <w:r w:rsidR="0034165D" w:rsidRPr="006F6F45">
        <w:t>Nagorno-Karabakh</w:t>
      </w:r>
      <w:r w:rsidR="0034165D">
        <w:t xml:space="preserve"> war</w:t>
      </w:r>
      <w:r w:rsidR="008F370D">
        <w:t>,</w:t>
      </w:r>
      <w:r w:rsidR="0034165D">
        <w:t xml:space="preserve"> we observe a steady increase in </w:t>
      </w:r>
      <w:r w:rsidR="001714DF">
        <w:t xml:space="preserve">both </w:t>
      </w:r>
      <w:r w:rsidR="0034165D" w:rsidRPr="007A36CE">
        <w:t>financial vulnerabilit</w:t>
      </w:r>
      <w:r w:rsidR="0034165D">
        <w:t>ies</w:t>
      </w:r>
      <w:r w:rsidR="001714DF">
        <w:t xml:space="preserve"> and </w:t>
      </w:r>
      <w:r w:rsidR="0034165D" w:rsidRPr="0034165D">
        <w:t>financial stress</w:t>
      </w:r>
      <w:r w:rsidR="0034165D">
        <w:t>.</w:t>
      </w:r>
      <w:r w:rsidR="001714DF">
        <w:t xml:space="preserve"> </w:t>
      </w:r>
      <w:r w:rsidR="001714DF" w:rsidRPr="001714DF">
        <w:t xml:space="preserve">Lastly, the period leading up to the Russo-Ukrainian war overlaps with the Nagorno-Karabakh conflict, during which Armenia experienced a downturn in the financial cycle. The interaction terms during this time </w:t>
      </w:r>
      <w:r w:rsidR="001714DF">
        <w:t xml:space="preserve">period </w:t>
      </w:r>
      <w:r w:rsidR="001714DF" w:rsidRPr="001714DF">
        <w:t xml:space="preserve">capture the heightened uncertainty linked to </w:t>
      </w:r>
      <w:r w:rsidR="001714DF">
        <w:t>those downturns</w:t>
      </w:r>
      <w:r w:rsidR="001714DF" w:rsidRPr="001714DF">
        <w:t>.</w:t>
      </w:r>
    </w:p>
    <w:p w14:paraId="5249AB0D" w14:textId="77777777" w:rsidR="00711082" w:rsidRDefault="00711082" w:rsidP="00FA49ED">
      <w:pPr>
        <w:spacing w:after="0" w:line="240" w:lineRule="auto"/>
      </w:pPr>
      <w:r>
        <w:rPr>
          <w:noProof/>
        </w:rPr>
        <w:lastRenderedPageBreak/>
        <w:drawing>
          <wp:inline distT="0" distB="0" distL="0" distR="0" wp14:anchorId="2474E7ED" wp14:editId="22AC9788">
            <wp:extent cx="5943600" cy="26689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9"/>
                    <a:stretch>
                      <a:fillRect/>
                    </a:stretch>
                  </pic:blipFill>
                  <pic:spPr>
                    <a:xfrm>
                      <a:off x="0" y="0"/>
                      <a:ext cx="5943600" cy="2668905"/>
                    </a:xfrm>
                    <a:prstGeom prst="rect">
                      <a:avLst/>
                    </a:prstGeom>
                  </pic:spPr>
                </pic:pic>
              </a:graphicData>
            </a:graphic>
          </wp:inline>
        </w:drawing>
      </w:r>
    </w:p>
    <w:p w14:paraId="556BCB70" w14:textId="0ED060D0" w:rsidR="00711082" w:rsidRPr="004A4BED" w:rsidRDefault="00711082" w:rsidP="00711082">
      <w:pPr>
        <w:pStyle w:val="Caption"/>
        <w:jc w:val="left"/>
        <w:rPr>
          <w:b w:val="0"/>
          <w:bCs/>
        </w:rPr>
      </w:pPr>
      <w:bookmarkStart w:id="18" w:name="_Ref177122061"/>
      <w:r>
        <w:t xml:space="preserve">Figure </w:t>
      </w:r>
      <w:fldSimple w:instr=" SEQ Figure \* ARABIC ">
        <w:r w:rsidR="00E941CA">
          <w:rPr>
            <w:noProof/>
          </w:rPr>
          <w:t>19</w:t>
        </w:r>
      </w:fldSimple>
      <w:bookmarkEnd w:id="18"/>
      <w:r>
        <w:t xml:space="preserve">. </w:t>
      </w:r>
      <w:r w:rsidR="008058FB">
        <w:rPr>
          <w:b w:val="0"/>
          <w:bCs/>
        </w:rPr>
        <w:t>Changes in d</w:t>
      </w:r>
      <w:r w:rsidRPr="00711082">
        <w:rPr>
          <w:b w:val="0"/>
          <w:bCs/>
        </w:rPr>
        <w:t xml:space="preserve">istance-to-tail </w:t>
      </w:r>
      <w:r w:rsidR="005C42F3">
        <w:rPr>
          <w:b w:val="0"/>
          <w:bCs/>
        </w:rPr>
        <w:t xml:space="preserve">and the buildup of systemic risks </w:t>
      </w:r>
      <w:r w:rsidRPr="00711082">
        <w:rPr>
          <w:b w:val="0"/>
          <w:bCs/>
        </w:rPr>
        <w:t xml:space="preserve">before </w:t>
      </w:r>
      <w:r w:rsidR="008058FB">
        <w:rPr>
          <w:b w:val="0"/>
          <w:bCs/>
        </w:rPr>
        <w:t xml:space="preserve">major </w:t>
      </w:r>
      <w:r w:rsidR="008058FB" w:rsidRPr="009028F8">
        <w:rPr>
          <w:b w:val="0"/>
          <w:bCs/>
        </w:rPr>
        <w:t>economic disturbances.</w:t>
      </w:r>
    </w:p>
    <w:p w14:paraId="51837483" w14:textId="09E7C6C1" w:rsidR="0016743D" w:rsidRDefault="00644E13" w:rsidP="0016743D">
      <w:pPr>
        <w:ind w:firstLine="284"/>
      </w:pPr>
      <w:r>
        <w:t xml:space="preserve">The </w:t>
      </w:r>
      <w:r w:rsidRPr="00644E13">
        <w:t>distance-to-tail</w:t>
      </w:r>
      <w:r>
        <w:t xml:space="preserve"> approach </w:t>
      </w:r>
      <w:r w:rsidR="0016743D" w:rsidRPr="0016743D">
        <w:t>uses</w:t>
      </w:r>
      <w:r w:rsidR="0016743D">
        <w:t xml:space="preserve"> </w:t>
      </w:r>
      <w:r>
        <w:t xml:space="preserve">systemic </w:t>
      </w:r>
      <w:r w:rsidRPr="00473BD4">
        <w:t>thresholds</w:t>
      </w:r>
      <w:r>
        <w:t xml:space="preserve"> to determine the </w:t>
      </w:r>
      <w:r w:rsidRPr="00644E13">
        <w:t>macroprudential stance</w:t>
      </w:r>
      <w:r>
        <w:t>.</w:t>
      </w:r>
      <w:r w:rsidR="00331D5E">
        <w:t xml:space="preserve"> The stance metric alongside these </w:t>
      </w:r>
      <w:r w:rsidR="00331D5E" w:rsidRPr="00331D5E">
        <w:t>thresholds</w:t>
      </w:r>
      <w:r w:rsidR="00331D5E">
        <w:t xml:space="preserve"> is presented in</w:t>
      </w:r>
      <w:r w:rsidR="00331D5E" w:rsidRPr="00331D5E">
        <w:rPr>
          <w:b/>
          <w:bCs/>
        </w:rPr>
        <w:t xml:space="preserve"> </w:t>
      </w:r>
      <w:r w:rsidR="00331D5E" w:rsidRPr="00331D5E">
        <w:rPr>
          <w:b/>
          <w:bCs/>
        </w:rPr>
        <w:fldChar w:fldCharType="begin"/>
      </w:r>
      <w:r w:rsidR="00331D5E" w:rsidRPr="00331D5E">
        <w:rPr>
          <w:b/>
          <w:bCs/>
        </w:rPr>
        <w:instrText xml:space="preserve"> REF _Ref177123397 \h </w:instrText>
      </w:r>
      <w:r w:rsidR="00331D5E">
        <w:rPr>
          <w:b/>
          <w:bCs/>
        </w:rPr>
        <w:instrText xml:space="preserve"> \* MERGEFORMAT </w:instrText>
      </w:r>
      <w:r w:rsidR="00331D5E" w:rsidRPr="00331D5E">
        <w:rPr>
          <w:b/>
          <w:bCs/>
        </w:rPr>
      </w:r>
      <w:r w:rsidR="00331D5E" w:rsidRPr="00331D5E">
        <w:rPr>
          <w:b/>
          <w:bCs/>
        </w:rPr>
        <w:fldChar w:fldCharType="separate"/>
      </w:r>
      <w:r w:rsidR="00331D5E" w:rsidRPr="00331D5E">
        <w:rPr>
          <w:b/>
          <w:bCs/>
        </w:rPr>
        <w:t xml:space="preserve">Figure </w:t>
      </w:r>
      <w:r w:rsidR="00331D5E" w:rsidRPr="00331D5E">
        <w:rPr>
          <w:b/>
          <w:bCs/>
          <w:noProof/>
        </w:rPr>
        <w:t>20</w:t>
      </w:r>
      <w:r w:rsidR="00331D5E" w:rsidRPr="00331D5E">
        <w:rPr>
          <w:b/>
          <w:bCs/>
        </w:rPr>
        <w:fldChar w:fldCharType="end"/>
      </w:r>
      <w:r w:rsidR="00331D5E">
        <w:t>.</w:t>
      </w:r>
      <w:r w:rsidR="00D4430C">
        <w:t xml:space="preserve"> </w:t>
      </w:r>
      <w:r w:rsidR="00D62A27">
        <w:t xml:space="preserve">When this value exceeds the 7% </w:t>
      </w:r>
      <w:r w:rsidR="00D62A27" w:rsidRPr="00644E13">
        <w:t>distance-to-tail</w:t>
      </w:r>
      <w:r w:rsidR="00D62A27">
        <w:t xml:space="preserve"> </w:t>
      </w:r>
      <w:r w:rsidR="00D62A27" w:rsidRPr="00473BD4">
        <w:t>threshold</w:t>
      </w:r>
      <w:r w:rsidR="00D62A27">
        <w:t xml:space="preserve"> (the 70</w:t>
      </w:r>
      <w:r w:rsidR="00D62A27" w:rsidRPr="000654D2">
        <w:rPr>
          <w:vertAlign w:val="superscript"/>
        </w:rPr>
        <w:t>th</w:t>
      </w:r>
      <w:r w:rsidR="00D62A27">
        <w:rPr>
          <w:vertAlign w:val="superscript"/>
        </w:rPr>
        <w:t xml:space="preserve"> </w:t>
      </w:r>
      <w:r w:rsidR="00D62A27">
        <w:t>percentile)</w:t>
      </w:r>
      <w:r w:rsidR="0016743D">
        <w:t>,</w:t>
      </w:r>
      <w:r w:rsidR="00D62A27">
        <w:t xml:space="preserve"> </w:t>
      </w:r>
      <w:r w:rsidR="0016743D" w:rsidRPr="0016743D">
        <w:t>it signals a relatively loose stance, prompting consideration of tightening measures</w:t>
      </w:r>
      <w:r w:rsidR="00D62A27">
        <w:t xml:space="preserve"> to maintain it at the neutral level.</w:t>
      </w:r>
      <w:r w:rsidR="005652A8">
        <w:t xml:space="preserve"> </w:t>
      </w:r>
      <w:r w:rsidR="0016743D" w:rsidRPr="0016743D">
        <w:t>As of 2024Q1</w:t>
      </w:r>
      <w:r w:rsidR="0016743D">
        <w:t>,</w:t>
      </w:r>
      <w:r w:rsidR="00564AF7">
        <w:t xml:space="preserve"> the metric is at the </w:t>
      </w:r>
      <w:r w:rsidR="00564AF7" w:rsidRPr="00564AF7">
        <w:t>neutral</w:t>
      </w:r>
      <w:r w:rsidR="00C60A87">
        <w:t xml:space="preserve"> level</w:t>
      </w:r>
      <w:r w:rsidR="00564AF7">
        <w:t xml:space="preserve">, </w:t>
      </w:r>
      <w:r w:rsidR="0016743D" w:rsidRPr="0016743D">
        <w:t>suggesting no immediate need for tightening actions.</w:t>
      </w:r>
      <w:r w:rsidR="0016743D">
        <w:t xml:space="preserve"> </w:t>
      </w:r>
      <w:r w:rsidR="0016743D" w:rsidRPr="0016743D">
        <w:t>However</w:t>
      </w:r>
      <w:r w:rsidR="00564AF7">
        <w:t xml:space="preserve">, the value </w:t>
      </w:r>
      <w:r w:rsidR="00564AF7" w:rsidRPr="00564AF7">
        <w:t>exhibits</w:t>
      </w:r>
      <w:r w:rsidR="00564AF7">
        <w:t xml:space="preserve"> an upward trend, indicating growing risks in the system.</w:t>
      </w:r>
    </w:p>
    <w:p w14:paraId="3E871A59" w14:textId="77777777" w:rsidR="00711082" w:rsidRDefault="00711082" w:rsidP="00FA49ED">
      <w:pPr>
        <w:spacing w:after="0" w:line="240" w:lineRule="auto"/>
      </w:pPr>
      <w:r>
        <w:rPr>
          <w:noProof/>
        </w:rPr>
        <w:drawing>
          <wp:inline distT="0" distB="0" distL="0" distR="0" wp14:anchorId="008F8A8E" wp14:editId="7A2D8B59">
            <wp:extent cx="5943600" cy="24276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0"/>
                    <a:stretch>
                      <a:fillRect/>
                    </a:stretch>
                  </pic:blipFill>
                  <pic:spPr>
                    <a:xfrm>
                      <a:off x="0" y="0"/>
                      <a:ext cx="5943600" cy="2427605"/>
                    </a:xfrm>
                    <a:prstGeom prst="rect">
                      <a:avLst/>
                    </a:prstGeom>
                  </pic:spPr>
                </pic:pic>
              </a:graphicData>
            </a:graphic>
          </wp:inline>
        </w:drawing>
      </w:r>
    </w:p>
    <w:p w14:paraId="19F4935F" w14:textId="0F87F687" w:rsidR="00711082" w:rsidRDefault="00711082" w:rsidP="00711082">
      <w:pPr>
        <w:pStyle w:val="Caption"/>
        <w:jc w:val="left"/>
        <w:rPr>
          <w:b w:val="0"/>
          <w:bCs/>
        </w:rPr>
      </w:pPr>
      <w:bookmarkStart w:id="19" w:name="_Ref177123397"/>
      <w:r>
        <w:t xml:space="preserve">Figure </w:t>
      </w:r>
      <w:fldSimple w:instr=" SEQ Figure \* ARABIC ">
        <w:r w:rsidR="00E941CA">
          <w:rPr>
            <w:noProof/>
          </w:rPr>
          <w:t>20</w:t>
        </w:r>
      </w:fldSimple>
      <w:bookmarkEnd w:id="19"/>
      <w:r>
        <w:t xml:space="preserve">. </w:t>
      </w:r>
      <w:r w:rsidR="004277A3">
        <w:rPr>
          <w:b w:val="0"/>
          <w:bCs/>
        </w:rPr>
        <w:t xml:space="preserve">Estimated distance-to-tail and the macroprudential stance assessment over time. </w:t>
      </w:r>
      <w:r w:rsidR="00E2096E">
        <w:rPr>
          <w:b w:val="0"/>
          <w:bCs/>
        </w:rPr>
        <w:t xml:space="preserve">The boundaries describe the </w:t>
      </w:r>
      <w:r w:rsidR="00E2096E" w:rsidRPr="00E2096E">
        <w:rPr>
          <w:b w:val="0"/>
          <w:bCs/>
        </w:rPr>
        <w:t>10th, 30th, 70th, and 90th percentiles of the distance-to-tail distribution</w:t>
      </w:r>
      <w:r w:rsidR="00E2096E">
        <w:rPr>
          <w:b w:val="0"/>
          <w:bCs/>
        </w:rPr>
        <w:t>.</w:t>
      </w:r>
    </w:p>
    <w:p w14:paraId="0B2F62E7" w14:textId="3C1FC41E" w:rsidR="00F12981" w:rsidRPr="00F12981" w:rsidRDefault="008B45C6" w:rsidP="00654E44">
      <w:pPr>
        <w:ind w:firstLine="284"/>
      </w:pPr>
      <w:r w:rsidRPr="008B45C6">
        <w:t>A key limitation of the distance-to-tail approach</w:t>
      </w:r>
      <w:r w:rsidR="003113CC">
        <w:t xml:space="preserve"> is that the selected </w:t>
      </w:r>
      <w:r w:rsidR="003113CC" w:rsidRPr="00473BD4">
        <w:t>threshold</w:t>
      </w:r>
      <w:r w:rsidR="003113CC">
        <w:t xml:space="preserve"> is not tied to a measure of the </w:t>
      </w:r>
      <w:r w:rsidR="003113CC" w:rsidRPr="005C6284">
        <w:t>financial system</w:t>
      </w:r>
      <w:r w:rsidR="003113CC">
        <w:t xml:space="preserve">’s </w:t>
      </w:r>
      <w:r w:rsidR="003113CC" w:rsidRPr="005C6284">
        <w:t>resilience</w:t>
      </w:r>
      <w:r w:rsidR="003113CC">
        <w:t xml:space="preserve">, but rather inferred from systemic risks. </w:t>
      </w:r>
      <w:r w:rsidR="00007791">
        <w:t xml:space="preserve">To test the </w:t>
      </w:r>
      <w:r w:rsidR="00007791" w:rsidRPr="00007791">
        <w:t>reliability</w:t>
      </w:r>
      <w:r>
        <w:t xml:space="preserve"> and </w:t>
      </w:r>
      <w:r w:rsidRPr="00F12981">
        <w:rPr>
          <w:bCs/>
        </w:rPr>
        <w:t>robustness</w:t>
      </w:r>
      <w:r>
        <w:t xml:space="preserve"> </w:t>
      </w:r>
      <w:r w:rsidR="00007791">
        <w:t xml:space="preserve">of this </w:t>
      </w:r>
      <w:r w:rsidR="00007791" w:rsidRPr="00473BD4">
        <w:lastRenderedPageBreak/>
        <w:t>threshold</w:t>
      </w:r>
      <w:r w:rsidR="00007791">
        <w:t xml:space="preserve"> we use an alternative methodology to derive it</w:t>
      </w:r>
      <w:r w:rsidR="00A71A34">
        <w:t>,</w:t>
      </w:r>
      <w:r w:rsidR="00007791">
        <w:t xml:space="preserve"> </w:t>
      </w:r>
      <w:r w:rsidR="00007791" w:rsidRPr="00385984">
        <w:t>inspired by modern portfolio theory</w:t>
      </w:r>
      <w:r w:rsidR="00007791">
        <w:t>.</w:t>
      </w:r>
      <w:r w:rsidR="003A5393">
        <w:t xml:space="preserve"> </w:t>
      </w:r>
      <w:r w:rsidR="00700242">
        <w:t xml:space="preserve">Using the estimated median and the </w:t>
      </w:r>
      <w:r w:rsidR="00700242" w:rsidRPr="00700242">
        <w:t>distance-to-tail</w:t>
      </w:r>
      <w:r w:rsidR="00700242">
        <w:t xml:space="preserve"> (Gap) from the panel </w:t>
      </w:r>
      <w:r w:rsidR="00700242" w:rsidRPr="00700242">
        <w:t>quantile regression</w:t>
      </w:r>
      <w:r>
        <w:t>,</w:t>
      </w:r>
      <w:r w:rsidR="00700242">
        <w:t xml:space="preserve"> we </w:t>
      </w:r>
      <w:r w:rsidRPr="00F12981">
        <w:rPr>
          <w:bCs/>
        </w:rPr>
        <w:t>construct</w:t>
      </w:r>
      <w:r>
        <w:t xml:space="preserve"> </w:t>
      </w:r>
      <w:r w:rsidR="00700242">
        <w:t xml:space="preserve">an </w:t>
      </w:r>
      <w:r w:rsidR="00700242">
        <w:rPr>
          <w:bCs/>
        </w:rPr>
        <w:t>e</w:t>
      </w:r>
      <w:r w:rsidR="00700242" w:rsidRPr="00E953F6">
        <w:rPr>
          <w:bCs/>
        </w:rPr>
        <w:t>fficient frontier</w:t>
      </w:r>
      <w:r w:rsidR="00461A33">
        <w:rPr>
          <w:rStyle w:val="FootnoteReference"/>
          <w:bCs/>
        </w:rPr>
        <w:footnoteReference w:id="3"/>
      </w:r>
      <w:r w:rsidR="00700242">
        <w:rPr>
          <w:bCs/>
        </w:rPr>
        <w:t xml:space="preserve"> </w:t>
      </w:r>
      <w:r w:rsidRPr="00F12981">
        <w:rPr>
          <w:bCs/>
        </w:rPr>
        <w:t>across 41 countries, as shown</w:t>
      </w:r>
      <w:r>
        <w:rPr>
          <w:bCs/>
        </w:rPr>
        <w:t xml:space="preserve"> </w:t>
      </w:r>
      <w:r w:rsidR="00146EE3">
        <w:rPr>
          <w:bCs/>
        </w:rPr>
        <w:t xml:space="preserve">in </w:t>
      </w:r>
      <w:r w:rsidR="00146EE3" w:rsidRPr="00146EE3">
        <w:rPr>
          <w:b/>
        </w:rPr>
        <w:fldChar w:fldCharType="begin"/>
      </w:r>
      <w:r w:rsidR="00146EE3" w:rsidRPr="00146EE3">
        <w:rPr>
          <w:b/>
        </w:rPr>
        <w:instrText xml:space="preserve"> REF _Ref177125494 \h </w:instrText>
      </w:r>
      <w:r w:rsidR="00146EE3">
        <w:rPr>
          <w:b/>
        </w:rPr>
        <w:instrText xml:space="preserve"> \* MERGEFORMAT </w:instrText>
      </w:r>
      <w:r w:rsidR="00146EE3" w:rsidRPr="00146EE3">
        <w:rPr>
          <w:b/>
        </w:rPr>
      </w:r>
      <w:r w:rsidR="00146EE3" w:rsidRPr="00146EE3">
        <w:rPr>
          <w:b/>
        </w:rPr>
        <w:fldChar w:fldCharType="separate"/>
      </w:r>
      <w:r w:rsidR="00146EE3" w:rsidRPr="00146EE3">
        <w:rPr>
          <w:b/>
        </w:rPr>
        <w:t xml:space="preserve">Figure </w:t>
      </w:r>
      <w:r w:rsidR="00146EE3" w:rsidRPr="00146EE3">
        <w:rPr>
          <w:b/>
          <w:noProof/>
        </w:rPr>
        <w:t>21</w:t>
      </w:r>
      <w:r w:rsidR="00146EE3" w:rsidRPr="00146EE3">
        <w:rPr>
          <w:b/>
        </w:rPr>
        <w:fldChar w:fldCharType="end"/>
      </w:r>
      <w:r w:rsidR="00146EE3">
        <w:rPr>
          <w:bCs/>
        </w:rPr>
        <w:t>.</w:t>
      </w:r>
      <w:r w:rsidR="00654E44">
        <w:t xml:space="preserve"> </w:t>
      </w:r>
      <w:r w:rsidR="00654E44" w:rsidRPr="00F12981">
        <w:rPr>
          <w:bCs/>
        </w:rPr>
        <w:t>In this context, GDP growth represents each country’s "portfolio," with the median as the expected return and the distance-to-tail as the associated risk.</w:t>
      </w:r>
      <w:r w:rsidR="00654E44">
        <w:rPr>
          <w:bCs/>
        </w:rPr>
        <w:t xml:space="preserve"> </w:t>
      </w:r>
      <w:r w:rsidR="00654E44" w:rsidRPr="00654E44">
        <w:t>The efficient frontier illustrates that beyond a certain threshold</w:t>
      </w:r>
      <w:r w:rsidR="00950166">
        <w:t xml:space="preserve">, countries that face additional risk do not </w:t>
      </w:r>
      <w:r w:rsidR="00950166" w:rsidRPr="00950166">
        <w:t>generate</w:t>
      </w:r>
      <w:r w:rsidR="00950166">
        <w:t xml:space="preserve"> </w:t>
      </w:r>
      <w:r w:rsidR="00950166" w:rsidRPr="00950166">
        <w:t>excess</w:t>
      </w:r>
      <w:r w:rsidR="00950166">
        <w:t xml:space="preserve"> returns in </w:t>
      </w:r>
      <w:r w:rsidR="00950166" w:rsidRPr="00950166">
        <w:t>proportion</w:t>
      </w:r>
      <w:r w:rsidR="00950166">
        <w:t xml:space="preserve"> to those risks.</w:t>
      </w:r>
      <w:r w:rsidR="00654E44">
        <w:t xml:space="preserve"> </w:t>
      </w:r>
      <w:r w:rsidR="00950166">
        <w:t xml:space="preserve">If we </w:t>
      </w:r>
      <w:r w:rsidR="00950166" w:rsidRPr="00950166">
        <w:t>exclude</w:t>
      </w:r>
      <w:r w:rsidR="00950166">
        <w:t xml:space="preserve"> India this </w:t>
      </w:r>
      <w:r w:rsidR="00950166" w:rsidRPr="00473BD4">
        <w:t>threshold</w:t>
      </w:r>
      <w:r w:rsidR="00950166">
        <w:t xml:space="preserve"> is around 5-6%, </w:t>
      </w:r>
      <w:r w:rsidR="00654E44" w:rsidRPr="00F12981">
        <w:rPr>
          <w:bCs/>
        </w:rPr>
        <w:t>while including India lowers it to approximately 3%.</w:t>
      </w:r>
    </w:p>
    <w:p w14:paraId="7276BA93" w14:textId="77777777" w:rsidR="00E953F6" w:rsidRDefault="00E953F6" w:rsidP="00FA49ED">
      <w:pPr>
        <w:spacing w:after="0" w:line="240" w:lineRule="auto"/>
      </w:pPr>
      <w:r>
        <w:rPr>
          <w:noProof/>
        </w:rPr>
        <w:drawing>
          <wp:inline distT="0" distB="0" distL="0" distR="0" wp14:anchorId="0FE87907" wp14:editId="32FE2037">
            <wp:extent cx="5943600" cy="2738062"/>
            <wp:effectExtent l="0" t="0" r="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1"/>
                    <a:stretch>
                      <a:fillRect/>
                    </a:stretch>
                  </pic:blipFill>
                  <pic:spPr>
                    <a:xfrm>
                      <a:off x="0" y="0"/>
                      <a:ext cx="5943600" cy="2738062"/>
                    </a:xfrm>
                    <a:prstGeom prst="rect">
                      <a:avLst/>
                    </a:prstGeom>
                  </pic:spPr>
                </pic:pic>
              </a:graphicData>
            </a:graphic>
          </wp:inline>
        </w:drawing>
      </w:r>
    </w:p>
    <w:p w14:paraId="3DEDAF9B" w14:textId="28E31527" w:rsidR="00E953F6" w:rsidRDefault="00E953F6" w:rsidP="00E953F6">
      <w:pPr>
        <w:pStyle w:val="Caption"/>
        <w:jc w:val="left"/>
        <w:rPr>
          <w:b w:val="0"/>
          <w:bCs/>
        </w:rPr>
      </w:pPr>
      <w:bookmarkStart w:id="20" w:name="_Ref177125494"/>
      <w:r>
        <w:t xml:space="preserve">Figure </w:t>
      </w:r>
      <w:fldSimple w:instr=" SEQ Figure \* ARABIC ">
        <w:r w:rsidR="00E941CA">
          <w:rPr>
            <w:noProof/>
          </w:rPr>
          <w:t>21</w:t>
        </w:r>
      </w:fldSimple>
      <w:bookmarkEnd w:id="20"/>
      <w:r>
        <w:t xml:space="preserve">. </w:t>
      </w:r>
      <w:r w:rsidRPr="00E953F6">
        <w:rPr>
          <w:b w:val="0"/>
          <w:bCs/>
        </w:rPr>
        <w:t xml:space="preserve">Efficient frontier based on </w:t>
      </w:r>
      <w:r w:rsidR="007F2574">
        <w:rPr>
          <w:b w:val="0"/>
          <w:bCs/>
        </w:rPr>
        <w:t xml:space="preserve">the median and </w:t>
      </w:r>
      <w:r w:rsidR="007F2574" w:rsidRPr="00E2096E">
        <w:rPr>
          <w:b w:val="0"/>
          <w:bCs/>
        </w:rPr>
        <w:t>distance-to-tail</w:t>
      </w:r>
      <w:r w:rsidR="00700242">
        <w:rPr>
          <w:b w:val="0"/>
          <w:bCs/>
        </w:rPr>
        <w:t xml:space="preserve"> (Gap)</w:t>
      </w:r>
      <w:r w:rsidR="007F2574" w:rsidRPr="00E953F6">
        <w:rPr>
          <w:b w:val="0"/>
          <w:bCs/>
        </w:rPr>
        <w:t xml:space="preserve"> </w:t>
      </w:r>
      <w:r w:rsidR="007F2574" w:rsidRPr="007F2574">
        <w:rPr>
          <w:b w:val="0"/>
          <w:bCs/>
        </w:rPr>
        <w:t xml:space="preserve">estimates </w:t>
      </w:r>
      <w:r w:rsidR="007F2574">
        <w:rPr>
          <w:b w:val="0"/>
          <w:bCs/>
        </w:rPr>
        <w:t xml:space="preserve">from the </w:t>
      </w:r>
      <w:r w:rsidRPr="00E953F6">
        <w:rPr>
          <w:b w:val="0"/>
          <w:bCs/>
        </w:rPr>
        <w:t xml:space="preserve">41 </w:t>
      </w:r>
      <w:r w:rsidR="007F2574" w:rsidRPr="00E953F6">
        <w:rPr>
          <w:b w:val="0"/>
          <w:bCs/>
        </w:rPr>
        <w:t>countries</w:t>
      </w:r>
      <w:r w:rsidR="007F2574">
        <w:rPr>
          <w:b w:val="0"/>
          <w:bCs/>
        </w:rPr>
        <w:t xml:space="preserve">. The green line </w:t>
      </w:r>
      <w:r w:rsidR="007F2574" w:rsidRPr="007F2574">
        <w:rPr>
          <w:b w:val="0"/>
          <w:bCs/>
        </w:rPr>
        <w:t>represent</w:t>
      </w:r>
      <w:r w:rsidR="007F2574">
        <w:rPr>
          <w:b w:val="0"/>
          <w:bCs/>
        </w:rPr>
        <w:t xml:space="preserve">s the </w:t>
      </w:r>
      <w:r w:rsidR="007F2574" w:rsidRPr="00E953F6">
        <w:rPr>
          <w:b w:val="0"/>
          <w:bCs/>
        </w:rPr>
        <w:t>frontier</w:t>
      </w:r>
      <w:r w:rsidR="007F2574">
        <w:rPr>
          <w:b w:val="0"/>
          <w:bCs/>
        </w:rPr>
        <w:t xml:space="preserve"> and was </w:t>
      </w:r>
      <w:r w:rsidR="007F2574" w:rsidRPr="007F2574">
        <w:rPr>
          <w:b w:val="0"/>
          <w:bCs/>
        </w:rPr>
        <w:t>estimated</w:t>
      </w:r>
      <w:r w:rsidR="007F2574">
        <w:rPr>
          <w:b w:val="0"/>
          <w:bCs/>
        </w:rPr>
        <w:t xml:space="preserve"> using </w:t>
      </w:r>
      <w:r w:rsidR="00C11569">
        <w:rPr>
          <w:b w:val="0"/>
          <w:bCs/>
        </w:rPr>
        <w:t xml:space="preserve">a </w:t>
      </w:r>
      <w:r w:rsidR="007F2574">
        <w:rPr>
          <w:b w:val="0"/>
          <w:bCs/>
        </w:rPr>
        <w:t>L</w:t>
      </w:r>
      <w:r w:rsidR="007F2574" w:rsidRPr="007F2574">
        <w:rPr>
          <w:b w:val="0"/>
          <w:bCs/>
        </w:rPr>
        <w:t xml:space="preserve">ocal </w:t>
      </w:r>
      <w:r w:rsidR="007F2574">
        <w:rPr>
          <w:b w:val="0"/>
          <w:bCs/>
        </w:rPr>
        <w:t>O</w:t>
      </w:r>
      <w:r w:rsidR="007F2574" w:rsidRPr="007F2574">
        <w:rPr>
          <w:b w:val="0"/>
          <w:bCs/>
        </w:rPr>
        <w:t xml:space="preserve">utlier </w:t>
      </w:r>
      <w:r w:rsidR="007F2574">
        <w:rPr>
          <w:b w:val="0"/>
          <w:bCs/>
        </w:rPr>
        <w:t>F</w:t>
      </w:r>
      <w:r w:rsidR="007F2574" w:rsidRPr="007F2574">
        <w:rPr>
          <w:b w:val="0"/>
          <w:bCs/>
        </w:rPr>
        <w:t>actor</w:t>
      </w:r>
      <w:r w:rsidR="00C11569">
        <w:rPr>
          <w:b w:val="0"/>
          <w:bCs/>
        </w:rPr>
        <w:t xml:space="preserve"> (LOF) </w:t>
      </w:r>
      <w:r w:rsidR="007F2574" w:rsidRPr="007F2574">
        <w:rPr>
          <w:b w:val="0"/>
          <w:bCs/>
        </w:rPr>
        <w:t>algorithm</w:t>
      </w:r>
      <w:r w:rsidR="007F2574">
        <w:rPr>
          <w:b w:val="0"/>
          <w:bCs/>
        </w:rPr>
        <w:t>.</w:t>
      </w:r>
    </w:p>
    <w:p w14:paraId="50A9F605" w14:textId="3D3548E9" w:rsidR="00E80680" w:rsidRDefault="00E80680" w:rsidP="00E80680">
      <w:pPr>
        <w:pStyle w:val="SectionHeading"/>
        <w:numPr>
          <w:ilvl w:val="1"/>
          <w:numId w:val="9"/>
        </w:numPr>
        <w:spacing w:before="240"/>
      </w:pPr>
      <w:r w:rsidRPr="00865D62">
        <w:t>Suarez</w:t>
      </w:r>
      <w:r>
        <w:t xml:space="preserve"> </w:t>
      </w:r>
      <w:r w:rsidRPr="00865D62">
        <w:t>welfare</w:t>
      </w:r>
      <w:r>
        <w:t xml:space="preserve"> </w:t>
      </w:r>
      <w:r w:rsidRPr="00865D62">
        <w:t>approach</w:t>
      </w:r>
    </w:p>
    <w:p w14:paraId="48AF2BFC" w14:textId="70E089AC" w:rsidR="00D90D15" w:rsidRDefault="00DF7266" w:rsidP="00E80680">
      <w:r>
        <w:t xml:space="preserve">Unlike the distance-to-tail approach, the </w:t>
      </w:r>
      <w:r w:rsidRPr="00865D62">
        <w:t>Suarez</w:t>
      </w:r>
      <w:r>
        <w:t xml:space="preserve"> (2021) </w:t>
      </w:r>
      <w:r w:rsidRPr="00865D62">
        <w:t>welfare</w:t>
      </w:r>
      <w:r>
        <w:t xml:space="preserve"> function also considers the median of the distribution</w:t>
      </w:r>
      <w:r w:rsidR="00D90D15" w:rsidRPr="00D90D15">
        <w:t xml:space="preserve">, enabling us to account for the costs of </w:t>
      </w:r>
      <w:r w:rsidR="00D90D15">
        <w:t xml:space="preserve">the </w:t>
      </w:r>
      <w:r w:rsidR="00D90D15" w:rsidRPr="00D90D15">
        <w:t>policy</w:t>
      </w:r>
      <w:r w:rsidR="0034513D">
        <w:t xml:space="preserve">. </w:t>
      </w:r>
      <w:r w:rsidR="00D90D15" w:rsidRPr="00D90D15">
        <w:t>For example, a policy that reduces the median without impacting the tail would be considered unfavorable, despite lowering the distance-to-tail.</w:t>
      </w:r>
      <w:r w:rsidR="00D90D15">
        <w:t xml:space="preserve"> </w:t>
      </w:r>
      <w:r w:rsidR="00D90D15" w:rsidRPr="00D90D15">
        <w:t>However, with the welfare function, such a policy would decrease overall utility.</w:t>
      </w:r>
      <w:r w:rsidR="00D90D15">
        <w:t xml:space="preserve"> In other words, the </w:t>
      </w:r>
      <w:r w:rsidR="00D90D15" w:rsidRPr="00865D62">
        <w:t>welfare</w:t>
      </w:r>
      <w:r w:rsidR="00D90D15">
        <w:t xml:space="preserve"> function favors policies that are capable of improving the tail, without a reduction in the median. </w:t>
      </w:r>
      <w:r w:rsidR="00D90D15" w:rsidRPr="00D90D15">
        <w:t>As of 2024Q1, the conditional 1-year ahead GDP growth distribution has a median of 5.2% and a distance-to-tail of 7.3%. The full distribution is illustrated in</w:t>
      </w:r>
      <w:r w:rsidR="00D90D15">
        <w:t xml:space="preserve"> </w:t>
      </w:r>
      <w:r w:rsidR="00A576AB" w:rsidRPr="00A576AB">
        <w:rPr>
          <w:b/>
          <w:bCs/>
        </w:rPr>
        <w:fldChar w:fldCharType="begin"/>
      </w:r>
      <w:r w:rsidR="00A576AB" w:rsidRPr="00A576AB">
        <w:rPr>
          <w:b/>
          <w:bCs/>
        </w:rPr>
        <w:instrText xml:space="preserve"> REF _Ref176970853 \h </w:instrText>
      </w:r>
      <w:r w:rsidR="00A576AB">
        <w:rPr>
          <w:b/>
          <w:bCs/>
        </w:rPr>
        <w:instrText xml:space="preserve"> \* MERGEFORMAT </w:instrText>
      </w:r>
      <w:r w:rsidR="00A576AB" w:rsidRPr="00A576AB">
        <w:rPr>
          <w:b/>
          <w:bCs/>
        </w:rPr>
      </w:r>
      <w:r w:rsidR="00A576AB" w:rsidRPr="00A576AB">
        <w:rPr>
          <w:b/>
          <w:bCs/>
        </w:rPr>
        <w:fldChar w:fldCharType="separate"/>
      </w:r>
      <w:r w:rsidR="00A576AB" w:rsidRPr="00A576AB">
        <w:rPr>
          <w:b/>
          <w:bCs/>
        </w:rPr>
        <w:t xml:space="preserve">Figure </w:t>
      </w:r>
      <w:r w:rsidR="00A576AB" w:rsidRPr="00A576AB">
        <w:rPr>
          <w:b/>
          <w:bCs/>
          <w:noProof/>
        </w:rPr>
        <w:t>22</w:t>
      </w:r>
      <w:r w:rsidR="00A576AB" w:rsidRPr="00A576AB">
        <w:rPr>
          <w:b/>
          <w:bCs/>
        </w:rPr>
        <w:fldChar w:fldCharType="end"/>
      </w:r>
      <w:r w:rsidR="00A576AB">
        <w:t>.</w:t>
      </w:r>
    </w:p>
    <w:p w14:paraId="01AAE10D" w14:textId="77777777" w:rsidR="007F5421" w:rsidRDefault="007F5421" w:rsidP="00A207FF">
      <w:pPr>
        <w:spacing w:after="0" w:line="240" w:lineRule="auto"/>
      </w:pPr>
      <w:r>
        <w:rPr>
          <w:noProof/>
        </w:rPr>
        <w:lastRenderedPageBreak/>
        <w:drawing>
          <wp:inline distT="0" distB="0" distL="0" distR="0" wp14:anchorId="211E2541" wp14:editId="0605FDB9">
            <wp:extent cx="5943600" cy="235839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2"/>
                    <a:stretch>
                      <a:fillRect/>
                    </a:stretch>
                  </pic:blipFill>
                  <pic:spPr>
                    <a:xfrm>
                      <a:off x="0" y="0"/>
                      <a:ext cx="5943600" cy="2358390"/>
                    </a:xfrm>
                    <a:prstGeom prst="rect">
                      <a:avLst/>
                    </a:prstGeom>
                  </pic:spPr>
                </pic:pic>
              </a:graphicData>
            </a:graphic>
          </wp:inline>
        </w:drawing>
      </w:r>
    </w:p>
    <w:p w14:paraId="2E937C30" w14:textId="597E7EF4" w:rsidR="007F5421" w:rsidRDefault="007F5421" w:rsidP="007F5421">
      <w:pPr>
        <w:pStyle w:val="Caption"/>
        <w:jc w:val="both"/>
      </w:pPr>
      <w:bookmarkStart w:id="21" w:name="_Ref176970853"/>
      <w:r>
        <w:t xml:space="preserve">Figure </w:t>
      </w:r>
      <w:fldSimple w:instr=" SEQ Figure \* ARABIC ">
        <w:r w:rsidR="00E941CA">
          <w:rPr>
            <w:noProof/>
          </w:rPr>
          <w:t>22</w:t>
        </w:r>
      </w:fldSimple>
      <w:bookmarkEnd w:id="21"/>
      <w:r>
        <w:t xml:space="preserve">. </w:t>
      </w:r>
      <w:r w:rsidR="0046262B">
        <w:rPr>
          <w:b w:val="0"/>
          <w:bCs/>
        </w:rPr>
        <w:t>Conditional G</w:t>
      </w:r>
      <w:r w:rsidR="0046262B" w:rsidRPr="00033994">
        <w:rPr>
          <w:b w:val="0"/>
          <w:bCs/>
        </w:rPr>
        <w:t>DP</w:t>
      </w:r>
      <w:r w:rsidR="0046262B">
        <w:rPr>
          <w:b w:val="0"/>
          <w:bCs/>
        </w:rPr>
        <w:t xml:space="preserve"> growth distribution </w:t>
      </w:r>
      <w:r w:rsidR="00662555">
        <w:rPr>
          <w:b w:val="0"/>
          <w:bCs/>
        </w:rPr>
        <w:t xml:space="preserve">of Armenia </w:t>
      </w:r>
      <w:r w:rsidR="0046262B">
        <w:rPr>
          <w:b w:val="0"/>
          <w:bCs/>
        </w:rPr>
        <w:t xml:space="preserve">using </w:t>
      </w:r>
      <w:r w:rsidR="0046262B" w:rsidRPr="0046262B">
        <w:rPr>
          <w:b w:val="0"/>
          <w:bCs/>
        </w:rPr>
        <w:t>skewed</w:t>
      </w:r>
      <w:r w:rsidR="0046262B">
        <w:rPr>
          <w:b w:val="0"/>
          <w:bCs/>
        </w:rPr>
        <w:t xml:space="preserve"> </w:t>
      </w:r>
      <w:r w:rsidR="0046262B" w:rsidRPr="0046262B">
        <w:rPr>
          <w:b w:val="0"/>
          <w:bCs/>
        </w:rPr>
        <w:t>t-distribution</w:t>
      </w:r>
      <w:r w:rsidR="00100D64">
        <w:rPr>
          <w:b w:val="0"/>
          <w:bCs/>
        </w:rPr>
        <w:t xml:space="preserve"> fit</w:t>
      </w:r>
      <w:r w:rsidR="0046262B">
        <w:rPr>
          <w:b w:val="0"/>
          <w:bCs/>
        </w:rPr>
        <w:t xml:space="preserve"> for interpolation.</w:t>
      </w:r>
    </w:p>
    <w:p w14:paraId="77FDF646" w14:textId="5F09E741" w:rsidR="000F34E6" w:rsidRDefault="000F34E6" w:rsidP="000F34E6">
      <w:pPr>
        <w:ind w:firstLine="284"/>
      </w:pPr>
      <w:r w:rsidRPr="000F34E6">
        <w:t xml:space="preserve">To </w:t>
      </w:r>
      <w:r>
        <w:t>present</w:t>
      </w:r>
      <w:r w:rsidRPr="000F34E6">
        <w:t xml:space="preserve"> how systemic risks shape the GDP growth distribution, we compare the conditional distributions for</w:t>
      </w:r>
      <w:r>
        <w:t xml:space="preserve"> </w:t>
      </w:r>
      <w:r w:rsidRPr="000F34E6">
        <w:t>2023Q1</w:t>
      </w:r>
      <w:r>
        <w:t xml:space="preserve"> </w:t>
      </w:r>
      <w:r w:rsidRPr="000F34E6">
        <w:t>and</w:t>
      </w:r>
      <w:r>
        <w:t xml:space="preserve"> </w:t>
      </w:r>
      <w:r w:rsidRPr="000F34E6">
        <w:t>2024Q1</w:t>
      </w:r>
      <w:r>
        <w:t xml:space="preserve"> </w:t>
      </w:r>
      <w:r w:rsidRPr="000F34E6">
        <w:t>in</w:t>
      </w:r>
      <w:r w:rsidR="00F05F60">
        <w:t xml:space="preserve"> </w:t>
      </w:r>
      <w:r w:rsidR="00F05F60" w:rsidRPr="00F05F60">
        <w:rPr>
          <w:b/>
          <w:bCs/>
        </w:rPr>
        <w:fldChar w:fldCharType="begin"/>
      </w:r>
      <w:r w:rsidR="00F05F60" w:rsidRPr="00F05F60">
        <w:rPr>
          <w:b/>
          <w:bCs/>
        </w:rPr>
        <w:instrText xml:space="preserve"> REF _Ref177135901 \h </w:instrText>
      </w:r>
      <w:r w:rsidR="00F05F60">
        <w:rPr>
          <w:b/>
          <w:bCs/>
        </w:rPr>
        <w:instrText xml:space="preserve"> \* MERGEFORMAT </w:instrText>
      </w:r>
      <w:r w:rsidR="00F05F60" w:rsidRPr="00F05F60">
        <w:rPr>
          <w:b/>
          <w:bCs/>
        </w:rPr>
      </w:r>
      <w:r w:rsidR="00F05F60" w:rsidRPr="00F05F60">
        <w:rPr>
          <w:b/>
          <w:bCs/>
        </w:rPr>
        <w:fldChar w:fldCharType="separate"/>
      </w:r>
      <w:r w:rsidR="00F05F60" w:rsidRPr="00F05F60">
        <w:rPr>
          <w:b/>
          <w:bCs/>
        </w:rPr>
        <w:t xml:space="preserve">Figure </w:t>
      </w:r>
      <w:r w:rsidR="00F05F60" w:rsidRPr="00F05F60">
        <w:rPr>
          <w:b/>
          <w:bCs/>
          <w:noProof/>
        </w:rPr>
        <w:t>23</w:t>
      </w:r>
      <w:r w:rsidR="00F05F60" w:rsidRPr="00F05F60">
        <w:rPr>
          <w:b/>
          <w:bCs/>
        </w:rPr>
        <w:fldChar w:fldCharType="end"/>
      </w:r>
      <w:r w:rsidR="00910CD4">
        <w:t>.</w:t>
      </w:r>
      <w:r w:rsidR="00597E5E">
        <w:t xml:space="preserve"> Compared to the previous year</w:t>
      </w:r>
      <w:r>
        <w:t>,</w:t>
      </w:r>
      <w:r w:rsidR="00597E5E">
        <w:t xml:space="preserve"> the median has decreased by </w:t>
      </w:r>
      <w:r w:rsidR="00597E5E" w:rsidRPr="00597E5E">
        <w:t>3.5</w:t>
      </w:r>
      <w:r w:rsidR="00597E5E">
        <w:t>%, while the distance-to-tail increased by 4.2%.</w:t>
      </w:r>
      <w:r w:rsidR="00EF0704">
        <w:t xml:space="preserve"> </w:t>
      </w:r>
      <w:r w:rsidR="00EF0704" w:rsidRPr="00EF0704">
        <w:rPr>
          <w:b/>
          <w:bCs/>
        </w:rPr>
        <w:fldChar w:fldCharType="begin"/>
      </w:r>
      <w:r w:rsidR="00EF0704" w:rsidRPr="00EF0704">
        <w:rPr>
          <w:b/>
          <w:bCs/>
        </w:rPr>
        <w:instrText xml:space="preserve"> REF _Ref177136349 \h </w:instrText>
      </w:r>
      <w:r w:rsidR="00EF0704">
        <w:rPr>
          <w:b/>
          <w:bCs/>
        </w:rPr>
        <w:instrText xml:space="preserve"> \* MERGEFORMAT </w:instrText>
      </w:r>
      <w:r w:rsidR="00EF0704" w:rsidRPr="00EF0704">
        <w:rPr>
          <w:b/>
          <w:bCs/>
        </w:rPr>
      </w:r>
      <w:r w:rsidR="00EF0704" w:rsidRPr="00EF0704">
        <w:rPr>
          <w:b/>
          <w:bCs/>
        </w:rPr>
        <w:fldChar w:fldCharType="separate"/>
      </w:r>
      <w:r w:rsidR="00EF0704" w:rsidRPr="00EF0704">
        <w:rPr>
          <w:b/>
          <w:bCs/>
        </w:rPr>
        <w:t xml:space="preserve">Figure </w:t>
      </w:r>
      <w:r w:rsidR="00EF0704" w:rsidRPr="00EF0704">
        <w:rPr>
          <w:b/>
          <w:bCs/>
          <w:noProof/>
        </w:rPr>
        <w:t>24</w:t>
      </w:r>
      <w:r w:rsidR="00EF0704" w:rsidRPr="00EF0704">
        <w:rPr>
          <w:b/>
          <w:bCs/>
        </w:rPr>
        <w:fldChar w:fldCharType="end"/>
      </w:r>
      <w:r w:rsidR="00EF0704">
        <w:t xml:space="preserve"> </w:t>
      </w:r>
      <w:r>
        <w:t>further breaks down the factors contributing to this shift. The decline in the median is largely driven by macroeconomic factors, while the widening distance-to-tail reflects heightened uncertainties stemming from rising financial vulnerabilities and the indirect effects of financial stress.</w:t>
      </w:r>
    </w:p>
    <w:p w14:paraId="79249E96" w14:textId="2211183B" w:rsidR="00301E0E" w:rsidRDefault="00301E0E" w:rsidP="00FA14CB">
      <w:pPr>
        <w:ind w:firstLine="284"/>
      </w:pPr>
      <w:r>
        <w:t xml:space="preserve">Finally, we </w:t>
      </w:r>
      <w:r w:rsidR="00FA14CB" w:rsidRPr="00DE35CA">
        <w:t>demonstrate</w:t>
      </w:r>
      <w:r>
        <w:t xml:space="preserve"> how a </w:t>
      </w:r>
      <w:r w:rsidRPr="00301E0E">
        <w:t>tightening</w:t>
      </w:r>
      <w:r>
        <w:t xml:space="preserve"> of </w:t>
      </w:r>
      <w:r w:rsidRPr="00301E0E">
        <w:t>macroprudential policy</w:t>
      </w:r>
      <w:r w:rsidR="00FA14CB">
        <w:t xml:space="preserve"> </w:t>
      </w:r>
      <w:r>
        <w:t xml:space="preserve">can affect future growth. </w:t>
      </w:r>
      <w:r w:rsidR="00FA14CB" w:rsidRPr="00FA14CB">
        <w:t>Estimates suggest that a 1.5-point increase in the MPI would reduce the median by 1% and shrink the distance-to-tail by 2.19%</w:t>
      </w:r>
      <w:r>
        <w:t xml:space="preserve">, which is also the </w:t>
      </w:r>
      <w:r w:rsidRPr="00301E0E">
        <w:t>utility</w:t>
      </w:r>
      <w:r w:rsidR="001D32F0">
        <w:t>-</w:t>
      </w:r>
      <w:r w:rsidRPr="00301E0E">
        <w:t>maximizing</w:t>
      </w:r>
      <w:r>
        <w:t xml:space="preserve"> policy.</w:t>
      </w:r>
      <w:r w:rsidR="00E60DB3">
        <w:t xml:space="preserve"> This is </w:t>
      </w:r>
      <w:r w:rsidR="00E60DB3" w:rsidRPr="00E60DB3">
        <w:t>equivalent</w:t>
      </w:r>
      <w:r w:rsidR="00E60DB3">
        <w:t xml:space="preserve"> to</w:t>
      </w:r>
      <w:r w:rsidR="00B808FA">
        <w:t xml:space="preserve"> a CCyB</w:t>
      </w:r>
      <w:r w:rsidR="00E60DB3">
        <w:t xml:space="preserve"> </w:t>
      </w:r>
      <w:r w:rsidR="00E60DB3" w:rsidRPr="00E60DB3">
        <w:t>tightening</w:t>
      </w:r>
      <w:r w:rsidR="00E60DB3">
        <w:t xml:space="preserve"> </w:t>
      </w:r>
      <w:r w:rsidR="00B808FA">
        <w:t>of</w:t>
      </w:r>
      <w:r w:rsidR="00E60DB3">
        <w:t xml:space="preserve"> 0.33%.</w:t>
      </w:r>
      <w:r w:rsidR="00E60DB3">
        <w:rPr>
          <w:rStyle w:val="FootnoteReference"/>
        </w:rPr>
        <w:footnoteReference w:id="4"/>
      </w:r>
    </w:p>
    <w:p w14:paraId="2ED66066" w14:textId="77777777" w:rsidR="00E91E11" w:rsidRDefault="00E91E11" w:rsidP="00A207FF">
      <w:pPr>
        <w:spacing w:after="0" w:line="240" w:lineRule="auto"/>
      </w:pPr>
      <w:r>
        <w:rPr>
          <w:noProof/>
        </w:rPr>
        <w:lastRenderedPageBreak/>
        <w:drawing>
          <wp:inline distT="0" distB="0" distL="0" distR="0" wp14:anchorId="5913F34B" wp14:editId="345A413F">
            <wp:extent cx="5943600" cy="294682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3"/>
                    <a:stretch>
                      <a:fillRect/>
                    </a:stretch>
                  </pic:blipFill>
                  <pic:spPr>
                    <a:xfrm>
                      <a:off x="0" y="0"/>
                      <a:ext cx="5943600" cy="2946826"/>
                    </a:xfrm>
                    <a:prstGeom prst="rect">
                      <a:avLst/>
                    </a:prstGeom>
                  </pic:spPr>
                </pic:pic>
              </a:graphicData>
            </a:graphic>
          </wp:inline>
        </w:drawing>
      </w:r>
    </w:p>
    <w:p w14:paraId="0E5548B3" w14:textId="38775B85" w:rsidR="00BD0456" w:rsidRDefault="00E91E11" w:rsidP="00E91E11">
      <w:pPr>
        <w:pStyle w:val="Caption"/>
        <w:jc w:val="both"/>
      </w:pPr>
      <w:bookmarkStart w:id="22" w:name="_Ref177135901"/>
      <w:r>
        <w:t xml:space="preserve">Figure </w:t>
      </w:r>
      <w:fldSimple w:instr=" SEQ Figure \* ARABIC ">
        <w:r w:rsidR="00E941CA">
          <w:rPr>
            <w:noProof/>
          </w:rPr>
          <w:t>23</w:t>
        </w:r>
      </w:fldSimple>
      <w:bookmarkEnd w:id="22"/>
      <w:r>
        <w:t xml:space="preserve">. </w:t>
      </w:r>
      <w:r w:rsidR="00662555">
        <w:rPr>
          <w:b w:val="0"/>
          <w:bCs/>
        </w:rPr>
        <w:t>G</w:t>
      </w:r>
      <w:r w:rsidR="00662555" w:rsidRPr="00033994">
        <w:rPr>
          <w:b w:val="0"/>
          <w:bCs/>
        </w:rPr>
        <w:t>DP</w:t>
      </w:r>
      <w:r w:rsidR="00662555">
        <w:rPr>
          <w:b w:val="0"/>
          <w:bCs/>
        </w:rPr>
        <w:t xml:space="preserve"> growth distribution conditional on systemic risks in 2023Q1 and 2024Q1. </w:t>
      </w:r>
      <w:r w:rsidR="00662555" w:rsidRPr="00E91E11">
        <w:rPr>
          <w:b w:val="0"/>
          <w:bCs/>
        </w:rPr>
        <w:t>Optimal policy interaction</w:t>
      </w:r>
      <w:r w:rsidR="00662555">
        <w:rPr>
          <w:b w:val="0"/>
          <w:bCs/>
        </w:rPr>
        <w:t xml:space="preserve"> effects are marked in green.</w:t>
      </w:r>
    </w:p>
    <w:p w14:paraId="2B79AD0B" w14:textId="77777777" w:rsidR="00E91E11" w:rsidRDefault="00E91E11" w:rsidP="00A207FF">
      <w:pPr>
        <w:spacing w:after="0" w:line="240" w:lineRule="auto"/>
      </w:pPr>
      <w:r>
        <w:rPr>
          <w:noProof/>
        </w:rPr>
        <w:drawing>
          <wp:inline distT="0" distB="0" distL="0" distR="0" wp14:anchorId="39817F7E" wp14:editId="28A18DB3">
            <wp:extent cx="5943600" cy="1951355"/>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4"/>
                    <a:stretch>
                      <a:fillRect/>
                    </a:stretch>
                  </pic:blipFill>
                  <pic:spPr>
                    <a:xfrm>
                      <a:off x="0" y="0"/>
                      <a:ext cx="5943600" cy="1951355"/>
                    </a:xfrm>
                    <a:prstGeom prst="rect">
                      <a:avLst/>
                    </a:prstGeom>
                  </pic:spPr>
                </pic:pic>
              </a:graphicData>
            </a:graphic>
          </wp:inline>
        </w:drawing>
      </w:r>
    </w:p>
    <w:p w14:paraId="43CCA8FF" w14:textId="55A2742B" w:rsidR="00BD0456" w:rsidRDefault="00E91E11" w:rsidP="00E91E11">
      <w:pPr>
        <w:pStyle w:val="Caption"/>
        <w:jc w:val="both"/>
      </w:pPr>
      <w:bookmarkStart w:id="23" w:name="_Ref177136349"/>
      <w:r>
        <w:t xml:space="preserve">Figure </w:t>
      </w:r>
      <w:fldSimple w:instr=" SEQ Figure \* ARABIC ">
        <w:r w:rsidR="00E941CA">
          <w:rPr>
            <w:noProof/>
          </w:rPr>
          <w:t>24</w:t>
        </w:r>
      </w:fldSimple>
      <w:bookmarkEnd w:id="23"/>
      <w:r>
        <w:t xml:space="preserve">. </w:t>
      </w:r>
      <w:r w:rsidRPr="00E91E11">
        <w:rPr>
          <w:b w:val="0"/>
          <w:bCs/>
        </w:rPr>
        <w:t>Changes</w:t>
      </w:r>
      <w:r w:rsidRPr="00E91E11">
        <w:rPr>
          <w:b w:val="0"/>
          <w:bCs/>
          <w:noProof/>
        </w:rPr>
        <w:t xml:space="preserve"> in systemic </w:t>
      </w:r>
      <w:r w:rsidR="00110310">
        <w:rPr>
          <w:b w:val="0"/>
          <w:bCs/>
          <w:noProof/>
        </w:rPr>
        <w:t>risks between 2023Q1 and 2024Q1</w:t>
      </w:r>
      <w:r w:rsidRPr="00E91E11">
        <w:rPr>
          <w:b w:val="0"/>
          <w:bCs/>
          <w:noProof/>
        </w:rPr>
        <w:t xml:space="preserve"> and </w:t>
      </w:r>
      <w:r w:rsidR="00110310">
        <w:rPr>
          <w:b w:val="0"/>
          <w:bCs/>
          <w:noProof/>
        </w:rPr>
        <w:t xml:space="preserve">their </w:t>
      </w:r>
      <w:r w:rsidRPr="00E91E11">
        <w:rPr>
          <w:b w:val="0"/>
          <w:bCs/>
          <w:noProof/>
        </w:rPr>
        <w:t xml:space="preserve">impact on </w:t>
      </w:r>
      <w:r w:rsidR="00110310">
        <w:rPr>
          <w:b w:val="0"/>
          <w:bCs/>
          <w:noProof/>
        </w:rPr>
        <w:t>the GDP</w:t>
      </w:r>
      <w:r w:rsidRPr="00E91E11">
        <w:rPr>
          <w:b w:val="0"/>
          <w:bCs/>
          <w:noProof/>
        </w:rPr>
        <w:t xml:space="preserve"> growth</w:t>
      </w:r>
      <w:r w:rsidR="00110310">
        <w:rPr>
          <w:b w:val="0"/>
          <w:bCs/>
          <w:noProof/>
        </w:rPr>
        <w:t>.</w:t>
      </w:r>
    </w:p>
    <w:p w14:paraId="5A8A4370" w14:textId="7689EFA2" w:rsidR="00BD0456" w:rsidRDefault="00122EA7" w:rsidP="00310291">
      <w:r>
        <w:t>When comparing the results from both approaches</w:t>
      </w:r>
      <w:r w:rsidR="00762B57">
        <w:t>,</w:t>
      </w:r>
      <w:r>
        <w:t xml:space="preserve"> it is </w:t>
      </w:r>
      <w:r w:rsidRPr="00122EA7">
        <w:t>apparent</w:t>
      </w:r>
      <w:r>
        <w:t xml:space="preserve"> that they provide different conclusions.</w:t>
      </w:r>
      <w:r w:rsidR="00310291">
        <w:t xml:space="preserve"> </w:t>
      </w:r>
      <w:r w:rsidR="00310291" w:rsidRPr="00310291">
        <w:t>We do not view one approach as inherently superior to the other, but instead stress the importance of policymakers considering both perspectives. Each approach highlights distinct dimensions of systemic risks and policy impacts, which together provide a more comprehensive understanding of the financial system</w:t>
      </w:r>
      <w:r w:rsidR="00124151">
        <w:t xml:space="preserve"> and the </w:t>
      </w:r>
      <w:r w:rsidR="00124151" w:rsidRPr="00124151">
        <w:t>macroprudential stance</w:t>
      </w:r>
      <w:r w:rsidR="00310291" w:rsidRPr="00310291">
        <w:t>.</w:t>
      </w:r>
    </w:p>
    <w:p w14:paraId="5B5D04D5" w14:textId="671553B8" w:rsidR="00404682" w:rsidRDefault="00404682" w:rsidP="00C77313">
      <w:pPr>
        <w:pStyle w:val="SectionHeading"/>
        <w:spacing w:before="240"/>
      </w:pPr>
      <w:r w:rsidRPr="008506FC">
        <w:t>Conclusion</w:t>
      </w:r>
    </w:p>
    <w:p w14:paraId="6EB0FD6C" w14:textId="61FCE8F6" w:rsidR="000D0E76" w:rsidRDefault="00B25A49" w:rsidP="00B25A49">
      <w:r>
        <w:t xml:space="preserve">In this paper, we develop a quantile regression framework for estimating the output growth distribution for the Armenian </w:t>
      </w:r>
      <w:r w:rsidRPr="001E6D61">
        <w:t>economy</w:t>
      </w:r>
      <w:r w:rsidR="003823AB">
        <w:t xml:space="preserve"> and </w:t>
      </w:r>
      <w:r w:rsidR="003823AB" w:rsidRPr="003823AB">
        <w:t>deriving</w:t>
      </w:r>
      <w:r w:rsidR="003823AB">
        <w:t xml:space="preserve"> a </w:t>
      </w:r>
      <w:r w:rsidR="003823AB" w:rsidRPr="00124151">
        <w:t>macroprudential</w:t>
      </w:r>
      <w:r w:rsidR="003823AB">
        <w:t xml:space="preserve"> policy stance</w:t>
      </w:r>
      <w:r>
        <w:t xml:space="preserve">. Using </w:t>
      </w:r>
      <w:r w:rsidR="003823AB">
        <w:t>the</w:t>
      </w:r>
      <w:r>
        <w:t xml:space="preserve"> model, we </w:t>
      </w:r>
      <w:r w:rsidR="003823AB">
        <w:t>examine the</w:t>
      </w:r>
      <w:r>
        <w:t xml:space="preserve"> effects </w:t>
      </w:r>
      <w:r w:rsidR="003823AB">
        <w:t>of</w:t>
      </w:r>
      <w:r>
        <w:t xml:space="preserve"> </w:t>
      </w:r>
      <w:r>
        <w:lastRenderedPageBreak/>
        <w:t>macroprudential policy, financial cycle</w:t>
      </w:r>
      <w:r w:rsidR="003823AB">
        <w:t>s</w:t>
      </w:r>
      <w:r>
        <w:t>, financial conditions</w:t>
      </w:r>
      <w:r w:rsidR="003823AB">
        <w:t xml:space="preserve">, </w:t>
      </w:r>
      <w:r w:rsidR="003823AB" w:rsidRPr="003823AB">
        <w:t>liquidity risk</w:t>
      </w:r>
      <w:r w:rsidR="003823AB">
        <w:t>s, capital</w:t>
      </w:r>
      <w:r>
        <w:t xml:space="preserve"> </w:t>
      </w:r>
      <w:r w:rsidR="003823AB">
        <w:t>risks</w:t>
      </w:r>
      <w:r w:rsidR="009A55D2">
        <w:t>,</w:t>
      </w:r>
      <w:r w:rsidR="003823AB">
        <w:t xml:space="preserve"> </w:t>
      </w:r>
      <w:r>
        <w:t>and</w:t>
      </w:r>
      <w:r w:rsidR="003823AB">
        <w:t xml:space="preserve"> macroeconomic factors</w:t>
      </w:r>
      <w:r>
        <w:t>.</w:t>
      </w:r>
      <w:r w:rsidR="003823AB">
        <w:t xml:space="preserve"> W</w:t>
      </w:r>
      <w:r>
        <w:t>e use this framework to perform forecasts for the output growth distribution</w:t>
      </w:r>
      <w:r w:rsidR="003823AB">
        <w:t xml:space="preserve"> and </w:t>
      </w:r>
      <w:r w:rsidRPr="000A6C04">
        <w:t>quantify</w:t>
      </w:r>
      <w:r>
        <w:t xml:space="preserve"> the buildup of systemic risk</w:t>
      </w:r>
      <w:r w:rsidR="003823AB">
        <w:t>.</w:t>
      </w:r>
      <w:r>
        <w:t xml:space="preserve"> </w:t>
      </w:r>
      <w:r w:rsidR="003823AB">
        <w:t xml:space="preserve">Using two </w:t>
      </w:r>
      <w:r w:rsidR="003823AB" w:rsidRPr="003823AB">
        <w:t>distinct</w:t>
      </w:r>
      <w:r>
        <w:t xml:space="preserve"> </w:t>
      </w:r>
      <w:r w:rsidR="003823AB">
        <w:t xml:space="preserve">approaches we </w:t>
      </w:r>
      <w:r>
        <w:t xml:space="preserve">arrive at an optimal macroprudential policy rule. This framework aims to improve the decision-making process of the policymaker by defining clear </w:t>
      </w:r>
      <w:r w:rsidRPr="000A6C04">
        <w:t>guideline</w:t>
      </w:r>
      <w:r>
        <w:t xml:space="preserve">s for </w:t>
      </w:r>
      <w:r w:rsidRPr="000A6C04">
        <w:t>preemptive action</w:t>
      </w:r>
      <w:r>
        <w:t>.</w:t>
      </w:r>
      <w:r w:rsidR="000D0E76">
        <w:br w:type="page"/>
      </w:r>
    </w:p>
    <w:sdt>
      <w:sdtPr>
        <w:id w:val="-902362327"/>
        <w:docPartObj>
          <w:docPartGallery w:val="Bibliographies"/>
          <w:docPartUnique/>
        </w:docPartObj>
      </w:sdtPr>
      <w:sdtContent>
        <w:p w14:paraId="25976E07" w14:textId="77777777" w:rsidR="000D0E76" w:rsidRDefault="000D0E76" w:rsidP="000D0E76">
          <w:pPr>
            <w:spacing w:after="0"/>
            <w:jc w:val="left"/>
          </w:pPr>
          <w:r w:rsidRPr="000D0E76">
            <w:rPr>
              <w:b/>
              <w:bCs/>
            </w:rPr>
            <w:t>References</w:t>
          </w:r>
        </w:p>
        <w:p w14:paraId="2D08AA6D" w14:textId="77777777" w:rsidR="00C8403C" w:rsidRDefault="00C8403C" w:rsidP="00C8403C">
          <w:pPr>
            <w:pStyle w:val="Bibliography"/>
            <w:ind w:left="720" w:hanging="720"/>
            <w:rPr>
              <w:noProof/>
            </w:rPr>
          </w:pPr>
          <w:r>
            <w:rPr>
              <w:noProof/>
            </w:rPr>
            <w:t xml:space="preserve">Adrian, A., Prasad, A., Elekdag, S., Jeasakul, P., Lafarguette, R., Xiaochen Feng, A., &amp; Wang, C. (2019). Growth at Risk: Concept and Application in IMF Country Surveillance. </w:t>
          </w:r>
          <w:r>
            <w:rPr>
              <w:i/>
              <w:iCs/>
              <w:noProof/>
            </w:rPr>
            <w:t>IMF Working Papers, 19</w:t>
          </w:r>
          <w:r>
            <w:rPr>
              <w:noProof/>
            </w:rPr>
            <w:t>(36), 10.5089/9781484397015.001.</w:t>
          </w:r>
        </w:p>
        <w:p w14:paraId="407ED377" w14:textId="77777777" w:rsidR="00C8403C" w:rsidRDefault="00C8403C" w:rsidP="00C8403C">
          <w:pPr>
            <w:pStyle w:val="Bibliography"/>
            <w:ind w:left="720" w:hanging="720"/>
            <w:rPr>
              <w:noProof/>
            </w:rPr>
          </w:pPr>
          <w:r>
            <w:rPr>
              <w:noProof/>
            </w:rPr>
            <w:t xml:space="preserve">Adrian, T., Boyarchenko, N., &amp; Giannone, D. (2019). Vulnerable Growth. </w:t>
          </w:r>
          <w:r>
            <w:rPr>
              <w:i/>
              <w:iCs/>
              <w:noProof/>
            </w:rPr>
            <w:t>American Economic Review, 109</w:t>
          </w:r>
          <w:r>
            <w:rPr>
              <w:noProof/>
            </w:rPr>
            <w:t>, 1263–89, 10.1257/aer.20161923.</w:t>
          </w:r>
        </w:p>
        <w:p w14:paraId="5C835B17" w14:textId="77777777" w:rsidR="00C8403C" w:rsidRDefault="00C8403C" w:rsidP="00C8403C">
          <w:pPr>
            <w:pStyle w:val="Bibliography"/>
            <w:ind w:left="720" w:hanging="720"/>
            <w:rPr>
              <w:noProof/>
            </w:rPr>
          </w:pPr>
          <w:r>
            <w:rPr>
              <w:noProof/>
            </w:rPr>
            <w:t>Aikman, D., Bridges, J., Hoke, S. H., O’Neill, C., &amp; Raja, A. (2019, September). Credit, capital and crises: a GDP-at-Risk approach.</w:t>
          </w:r>
        </w:p>
        <w:p w14:paraId="364A598C" w14:textId="77777777" w:rsidR="00C8403C" w:rsidRDefault="00C8403C" w:rsidP="00C8403C">
          <w:pPr>
            <w:pStyle w:val="Bibliography"/>
            <w:ind w:left="720" w:hanging="720"/>
            <w:rPr>
              <w:noProof/>
            </w:rPr>
          </w:pPr>
          <w:r>
            <w:rPr>
              <w:noProof/>
            </w:rPr>
            <w:t xml:space="preserve">Alam, Z., Alter, A., Eiseman, J., Gelos, R., Kang, H., Narita, M., . . . Wang, N. (2019). Digging Deeper--Evidence on the Effects of Macroprudential Policies from a New Database. </w:t>
          </w:r>
          <w:r>
            <w:rPr>
              <w:i/>
              <w:iCs/>
              <w:noProof/>
            </w:rPr>
            <w:t>IMF Working Papers, 19</w:t>
          </w:r>
          <w:r>
            <w:rPr>
              <w:noProof/>
            </w:rPr>
            <w:t>(66), 10.5089/9781498302708.001.</w:t>
          </w:r>
        </w:p>
        <w:p w14:paraId="5D5A21AE" w14:textId="77777777" w:rsidR="00C8403C" w:rsidRDefault="00C8403C" w:rsidP="00C8403C">
          <w:pPr>
            <w:pStyle w:val="Bibliography"/>
            <w:ind w:left="720" w:hanging="720"/>
            <w:rPr>
              <w:noProof/>
            </w:rPr>
          </w:pPr>
          <w:r>
            <w:rPr>
              <w:noProof/>
            </w:rPr>
            <w:t xml:space="preserve">BIS. (2010). </w:t>
          </w:r>
          <w:r>
            <w:rPr>
              <w:i/>
              <w:iCs/>
              <w:noProof/>
            </w:rPr>
            <w:t>Guidance for national authorities operating the countercyclical capital buffer.</w:t>
          </w:r>
          <w:r>
            <w:rPr>
              <w:noProof/>
            </w:rPr>
            <w:t xml:space="preserve"> Basel: Basel Committee on Banking Supervision.</w:t>
          </w:r>
        </w:p>
        <w:p w14:paraId="65CAF789" w14:textId="77777777" w:rsidR="00C8403C" w:rsidRDefault="00C8403C" w:rsidP="00C8403C">
          <w:pPr>
            <w:pStyle w:val="Bibliography"/>
            <w:ind w:left="720" w:hanging="720"/>
            <w:rPr>
              <w:noProof/>
            </w:rPr>
          </w:pPr>
          <w:r>
            <w:rPr>
              <w:noProof/>
            </w:rPr>
            <w:t xml:space="preserve">Boar, C., Gambacorta, L., Lombardo, G., &amp; Silva, L. A. (2017). What are the Effects of Macroprudential Policies on Macroeconomic Performance? </w:t>
          </w:r>
          <w:r>
            <w:rPr>
              <w:i/>
              <w:iCs/>
              <w:noProof/>
            </w:rPr>
            <w:t>BIS Quarterly Review</w:t>
          </w:r>
          <w:r>
            <w:rPr>
              <w:noProof/>
            </w:rPr>
            <w:t>.</w:t>
          </w:r>
        </w:p>
        <w:p w14:paraId="36872F1E" w14:textId="77777777" w:rsidR="00C8403C" w:rsidRDefault="00C8403C" w:rsidP="00C8403C">
          <w:pPr>
            <w:pStyle w:val="Bibliography"/>
            <w:ind w:left="720" w:hanging="720"/>
            <w:rPr>
              <w:noProof/>
            </w:rPr>
          </w:pPr>
          <w:r>
            <w:rPr>
              <w:noProof/>
            </w:rPr>
            <w:t xml:space="preserve">Cardarelli, R., Elekdag, S., &amp; Lall, S. (2011). Financial stress and economic contractions. </w:t>
          </w:r>
          <w:r>
            <w:rPr>
              <w:i/>
              <w:iCs/>
              <w:noProof/>
            </w:rPr>
            <w:t>Journal of Financial Stability, 7</w:t>
          </w:r>
          <w:r>
            <w:rPr>
              <w:noProof/>
            </w:rPr>
            <w:t>, 78-97, 10.1016/j.jfs.2010.01.005.</w:t>
          </w:r>
        </w:p>
        <w:p w14:paraId="7B275E66" w14:textId="77777777" w:rsidR="00C8403C" w:rsidRDefault="00C8403C" w:rsidP="00C8403C">
          <w:pPr>
            <w:pStyle w:val="Bibliography"/>
            <w:ind w:left="720" w:hanging="720"/>
            <w:rPr>
              <w:noProof/>
            </w:rPr>
          </w:pPr>
          <w:r>
            <w:rPr>
              <w:noProof/>
            </w:rPr>
            <w:t xml:space="preserve">Cecchetti, S. G., &amp; Suarez, J. (2021, December). On the Stance of Macroprudential Policy. </w:t>
          </w:r>
          <w:r>
            <w:rPr>
              <w:i/>
              <w:iCs/>
              <w:noProof/>
            </w:rPr>
            <w:t>SSRN Electronic Journal</w:t>
          </w:r>
          <w:r>
            <w:rPr>
              <w:noProof/>
            </w:rPr>
            <w:t>(11), 10.2139/ssrn.3975941.</w:t>
          </w:r>
        </w:p>
        <w:p w14:paraId="305D5A5A" w14:textId="77777777" w:rsidR="00C8403C" w:rsidRDefault="00C8403C" w:rsidP="00C8403C">
          <w:pPr>
            <w:pStyle w:val="Bibliography"/>
            <w:ind w:left="720" w:hanging="720"/>
            <w:rPr>
              <w:noProof/>
            </w:rPr>
          </w:pPr>
          <w:r>
            <w:rPr>
              <w:noProof/>
            </w:rPr>
            <w:t xml:space="preserve">Chavleishvili, S., Engle, R. F., Fahr, S. A., Kremer, M., Manganelli, S., &amp; Schwaab, B. (2021). The Risk Management Approach to Macro-Prudential Policy. </w:t>
          </w:r>
          <w:r>
            <w:rPr>
              <w:i/>
              <w:iCs/>
              <w:noProof/>
            </w:rPr>
            <w:t>SSRN Electronic Journal</w:t>
          </w:r>
          <w:r>
            <w:rPr>
              <w:noProof/>
            </w:rPr>
            <w:t>, 10.2139/ssrn.3859109.</w:t>
          </w:r>
        </w:p>
        <w:p w14:paraId="08600CBC" w14:textId="77777777" w:rsidR="00C8403C" w:rsidRDefault="00C8403C" w:rsidP="00C8403C">
          <w:pPr>
            <w:pStyle w:val="Bibliography"/>
            <w:ind w:left="720" w:hanging="720"/>
            <w:rPr>
              <w:noProof/>
            </w:rPr>
          </w:pPr>
          <w:r>
            <w:rPr>
              <w:noProof/>
            </w:rPr>
            <w:t xml:space="preserve">CNB. (2023). </w:t>
          </w:r>
          <w:r>
            <w:rPr>
              <w:i/>
              <w:iCs/>
              <w:noProof/>
            </w:rPr>
            <w:t>The CNB’s approach to setting the countercyclical capital buffer.</w:t>
          </w:r>
          <w:r>
            <w:rPr>
              <w:noProof/>
            </w:rPr>
            <w:t xml:space="preserve"> Prague: Czech National Bank.</w:t>
          </w:r>
        </w:p>
        <w:p w14:paraId="67D53A32" w14:textId="77777777" w:rsidR="00C8403C" w:rsidRDefault="00C8403C" w:rsidP="00C8403C">
          <w:pPr>
            <w:pStyle w:val="Bibliography"/>
            <w:ind w:left="720" w:hanging="720"/>
            <w:rPr>
              <w:noProof/>
            </w:rPr>
          </w:pPr>
          <w:r>
            <w:rPr>
              <w:noProof/>
            </w:rPr>
            <w:t xml:space="preserve">ESRB. (2018). </w:t>
          </w:r>
          <w:r>
            <w:rPr>
              <w:i/>
              <w:iCs/>
              <w:noProof/>
            </w:rPr>
            <w:t>A Review of Macroprudential Policy in the EU in 2017.</w:t>
          </w:r>
          <w:r>
            <w:rPr>
              <w:noProof/>
            </w:rPr>
            <w:t xml:space="preserve"> Frankfurt: European Systemic Risk Board.</w:t>
          </w:r>
        </w:p>
        <w:p w14:paraId="7A268F50" w14:textId="77777777" w:rsidR="00C8403C" w:rsidRDefault="00C8403C" w:rsidP="00C8403C">
          <w:pPr>
            <w:pStyle w:val="Bibliography"/>
            <w:ind w:left="720" w:hanging="720"/>
            <w:rPr>
              <w:noProof/>
            </w:rPr>
          </w:pPr>
          <w:r>
            <w:rPr>
              <w:noProof/>
            </w:rPr>
            <w:t xml:space="preserve">ESRB. (2019). </w:t>
          </w:r>
          <w:r>
            <w:rPr>
              <w:i/>
              <w:iCs/>
              <w:noProof/>
            </w:rPr>
            <w:t>Features of a macroprudential stance: initial considerations.</w:t>
          </w:r>
          <w:r>
            <w:rPr>
              <w:noProof/>
            </w:rPr>
            <w:t xml:space="preserve"> Frankfurt: European Systemic Risk Board.</w:t>
          </w:r>
        </w:p>
        <w:p w14:paraId="3454F9A2" w14:textId="77777777" w:rsidR="00C8403C" w:rsidRDefault="00C8403C" w:rsidP="00C8403C">
          <w:pPr>
            <w:pStyle w:val="Bibliography"/>
            <w:ind w:left="720" w:hanging="720"/>
            <w:rPr>
              <w:noProof/>
            </w:rPr>
          </w:pPr>
          <w:r>
            <w:rPr>
              <w:noProof/>
            </w:rPr>
            <w:lastRenderedPageBreak/>
            <w:t xml:space="preserve">ESRB. (2021). </w:t>
          </w:r>
          <w:r>
            <w:rPr>
              <w:i/>
              <w:iCs/>
              <w:noProof/>
            </w:rPr>
            <w:t>Report of the Expert Group on Macroprudential Stance – Phase II (implementation).</w:t>
          </w:r>
          <w:r>
            <w:rPr>
              <w:noProof/>
            </w:rPr>
            <w:t xml:space="preserve"> Frankfurt: European Systemic Risk Board.</w:t>
          </w:r>
        </w:p>
        <w:p w14:paraId="3AF98236" w14:textId="77777777" w:rsidR="00C8403C" w:rsidRDefault="00C8403C" w:rsidP="00C8403C">
          <w:pPr>
            <w:pStyle w:val="Bibliography"/>
            <w:ind w:left="720" w:hanging="720"/>
            <w:rPr>
              <w:noProof/>
            </w:rPr>
          </w:pPr>
          <w:r>
            <w:rPr>
              <w:noProof/>
            </w:rPr>
            <w:t xml:space="preserve">ESRB. (2024). </w:t>
          </w:r>
          <w:r>
            <w:rPr>
              <w:i/>
              <w:iCs/>
              <w:noProof/>
            </w:rPr>
            <w:t>Improvements to the ESRB macroprudential stance framework.</w:t>
          </w:r>
          <w:r>
            <w:rPr>
              <w:noProof/>
            </w:rPr>
            <w:t xml:space="preserve"> Frankfurt: European Systemic Risk Board.</w:t>
          </w:r>
        </w:p>
        <w:p w14:paraId="11051A9A" w14:textId="77777777" w:rsidR="00C8403C" w:rsidRDefault="00C8403C" w:rsidP="00C8403C">
          <w:pPr>
            <w:pStyle w:val="Bibliography"/>
            <w:ind w:left="720" w:hanging="720"/>
            <w:rPr>
              <w:noProof/>
            </w:rPr>
          </w:pPr>
          <w:r>
            <w:rPr>
              <w:noProof/>
            </w:rPr>
            <w:t xml:space="preserve">Galán, J. (2020, November). The benefits are at the tail: Uncovering the impact of macroprudential policy on growth-at-risk. </w:t>
          </w:r>
          <w:r>
            <w:rPr>
              <w:i/>
              <w:iCs/>
              <w:noProof/>
            </w:rPr>
            <w:t>Journal of Financial Stability</w:t>
          </w:r>
          <w:r>
            <w:rPr>
              <w:noProof/>
            </w:rPr>
            <w:t>(100831), 10.1016/j.jfs.2020.100831.</w:t>
          </w:r>
        </w:p>
        <w:p w14:paraId="0BDA3647" w14:textId="77777777" w:rsidR="00C8403C" w:rsidRDefault="00C8403C" w:rsidP="00C8403C">
          <w:pPr>
            <w:pStyle w:val="Bibliography"/>
            <w:ind w:left="720" w:hanging="720"/>
            <w:rPr>
              <w:noProof/>
            </w:rPr>
          </w:pPr>
          <w:r>
            <w:rPr>
              <w:noProof/>
            </w:rPr>
            <w:t xml:space="preserve">Galati, G., &amp; Moessner, R. (2013). MACROPRUDENTIAL POLICY – A LITERATURE REVIEW. </w:t>
          </w:r>
          <w:r>
            <w:rPr>
              <w:i/>
              <w:iCs/>
              <w:noProof/>
            </w:rPr>
            <w:t>Journal of Economic Surveys, 27</w:t>
          </w:r>
          <w:r>
            <w:rPr>
              <w:noProof/>
            </w:rPr>
            <w:t>, 846-878, 10.1111/j.1467-6419.2012.00729.x.</w:t>
          </w:r>
        </w:p>
        <w:p w14:paraId="4D60FB56" w14:textId="77777777" w:rsidR="00C8403C" w:rsidRDefault="00C8403C" w:rsidP="00C8403C">
          <w:pPr>
            <w:pStyle w:val="Bibliography"/>
            <w:ind w:left="720" w:hanging="720"/>
            <w:rPr>
              <w:noProof/>
            </w:rPr>
          </w:pPr>
          <w:r>
            <w:rPr>
              <w:noProof/>
            </w:rPr>
            <w:t xml:space="preserve">Galvez, J., &amp; Mencia, J. (2014). Distributional Linkages between European Sovereign Bond and Bank Asset Returns. </w:t>
          </w:r>
          <w:r>
            <w:rPr>
              <w:i/>
              <w:iCs/>
              <w:noProof/>
            </w:rPr>
            <w:t>SSRN Electronic Journal</w:t>
          </w:r>
          <w:r>
            <w:rPr>
              <w:noProof/>
            </w:rPr>
            <w:t>, 10.2139/ssrn.2523863.</w:t>
          </w:r>
        </w:p>
        <w:p w14:paraId="1C96FF44" w14:textId="77777777" w:rsidR="00C8403C" w:rsidRDefault="00C8403C" w:rsidP="00C8403C">
          <w:pPr>
            <w:pStyle w:val="Bibliography"/>
            <w:ind w:left="720" w:hanging="720"/>
            <w:rPr>
              <w:noProof/>
            </w:rPr>
          </w:pPr>
          <w:r>
            <w:rPr>
              <w:noProof/>
            </w:rPr>
            <w:t xml:space="preserve">Giot, P., &amp; Laurent, S. (2003). Value-at-risk for long and short trading positions. </w:t>
          </w:r>
          <w:r>
            <w:rPr>
              <w:i/>
              <w:iCs/>
              <w:noProof/>
            </w:rPr>
            <w:t>Journal of Applied Econometrics, 18</w:t>
          </w:r>
          <w:r>
            <w:rPr>
              <w:noProof/>
            </w:rPr>
            <w:t>, 641-663, 10.1002/jae.710.</w:t>
          </w:r>
        </w:p>
        <w:p w14:paraId="67CB9231" w14:textId="77777777" w:rsidR="00C8403C" w:rsidRDefault="00C8403C" w:rsidP="00C8403C">
          <w:pPr>
            <w:pStyle w:val="Bibliography"/>
            <w:ind w:left="720" w:hanging="720"/>
            <w:rPr>
              <w:noProof/>
            </w:rPr>
          </w:pPr>
          <w:r>
            <w:rPr>
              <w:noProof/>
            </w:rPr>
            <w:t xml:space="preserve">Holló, D., Kremer, M., &amp; Lo Duca, M. (2012). A Composite Indicator of Systemic Stress in the Financial System. </w:t>
          </w:r>
          <w:r>
            <w:rPr>
              <w:i/>
              <w:iCs/>
              <w:noProof/>
            </w:rPr>
            <w:t>ECB Working Paper 1426</w:t>
          </w:r>
          <w:r>
            <w:rPr>
              <w:noProof/>
            </w:rPr>
            <w:t>.</w:t>
          </w:r>
        </w:p>
        <w:p w14:paraId="07B44E60" w14:textId="77777777" w:rsidR="00C8403C" w:rsidRDefault="00C8403C" w:rsidP="00C8403C">
          <w:pPr>
            <w:pStyle w:val="Bibliography"/>
            <w:ind w:left="720" w:hanging="720"/>
            <w:rPr>
              <w:noProof/>
            </w:rPr>
          </w:pPr>
          <w:r>
            <w:rPr>
              <w:noProof/>
            </w:rPr>
            <w:t>IMF. (2024). Financial Soundness Indicators.</w:t>
          </w:r>
        </w:p>
        <w:p w14:paraId="2B2F73EC" w14:textId="77777777" w:rsidR="00C8403C" w:rsidRDefault="00C8403C" w:rsidP="00C8403C">
          <w:pPr>
            <w:pStyle w:val="Bibliography"/>
            <w:ind w:left="720" w:hanging="720"/>
            <w:rPr>
              <w:noProof/>
            </w:rPr>
          </w:pPr>
          <w:r>
            <w:rPr>
              <w:noProof/>
            </w:rPr>
            <w:t>IMF. (2024). International Financial Statistics.</w:t>
          </w:r>
        </w:p>
        <w:p w14:paraId="567EDD4E" w14:textId="77777777" w:rsidR="00C8403C" w:rsidRDefault="00C8403C" w:rsidP="00C8403C">
          <w:pPr>
            <w:pStyle w:val="Bibliography"/>
            <w:ind w:left="720" w:hanging="720"/>
            <w:rPr>
              <w:noProof/>
            </w:rPr>
          </w:pPr>
          <w:r>
            <w:rPr>
              <w:noProof/>
            </w:rPr>
            <w:t xml:space="preserve">Jiménez, G., Ongena, S., Peydró, J.-L., &amp; Saurina, J. (2017). Macroprudential Policy, Countercyclical Bank Capital Buffers, and Credit Supply: Evidence from the Spanish Dynamic Provisioning Experiments. </w:t>
          </w:r>
          <w:r>
            <w:rPr>
              <w:i/>
              <w:iCs/>
              <w:noProof/>
            </w:rPr>
            <w:t>Journal of Political Economy, 125</w:t>
          </w:r>
          <w:r>
            <w:rPr>
              <w:noProof/>
            </w:rPr>
            <w:t>(6), 2126-2177, 10.1086/694289.</w:t>
          </w:r>
        </w:p>
        <w:p w14:paraId="5BFCD87E" w14:textId="77777777" w:rsidR="00C8403C" w:rsidRDefault="00C8403C" w:rsidP="00C8403C">
          <w:pPr>
            <w:pStyle w:val="Bibliography"/>
            <w:ind w:left="720" w:hanging="720"/>
            <w:rPr>
              <w:noProof/>
            </w:rPr>
          </w:pPr>
          <w:r>
            <w:rPr>
              <w:noProof/>
            </w:rPr>
            <w:t xml:space="preserve">Jordà, Ò., Schularick, M., &amp; Taylor, A. M. (2015). Leveraged bubbles. </w:t>
          </w:r>
          <w:r>
            <w:rPr>
              <w:i/>
              <w:iCs/>
              <w:noProof/>
            </w:rPr>
            <w:t>Journal of Monetary Economics, 76</w:t>
          </w:r>
          <w:r>
            <w:rPr>
              <w:noProof/>
            </w:rPr>
            <w:t>, S1-S20, 10.1016/j.jmoneco.2015.08.005.</w:t>
          </w:r>
        </w:p>
        <w:p w14:paraId="0E0A4DD7" w14:textId="77777777" w:rsidR="00C8403C" w:rsidRDefault="00C8403C" w:rsidP="00C8403C">
          <w:pPr>
            <w:pStyle w:val="Bibliography"/>
            <w:ind w:left="720" w:hanging="720"/>
            <w:rPr>
              <w:noProof/>
            </w:rPr>
          </w:pPr>
          <w:r>
            <w:rPr>
              <w:noProof/>
            </w:rPr>
            <w:t xml:space="preserve">Kipriyanov, A. (2022). Comparison of Models for Growth-at-Risk Forecasting. </w:t>
          </w:r>
          <w:r>
            <w:rPr>
              <w:i/>
              <w:iCs/>
              <w:noProof/>
            </w:rPr>
            <w:t>Russian journal of money and finance, 81</w:t>
          </w:r>
          <w:r>
            <w:rPr>
              <w:noProof/>
            </w:rPr>
            <w:t>(1), 23-45, 10.31477/rjmf.202201.23.</w:t>
          </w:r>
        </w:p>
        <w:p w14:paraId="3C58F272" w14:textId="77777777" w:rsidR="00C8403C" w:rsidRDefault="00C8403C" w:rsidP="00C8403C">
          <w:pPr>
            <w:pStyle w:val="Bibliography"/>
            <w:ind w:left="720" w:hanging="720"/>
            <w:rPr>
              <w:noProof/>
            </w:rPr>
          </w:pPr>
          <w:r>
            <w:rPr>
              <w:noProof/>
            </w:rPr>
            <w:t xml:space="preserve">Koenker, R., &amp; Bassett, G. (1978). Regression Quantiles. </w:t>
          </w:r>
          <w:r>
            <w:rPr>
              <w:i/>
              <w:iCs/>
              <w:noProof/>
            </w:rPr>
            <w:t>Econometrica, 46</w:t>
          </w:r>
          <w:r>
            <w:rPr>
              <w:noProof/>
            </w:rPr>
            <w:t>(1), 33, 10.2307/1913643.</w:t>
          </w:r>
        </w:p>
        <w:p w14:paraId="3B59C1E0" w14:textId="77777777" w:rsidR="00C8403C" w:rsidRDefault="00C8403C" w:rsidP="00C8403C">
          <w:pPr>
            <w:pStyle w:val="Bibliography"/>
            <w:ind w:left="720" w:hanging="720"/>
            <w:rPr>
              <w:noProof/>
            </w:rPr>
          </w:pPr>
          <w:r>
            <w:rPr>
              <w:noProof/>
            </w:rPr>
            <w:lastRenderedPageBreak/>
            <w:t xml:space="preserve">Koop, G., &amp; Korobilis, D. (2014). A new index of financial conditions. </w:t>
          </w:r>
          <w:r>
            <w:rPr>
              <w:i/>
              <w:iCs/>
              <w:noProof/>
            </w:rPr>
            <w:t>European Economic Review, 71</w:t>
          </w:r>
          <w:r>
            <w:rPr>
              <w:noProof/>
            </w:rPr>
            <w:t>(0014-2921), 101-116, 10.1016/j.euroecorev.2014.07.002.</w:t>
          </w:r>
        </w:p>
        <w:p w14:paraId="7D6F8CA2" w14:textId="77777777" w:rsidR="00C8403C" w:rsidRDefault="00C8403C" w:rsidP="00C8403C">
          <w:pPr>
            <w:pStyle w:val="Bibliography"/>
            <w:ind w:left="720" w:hanging="720"/>
            <w:rPr>
              <w:noProof/>
              <w:sz w:val="24"/>
              <w:szCs w:val="24"/>
            </w:rPr>
          </w:pPr>
          <w:r>
            <w:rPr>
              <w:noProof/>
            </w:rPr>
            <w:t xml:space="preserve">Mack, S. (2021). </w:t>
          </w:r>
          <w:r>
            <w:rPr>
              <w:i/>
              <w:iCs/>
              <w:noProof/>
            </w:rPr>
            <w:t>Never waste a good crisis European banking regulation in the pandemic Policy Brief.</w:t>
          </w:r>
          <w:r>
            <w:rPr>
              <w:noProof/>
            </w:rPr>
            <w:t xml:space="preserve"> Berlin: Hertie School.</w:t>
          </w:r>
        </w:p>
        <w:p w14:paraId="3B731006" w14:textId="77777777" w:rsidR="00C8403C" w:rsidRDefault="00C8403C" w:rsidP="00C8403C">
          <w:pPr>
            <w:pStyle w:val="Bibliography"/>
            <w:ind w:left="720" w:hanging="720"/>
            <w:rPr>
              <w:noProof/>
            </w:rPr>
          </w:pPr>
          <w:r>
            <w:rPr>
              <w:noProof/>
            </w:rPr>
            <w:t xml:space="preserve">Plašil, M., Seidler, J., Hlaváč, P., &amp; Konečný, T. (2014). An indicator of the financial cycle in the Czech economy. </w:t>
          </w:r>
          <w:r>
            <w:rPr>
              <w:i/>
              <w:iCs/>
              <w:noProof/>
            </w:rPr>
            <w:t>Czech Financial Stability Report 2013/2014</w:t>
          </w:r>
          <w:r>
            <w:rPr>
              <w:noProof/>
            </w:rPr>
            <w:t>.</w:t>
          </w:r>
        </w:p>
        <w:p w14:paraId="483A82AE" w14:textId="77777777" w:rsidR="00C8403C" w:rsidRDefault="00C8403C" w:rsidP="00C8403C">
          <w:pPr>
            <w:pStyle w:val="Bibliography"/>
            <w:ind w:left="720" w:hanging="720"/>
            <w:rPr>
              <w:noProof/>
            </w:rPr>
          </w:pPr>
          <w:r>
            <w:rPr>
              <w:noProof/>
            </w:rPr>
            <w:t xml:space="preserve">Schmitz, S., Posch, M., &amp; Strobl, P. (2022). </w:t>
          </w:r>
          <w:r>
            <w:rPr>
              <w:i/>
              <w:iCs/>
              <w:noProof/>
            </w:rPr>
            <w:t>The EU macroprudential review should prioritize removing regulatory overlaps and increasing the flexibility of the CCyB.</w:t>
          </w:r>
          <w:r>
            <w:rPr>
              <w:noProof/>
            </w:rPr>
            <w:t xml:space="preserve"> Oesterreichische Nationalbank. SUERF.</w:t>
          </w:r>
        </w:p>
        <w:p w14:paraId="07B43883" w14:textId="77777777" w:rsidR="00C8403C" w:rsidRDefault="00C8403C" w:rsidP="00C8403C">
          <w:pPr>
            <w:pStyle w:val="Bibliography"/>
            <w:ind w:left="720" w:hanging="720"/>
            <w:rPr>
              <w:noProof/>
            </w:rPr>
          </w:pPr>
          <w:r>
            <w:rPr>
              <w:noProof/>
            </w:rPr>
            <w:t xml:space="preserve">Stojkov, K. (2020, September 17). Different Approaches to Implementing a Countercyclical Capital Buffer | Bulletin – September Quarter 2020. </w:t>
          </w:r>
          <w:r>
            <w:rPr>
              <w:i/>
              <w:iCs/>
              <w:noProof/>
            </w:rPr>
            <w:t>Financial Stability Department</w:t>
          </w:r>
          <w:r>
            <w:rPr>
              <w:noProof/>
            </w:rPr>
            <w:t>.</w:t>
          </w:r>
        </w:p>
        <w:p w14:paraId="27E8B143" w14:textId="77777777" w:rsidR="00C8403C" w:rsidRDefault="00C8403C" w:rsidP="00C8403C">
          <w:pPr>
            <w:pStyle w:val="Bibliography"/>
            <w:ind w:left="720" w:hanging="720"/>
            <w:rPr>
              <w:noProof/>
            </w:rPr>
          </w:pPr>
          <w:r>
            <w:rPr>
              <w:noProof/>
            </w:rPr>
            <w:t xml:space="preserve">Suarez, J. (2022). Growth-at-risk and macroprudential policy design. </w:t>
          </w:r>
          <w:r>
            <w:rPr>
              <w:i/>
              <w:iCs/>
              <w:noProof/>
            </w:rPr>
            <w:t>Journal of Financial Stability, 60</w:t>
          </w:r>
          <w:r>
            <w:rPr>
              <w:noProof/>
            </w:rPr>
            <w:t>(1572-3089), 10.1016/j.jfs.2022.101008.</w:t>
          </w:r>
        </w:p>
        <w:p w14:paraId="24E52F9B" w14:textId="77777777" w:rsidR="00C8403C" w:rsidRDefault="00C8403C" w:rsidP="00C8403C">
          <w:pPr>
            <w:pStyle w:val="Bibliography"/>
            <w:ind w:left="720" w:hanging="720"/>
            <w:rPr>
              <w:noProof/>
            </w:rPr>
          </w:pPr>
          <w:r>
            <w:rPr>
              <w:noProof/>
            </w:rPr>
            <w:t xml:space="preserve">Szabo, M. (2020). Growth-at-Risk: Bayesian Approach. </w:t>
          </w:r>
          <w:r>
            <w:rPr>
              <w:i/>
              <w:iCs/>
              <w:noProof/>
            </w:rPr>
            <w:t>Working Paper Series of the Czech National Bank (CNB)</w:t>
          </w:r>
          <w:r>
            <w:rPr>
              <w:noProof/>
            </w:rPr>
            <w:t>.</w:t>
          </w:r>
        </w:p>
        <w:p w14:paraId="0760261A" w14:textId="77777777" w:rsidR="00C8403C" w:rsidRDefault="00C8403C" w:rsidP="00C8403C">
          <w:pPr>
            <w:pStyle w:val="Bibliography"/>
            <w:ind w:left="720" w:hanging="720"/>
            <w:rPr>
              <w:noProof/>
            </w:rPr>
          </w:pPr>
          <w:r>
            <w:rPr>
              <w:noProof/>
            </w:rPr>
            <w:t>World Bank. (2023). Global Economic Monitor (GEM) [Data set]. https://databank.worldbank.org/source/global-economic-monitor-(gem).</w:t>
          </w:r>
        </w:p>
        <w:p w14:paraId="51DA903B" w14:textId="1FD1BE2F" w:rsidR="001C298C" w:rsidRDefault="00000000" w:rsidP="00C8403C"/>
      </w:sdtContent>
    </w:sdt>
    <w:p w14:paraId="3355984B" w14:textId="77777777" w:rsidR="001C298C" w:rsidRDefault="001C298C">
      <w:pPr>
        <w:spacing w:after="0" w:line="240" w:lineRule="auto"/>
        <w:jc w:val="left"/>
        <w:sectPr w:rsidR="001C298C" w:rsidSect="00C5329E">
          <w:type w:val="continuous"/>
          <w:pgSz w:w="12240" w:h="15840" w:code="1"/>
          <w:pgMar w:top="1440" w:right="1440" w:bottom="1440" w:left="1440" w:header="720" w:footer="288" w:gutter="0"/>
          <w:cols w:space="432"/>
          <w:docGrid w:linePitch="272"/>
        </w:sectPr>
      </w:pPr>
    </w:p>
    <w:p w14:paraId="3749BB76" w14:textId="6CD6FD78" w:rsidR="00FB098A" w:rsidRDefault="00FB098A" w:rsidP="00FB098A">
      <w:pPr>
        <w:rPr>
          <w:b/>
        </w:rPr>
      </w:pPr>
      <w:r w:rsidRPr="00FB098A">
        <w:rPr>
          <w:b/>
        </w:rPr>
        <w:lastRenderedPageBreak/>
        <w:t>Appendix</w:t>
      </w:r>
      <w:r>
        <w:rPr>
          <w:b/>
        </w:rPr>
        <w:t xml:space="preserve"> A: </w:t>
      </w:r>
      <w:r w:rsidRPr="00FB098A">
        <w:rPr>
          <w:b/>
        </w:rPr>
        <w:t>Suarez welfare function</w:t>
      </w:r>
    </w:p>
    <w:p w14:paraId="0D688D05" w14:textId="23970937" w:rsidR="006E0887" w:rsidRPr="00FD34C9" w:rsidRDefault="006E0887" w:rsidP="0079094E">
      <w:r w:rsidRPr="00FD34C9">
        <w:t>The one of the main advantages of GaR is that it is measured in the same units as GDP growth. This makes the comparison between the two very straightforward. Yet compared to monetary policy, the macroprudential policy literature still lacks explicit design rules. Suarez (2021) fills this gap by suggesting a welfare function that “rewards expected GDP growth and penalizes the gap between expected GDP growth and GaR.” To derive this welfare function from micro foundations, the following steps are used.</w:t>
      </w:r>
    </w:p>
    <w:p w14:paraId="7EF6B402" w14:textId="77777777" w:rsidR="006E0887" w:rsidRPr="00FD34C9" w:rsidRDefault="006E0887" w:rsidP="006E0887">
      <w:pPr>
        <w:ind w:firstLine="284"/>
      </w:pPr>
      <w:r w:rsidRPr="00FD34C9">
        <w:t xml:space="preserve">First, let </w:t>
      </w:r>
      <m:oMath>
        <m:r>
          <w:rPr>
            <w:rFonts w:ascii="Cambria Math" w:hAnsi="Cambria Math"/>
          </w:rPr>
          <m:t>Y</m:t>
        </m:r>
      </m:oMath>
      <w:r w:rsidRPr="00FD34C9">
        <w:t xml:space="preserve"> denote GDP and </w:t>
      </w:r>
      <m:oMath>
        <m:r>
          <w:rPr>
            <w:rFonts w:ascii="Cambria Math" w:hAnsi="Cambria Math"/>
          </w:rPr>
          <m:t>y</m:t>
        </m:r>
      </m:oMath>
      <w:r w:rsidRPr="00FD34C9">
        <w:t xml:space="preserve"> the GDP growth rate:</w:t>
      </w:r>
    </w:p>
    <w:p w14:paraId="59649D99" w14:textId="0E1D6A47" w:rsidR="006E0887" w:rsidRPr="00FD34C9" w:rsidRDefault="00000000" w:rsidP="00FD34C9">
      <w:pPr>
        <w:pStyle w:val="Caption"/>
        <w:rPr>
          <w:sz w:val="20"/>
        </w:rPr>
      </w:pPr>
      <m:oMathPara>
        <m:oMath>
          <m:eqArr>
            <m:eqArrPr>
              <m:maxDist m:val="1"/>
              <m:ctrlPr>
                <w:rPr>
                  <w:rFonts w:ascii="Cambria Math" w:hAnsi="Cambria Math"/>
                  <w:sz w:val="20"/>
                </w:rPr>
              </m:ctrlPr>
            </m:eqArrPr>
            <m:e>
              <m:r>
                <m:rPr>
                  <m:sty m:val="bi"/>
                </m:rPr>
                <w:rPr>
                  <w:rFonts w:ascii="Cambria Math" w:hAnsi="Cambria Math"/>
                  <w:sz w:val="20"/>
                </w:rPr>
                <m:t>Y</m:t>
              </m:r>
              <m:r>
                <m:rPr>
                  <m:sty m:val="b"/>
                </m:rPr>
                <w:rPr>
                  <w:rFonts w:ascii="Cambria Math" w:hAnsi="Cambria Math"/>
                  <w:sz w:val="20"/>
                </w:rPr>
                <m:t>=</m:t>
              </m:r>
              <m:d>
                <m:dPr>
                  <m:ctrlPr>
                    <w:rPr>
                      <w:rFonts w:ascii="Cambria Math" w:hAnsi="Cambria Math"/>
                      <w:sz w:val="20"/>
                    </w:rPr>
                  </m:ctrlPr>
                </m:dPr>
                <m:e>
                  <m:r>
                    <m:rPr>
                      <m:sty m:val="b"/>
                    </m:rPr>
                    <w:rPr>
                      <w:rFonts w:ascii="Cambria Math" w:hAnsi="Cambria Math"/>
                      <w:sz w:val="20"/>
                    </w:rPr>
                    <m:t>1+</m:t>
                  </m:r>
                  <m:r>
                    <m:rPr>
                      <m:sty m:val="bi"/>
                    </m:rPr>
                    <w:rPr>
                      <w:rFonts w:ascii="Cambria Math" w:hAnsi="Cambria Math"/>
                      <w:sz w:val="20"/>
                    </w:rPr>
                    <m:t>y</m:t>
                  </m:r>
                </m:e>
              </m:d>
              <m:sSub>
                <m:sSubPr>
                  <m:ctrlPr>
                    <w:rPr>
                      <w:rFonts w:ascii="Cambria Math" w:hAnsi="Cambria Math"/>
                      <w:sz w:val="20"/>
                    </w:rPr>
                  </m:ctrlPr>
                </m:sSubPr>
                <m:e>
                  <m:r>
                    <m:rPr>
                      <m:sty m:val="bi"/>
                    </m:rPr>
                    <w:rPr>
                      <w:rFonts w:ascii="Cambria Math" w:hAnsi="Cambria Math"/>
                      <w:sz w:val="20"/>
                    </w:rPr>
                    <m:t>Y</m:t>
                  </m:r>
                  <m:ctrlPr>
                    <w:rPr>
                      <w:rFonts w:ascii="Cambria Math" w:hAnsi="Cambria Math"/>
                      <w:i/>
                      <w:sz w:val="20"/>
                    </w:rPr>
                  </m:ctrlPr>
                </m:e>
                <m:sub>
                  <m:r>
                    <m:rPr>
                      <m:sty m:val="b"/>
                    </m:rPr>
                    <w:rPr>
                      <w:rFonts w:ascii="Cambria Math" w:hAnsi="Cambria Math"/>
                      <w:sz w:val="20"/>
                    </w:rPr>
                    <m:t>0</m:t>
                  </m:r>
                </m:sub>
              </m:sSub>
              <m:r>
                <m:rPr>
                  <m:sty m:val="bi"/>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18</m:t>
                  </m:r>
                  <m:r>
                    <m:rPr>
                      <m:sty m:val="b"/>
                    </m:rPr>
                    <w:rPr>
                      <w:rFonts w:ascii="Cambria Math" w:hAnsi="Cambria Math"/>
                      <w:sz w:val="20"/>
                    </w:rPr>
                    <w:fldChar w:fldCharType="end"/>
                  </m:r>
                </m:e>
              </m:d>
              <m:ctrlPr>
                <w:rPr>
                  <w:rFonts w:ascii="Cambria Math" w:hAnsi="Cambria Math"/>
                  <w:i/>
                  <w:sz w:val="20"/>
                </w:rPr>
              </m:ctrlPr>
            </m:e>
          </m:eqArr>
        </m:oMath>
      </m:oMathPara>
    </w:p>
    <w:p w14:paraId="03FECD94" w14:textId="77777777" w:rsidR="006E0887" w:rsidRPr="00FD34C9" w:rsidRDefault="006E0887" w:rsidP="0079094E">
      <w:pPr>
        <w:ind w:firstLine="284"/>
      </w:pPr>
      <w:r w:rsidRPr="00FD34C9">
        <w:t xml:space="preserve">Now let us assume that there is a representative agent with a local coefficient of absolute risk aversion </w:t>
      </w:r>
      <m:oMath>
        <m:r>
          <m:rPr>
            <m:sty m:val="p"/>
          </m:rPr>
          <w:rPr>
            <w:rFonts w:ascii="Cambria Math" w:hAnsi="Cambria Math" w:cs="Cambria Math"/>
          </w:rPr>
          <m:t>λ</m:t>
        </m:r>
        <m:d>
          <m:dPr>
            <m:ctrlPr>
              <w:rPr>
                <w:rFonts w:ascii="Cambria Math" w:hAnsi="Cambria Math"/>
              </w:rPr>
            </m:ctrlPr>
          </m:dPr>
          <m:e>
            <m:sSub>
              <m:sSubPr>
                <m:ctrlPr>
                  <w:rPr>
                    <w:rFonts w:ascii="Cambria Math" w:hAnsi="Cambria Math" w:cs="Cambria Math"/>
                  </w:rPr>
                </m:ctrlPr>
              </m:sSubPr>
              <m:e>
                <m:r>
                  <m:rPr>
                    <m:sty m:val="p"/>
                  </m:rPr>
                  <w:rPr>
                    <w:rFonts w:ascii="Cambria Math" w:hAnsi="Cambria Math" w:cs="Cambria Math"/>
                  </w:rPr>
                  <m:t>Y</m:t>
                </m:r>
                <m:ctrlPr>
                  <w:rPr>
                    <w:rFonts w:ascii="Cambria Math" w:hAnsi="Cambria Math"/>
                  </w:rPr>
                </m:ctrlPr>
              </m:e>
              <m:sub>
                <m:r>
                  <m:rPr>
                    <m:sty m:val="p"/>
                  </m:rPr>
                  <w:rPr>
                    <w:rFonts w:ascii="Cambria Math" w:hAnsi="Cambria Math" w:cs="Cambria Math"/>
                  </w:rPr>
                  <m:t>0</m:t>
                </m:r>
              </m:sub>
            </m:sSub>
          </m:e>
        </m:d>
      </m:oMath>
      <w:r w:rsidRPr="00FD34C9">
        <w:t xml:space="preserve"> at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oMath>
      <w:r w:rsidRPr="00FD34C9">
        <w:t xml:space="preserve">. Then we can express the utility function as one exhibiting constant absolute risk aversion (CARA) with </w:t>
      </w:r>
      <m:oMath>
        <m:r>
          <m:rPr>
            <m:sty m:val="p"/>
          </m:rPr>
          <w:rPr>
            <w:rFonts w:ascii="Cambria Math" w:hAnsi="Cambria Math" w:cs="Cambria Math"/>
          </w:rPr>
          <m:t>λ</m:t>
        </m:r>
        <m:d>
          <m:dPr>
            <m:ctrlPr>
              <w:rPr>
                <w:rFonts w:ascii="Cambria Math" w:hAnsi="Cambria Math"/>
              </w:rPr>
            </m:ctrlPr>
          </m:dPr>
          <m:e>
            <m:sSub>
              <m:sSubPr>
                <m:ctrlPr>
                  <w:rPr>
                    <w:rFonts w:ascii="Cambria Math" w:hAnsi="Cambria Math" w:cs="Cambria Math"/>
                  </w:rPr>
                </m:ctrlPr>
              </m:sSubPr>
              <m:e>
                <m:r>
                  <m:rPr>
                    <m:sty m:val="p"/>
                  </m:rPr>
                  <w:rPr>
                    <w:rFonts w:ascii="Cambria Math" w:hAnsi="Cambria Math" w:cs="Cambria Math"/>
                  </w:rPr>
                  <m:t>Y</m:t>
                </m:r>
                <m:ctrlPr>
                  <w:rPr>
                    <w:rFonts w:ascii="Cambria Math" w:hAnsi="Cambria Math"/>
                  </w:rPr>
                </m:ctrlPr>
              </m:e>
              <m:sub>
                <m:r>
                  <m:rPr>
                    <m:sty m:val="p"/>
                  </m:rPr>
                  <w:rPr>
                    <w:rFonts w:ascii="Cambria Math" w:hAnsi="Cambria Math" w:cs="Cambria Math"/>
                  </w:rPr>
                  <m:t>0</m:t>
                </m:r>
              </m:sub>
            </m:sSub>
          </m:e>
        </m:d>
      </m:oMath>
      <w:r w:rsidRPr="00FD34C9">
        <w:t>, so that:</w:t>
      </w:r>
    </w:p>
    <w:p w14:paraId="612155D2" w14:textId="2D3F7700" w:rsidR="006E0887" w:rsidRPr="00FD34C9" w:rsidRDefault="00000000" w:rsidP="00FD34C9">
      <w:pPr>
        <w:pStyle w:val="Caption"/>
        <w:rPr>
          <w:sz w:val="20"/>
        </w:rPr>
      </w:pPr>
      <m:oMathPara>
        <m:oMath>
          <m:eqArr>
            <m:eqArrPr>
              <m:maxDist m:val="1"/>
              <m:ctrlPr>
                <w:rPr>
                  <w:rFonts w:ascii="Cambria Math" w:hAnsi="Cambria Math"/>
                  <w:sz w:val="20"/>
                </w:rPr>
              </m:ctrlPr>
            </m:eqArrPr>
            <m:e>
              <m:r>
                <m:rPr>
                  <m:sty m:val="bi"/>
                </m:rPr>
                <w:rPr>
                  <w:rFonts w:ascii="Cambria Math" w:hAnsi="Cambria Math"/>
                  <w:sz w:val="20"/>
                </w:rPr>
                <m:t>U</m:t>
              </m:r>
              <m:d>
                <m:dPr>
                  <m:ctrlPr>
                    <w:rPr>
                      <w:rFonts w:ascii="Cambria Math" w:hAnsi="Cambria Math"/>
                      <w:sz w:val="20"/>
                    </w:rPr>
                  </m:ctrlPr>
                </m:dPr>
                <m:e>
                  <m:r>
                    <m:rPr>
                      <m:sty m:val="bi"/>
                    </m:rPr>
                    <w:rPr>
                      <w:rFonts w:ascii="Cambria Math" w:hAnsi="Cambria Math"/>
                      <w:sz w:val="20"/>
                    </w:rPr>
                    <m:t>Y</m:t>
                  </m:r>
                </m:e>
              </m:d>
              <m:r>
                <m:rPr>
                  <m:sty m:val="b"/>
                </m:rPr>
                <w:rPr>
                  <w:rFonts w:ascii="Cambria Math" w:hAnsi="Cambria Math"/>
                  <w:sz w:val="20"/>
                </w:rPr>
                <m:t>=-</m:t>
              </m:r>
              <m:func>
                <m:funcPr>
                  <m:ctrlPr>
                    <w:rPr>
                      <w:rFonts w:ascii="Cambria Math" w:hAnsi="Cambria Math"/>
                      <w:sz w:val="20"/>
                    </w:rPr>
                  </m:ctrlPr>
                </m:funcPr>
                <m:fName>
                  <m:r>
                    <m:rPr>
                      <m:sty m:val="b"/>
                    </m:rPr>
                    <w:rPr>
                      <w:rFonts w:ascii="Cambria Math" w:hAnsi="Cambria Math"/>
                      <w:sz w:val="20"/>
                    </w:rPr>
                    <m:t>exp</m:t>
                  </m:r>
                </m:fName>
                <m:e>
                  <m:d>
                    <m:dPr>
                      <m:ctrlPr>
                        <w:rPr>
                          <w:rFonts w:ascii="Cambria Math" w:hAnsi="Cambria Math"/>
                          <w:sz w:val="20"/>
                        </w:rPr>
                      </m:ctrlPr>
                    </m:dPr>
                    <m:e>
                      <m:r>
                        <m:rPr>
                          <m:sty m:val="bi"/>
                        </m:rPr>
                        <w:rPr>
                          <w:rFonts w:ascii="Cambria Math" w:hAnsi="Cambria Math"/>
                          <w:sz w:val="20"/>
                        </w:rPr>
                        <m:t>λ</m:t>
                      </m:r>
                      <m:d>
                        <m:dPr>
                          <m:ctrlPr>
                            <w:rPr>
                              <w:rFonts w:ascii="Cambria Math" w:hAnsi="Cambria Math"/>
                              <w:sz w:val="20"/>
                            </w:rPr>
                          </m:ctrlPr>
                        </m:dPr>
                        <m:e>
                          <m:sSub>
                            <m:sSubPr>
                              <m:ctrlPr>
                                <w:rPr>
                                  <w:rFonts w:ascii="Cambria Math" w:hAnsi="Cambria Math"/>
                                  <w:sz w:val="20"/>
                                </w:rPr>
                              </m:ctrlPr>
                            </m:sSubPr>
                            <m:e>
                              <m:r>
                                <m:rPr>
                                  <m:sty m:val="bi"/>
                                </m:rPr>
                                <w:rPr>
                                  <w:rFonts w:ascii="Cambria Math" w:hAnsi="Cambria Math"/>
                                  <w:sz w:val="20"/>
                                </w:rPr>
                                <m:t>Y</m:t>
                              </m:r>
                            </m:e>
                            <m:sub>
                              <m:r>
                                <m:rPr>
                                  <m:sty m:val="b"/>
                                </m:rPr>
                                <w:rPr>
                                  <w:rFonts w:ascii="Cambria Math" w:hAnsi="Cambria Math"/>
                                  <w:sz w:val="20"/>
                                </w:rPr>
                                <m:t>0</m:t>
                              </m:r>
                            </m:sub>
                          </m:sSub>
                        </m:e>
                      </m:d>
                      <m:r>
                        <m:rPr>
                          <m:sty m:val="bi"/>
                        </m:rPr>
                        <w:rPr>
                          <w:rFonts w:ascii="Cambria Math" w:hAnsi="Cambria Math"/>
                          <w:sz w:val="20"/>
                        </w:rPr>
                        <m:t>Y</m:t>
                      </m:r>
                    </m:e>
                  </m:d>
                </m:e>
              </m:func>
              <m:r>
                <m:rPr>
                  <m:sty m:val="bi"/>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19</m:t>
                  </m:r>
                  <m:r>
                    <m:rPr>
                      <m:sty m:val="b"/>
                    </m:rPr>
                    <w:rPr>
                      <w:rFonts w:ascii="Cambria Math" w:hAnsi="Cambria Math"/>
                      <w:sz w:val="20"/>
                    </w:rPr>
                    <w:fldChar w:fldCharType="end"/>
                  </m:r>
                </m:e>
              </m:d>
              <m:ctrlPr>
                <w:rPr>
                  <w:rFonts w:ascii="Cambria Math" w:hAnsi="Cambria Math"/>
                  <w:i/>
                  <w:sz w:val="20"/>
                </w:rPr>
              </m:ctrlPr>
            </m:e>
          </m:eqArr>
        </m:oMath>
      </m:oMathPara>
    </w:p>
    <w:p w14:paraId="56E635D3" w14:textId="77777777" w:rsidR="006E0887" w:rsidRPr="00FD34C9" w:rsidRDefault="006E0887" w:rsidP="0079094E">
      <w:pPr>
        <w:ind w:firstLine="284"/>
      </w:pPr>
      <w:r w:rsidRPr="00FD34C9">
        <w:t>If we insert equation (eq.) 11 in eq.12, then perform a monotonic transformation, then we get:</w:t>
      </w:r>
    </w:p>
    <w:p w14:paraId="58ABC601" w14:textId="2CE9D14B" w:rsidR="006E0887" w:rsidRPr="00FD34C9" w:rsidRDefault="00000000" w:rsidP="00FD34C9">
      <w:pPr>
        <w:pStyle w:val="Caption"/>
        <w:rPr>
          <w:sz w:val="20"/>
        </w:rPr>
      </w:pPr>
      <m:oMathPara>
        <m:oMath>
          <m:eqArr>
            <m:eqArrPr>
              <m:maxDist m:val="1"/>
              <m:ctrlPr>
                <w:rPr>
                  <w:rFonts w:ascii="Cambria Math" w:hAnsi="Cambria Math"/>
                  <w:sz w:val="20"/>
                </w:rPr>
              </m:ctrlPr>
            </m:eqArrPr>
            <m:e>
              <m:r>
                <m:rPr>
                  <m:sty m:val="bi"/>
                </m:rPr>
                <w:rPr>
                  <w:rFonts w:ascii="Cambria Math" w:hAnsi="Cambria Math"/>
                  <w:sz w:val="20"/>
                </w:rPr>
                <m:t>u</m:t>
              </m:r>
              <m:d>
                <m:dPr>
                  <m:ctrlPr>
                    <w:rPr>
                      <w:rFonts w:ascii="Cambria Math" w:hAnsi="Cambria Math"/>
                      <w:sz w:val="20"/>
                    </w:rPr>
                  </m:ctrlPr>
                </m:dPr>
                <m:e>
                  <m:r>
                    <m:rPr>
                      <m:sty m:val="bi"/>
                    </m:rPr>
                    <w:rPr>
                      <w:rFonts w:ascii="Cambria Math" w:hAnsi="Cambria Math"/>
                      <w:sz w:val="20"/>
                    </w:rPr>
                    <m:t>y</m:t>
                  </m:r>
                </m:e>
              </m:d>
              <m:r>
                <m:rPr>
                  <m:sty m:val="b"/>
                </m:rPr>
                <w:rPr>
                  <w:rFonts w:ascii="Cambria Math" w:hAnsi="Cambria Math"/>
                  <w:sz w:val="20"/>
                </w:rPr>
                <m:t>=-</m:t>
              </m:r>
              <m:func>
                <m:funcPr>
                  <m:ctrlPr>
                    <w:rPr>
                      <w:rFonts w:ascii="Cambria Math" w:hAnsi="Cambria Math"/>
                      <w:sz w:val="20"/>
                    </w:rPr>
                  </m:ctrlPr>
                </m:funcPr>
                <m:fName>
                  <m:r>
                    <m:rPr>
                      <m:sty m:val="b"/>
                    </m:rPr>
                    <w:rPr>
                      <w:rFonts w:ascii="Cambria Math" w:hAnsi="Cambria Math"/>
                      <w:sz w:val="20"/>
                    </w:rPr>
                    <m:t>exp</m:t>
                  </m:r>
                </m:fName>
                <m:e>
                  <m:d>
                    <m:dPr>
                      <m:ctrlPr>
                        <w:rPr>
                          <w:rFonts w:ascii="Cambria Math" w:hAnsi="Cambria Math"/>
                          <w:sz w:val="20"/>
                        </w:rPr>
                      </m:ctrlPr>
                    </m:dPr>
                    <m:e>
                      <m:r>
                        <m:rPr>
                          <m:sty m:val="bi"/>
                        </m:rPr>
                        <w:rPr>
                          <w:rFonts w:ascii="Cambria Math" w:hAnsi="Cambria Math"/>
                          <w:sz w:val="20"/>
                        </w:rPr>
                        <m:t>λ</m:t>
                      </m:r>
                      <m:d>
                        <m:dPr>
                          <m:ctrlPr>
                            <w:rPr>
                              <w:rFonts w:ascii="Cambria Math" w:hAnsi="Cambria Math"/>
                              <w:sz w:val="20"/>
                            </w:rPr>
                          </m:ctrlPr>
                        </m:dPr>
                        <m:e>
                          <m:sSub>
                            <m:sSubPr>
                              <m:ctrlPr>
                                <w:rPr>
                                  <w:rFonts w:ascii="Cambria Math" w:hAnsi="Cambria Math"/>
                                  <w:sz w:val="20"/>
                                </w:rPr>
                              </m:ctrlPr>
                            </m:sSubPr>
                            <m:e>
                              <m:r>
                                <m:rPr>
                                  <m:sty m:val="bi"/>
                                </m:rPr>
                                <w:rPr>
                                  <w:rFonts w:ascii="Cambria Math" w:hAnsi="Cambria Math"/>
                                  <w:sz w:val="20"/>
                                </w:rPr>
                                <m:t>Y</m:t>
                              </m:r>
                            </m:e>
                            <m:sub>
                              <m:r>
                                <m:rPr>
                                  <m:sty m:val="b"/>
                                </m:rPr>
                                <w:rPr>
                                  <w:rFonts w:ascii="Cambria Math" w:hAnsi="Cambria Math"/>
                                  <w:sz w:val="20"/>
                                </w:rPr>
                                <m:t>0</m:t>
                              </m:r>
                            </m:sub>
                          </m:sSub>
                        </m:e>
                      </m:d>
                      <m:sSub>
                        <m:sSubPr>
                          <m:ctrlPr>
                            <w:rPr>
                              <w:rFonts w:ascii="Cambria Math" w:hAnsi="Cambria Math"/>
                              <w:sz w:val="20"/>
                            </w:rPr>
                          </m:ctrlPr>
                        </m:sSubPr>
                        <m:e>
                          <m:r>
                            <m:rPr>
                              <m:sty m:val="bi"/>
                            </m:rPr>
                            <w:rPr>
                              <w:rFonts w:ascii="Cambria Math" w:hAnsi="Cambria Math"/>
                              <w:sz w:val="20"/>
                            </w:rPr>
                            <m:t>Y</m:t>
                          </m:r>
                          <m:ctrlPr>
                            <w:rPr>
                              <w:rFonts w:ascii="Cambria Math" w:hAnsi="Cambria Math"/>
                              <w:i/>
                              <w:sz w:val="20"/>
                            </w:rPr>
                          </m:ctrlPr>
                        </m:e>
                        <m:sub>
                          <m:r>
                            <m:rPr>
                              <m:sty m:val="b"/>
                            </m:rPr>
                            <w:rPr>
                              <w:rFonts w:ascii="Cambria Math" w:hAnsi="Cambria Math"/>
                              <w:sz w:val="20"/>
                            </w:rPr>
                            <m:t>0</m:t>
                          </m:r>
                        </m:sub>
                      </m:sSub>
                      <m:r>
                        <m:rPr>
                          <m:sty m:val="bi"/>
                        </m:rPr>
                        <w:rPr>
                          <w:rFonts w:ascii="Cambria Math" w:hAnsi="Cambria Math"/>
                          <w:sz w:val="20"/>
                        </w:rPr>
                        <m:t>y</m:t>
                      </m:r>
                    </m:e>
                  </m:d>
                </m:e>
              </m:func>
              <m:r>
                <m:rPr>
                  <m:sty m:val="b"/>
                </m:rPr>
                <w:rPr>
                  <w:rFonts w:ascii="Cambria Math" w:hAnsi="Cambria Math"/>
                  <w:sz w:val="20"/>
                </w:rPr>
                <m:t>=-</m:t>
              </m:r>
              <m:func>
                <m:funcPr>
                  <m:ctrlPr>
                    <w:rPr>
                      <w:rFonts w:ascii="Cambria Math" w:hAnsi="Cambria Math"/>
                      <w:sz w:val="20"/>
                    </w:rPr>
                  </m:ctrlPr>
                </m:funcPr>
                <m:fName>
                  <m:r>
                    <m:rPr>
                      <m:sty m:val="b"/>
                    </m:rPr>
                    <w:rPr>
                      <w:rFonts w:ascii="Cambria Math" w:hAnsi="Cambria Math"/>
                      <w:sz w:val="20"/>
                    </w:rPr>
                    <m:t>exp</m:t>
                  </m:r>
                </m:fName>
                <m:e>
                  <m:d>
                    <m:dPr>
                      <m:ctrlPr>
                        <w:rPr>
                          <w:rFonts w:ascii="Cambria Math" w:hAnsi="Cambria Math"/>
                          <w:sz w:val="20"/>
                        </w:rPr>
                      </m:ctrlPr>
                    </m:dPr>
                    <m:e>
                      <m:sSub>
                        <m:sSubPr>
                          <m:ctrlPr>
                            <w:rPr>
                              <w:rFonts w:ascii="Cambria Math" w:hAnsi="Cambria Math"/>
                              <w:sz w:val="20"/>
                            </w:rPr>
                          </m:ctrlPr>
                        </m:sSubPr>
                        <m:e>
                          <m:r>
                            <m:rPr>
                              <m:sty m:val="bi"/>
                            </m:rPr>
                            <w:rPr>
                              <w:rFonts w:ascii="Cambria Math" w:hAnsi="Cambria Math"/>
                              <w:sz w:val="20"/>
                            </w:rPr>
                            <m:t>ρ</m:t>
                          </m:r>
                        </m:e>
                        <m:sub>
                          <m:r>
                            <m:rPr>
                              <m:sty m:val="b"/>
                            </m:rPr>
                            <w:rPr>
                              <w:rFonts w:ascii="Cambria Math" w:hAnsi="Cambria Math"/>
                              <w:sz w:val="20"/>
                            </w:rPr>
                            <m:t>0</m:t>
                          </m:r>
                        </m:sub>
                      </m:sSub>
                      <m:r>
                        <m:rPr>
                          <m:sty m:val="bi"/>
                        </m:rPr>
                        <w:rPr>
                          <w:rFonts w:ascii="Cambria Math" w:hAnsi="Cambria Math"/>
                          <w:sz w:val="20"/>
                        </w:rPr>
                        <m:t>y</m:t>
                      </m:r>
                    </m:e>
                  </m:d>
                </m:e>
              </m:func>
              <m:r>
                <m:rPr>
                  <m:sty m:val="bi"/>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20</m:t>
                  </m:r>
                  <m:r>
                    <m:rPr>
                      <m:sty m:val="b"/>
                    </m:rPr>
                    <w:rPr>
                      <w:rFonts w:ascii="Cambria Math" w:hAnsi="Cambria Math"/>
                      <w:sz w:val="20"/>
                    </w:rPr>
                    <w:fldChar w:fldCharType="end"/>
                  </m:r>
                </m:e>
              </m:d>
              <m:ctrlPr>
                <w:rPr>
                  <w:rFonts w:ascii="Cambria Math" w:hAnsi="Cambria Math"/>
                  <w:i/>
                  <w:sz w:val="20"/>
                </w:rPr>
              </m:ctrlPr>
            </m:e>
          </m:eqArr>
        </m:oMath>
      </m:oMathPara>
    </w:p>
    <w:p w14:paraId="50D7F2D9" w14:textId="77777777" w:rsidR="006E0887" w:rsidRPr="00FD34C9" w:rsidRDefault="006E0887" w:rsidP="0079094E">
      <w:pPr>
        <w:ind w:firstLine="284"/>
      </w:pPr>
      <w:r w:rsidRPr="00FD34C9">
        <w:t xml:space="preserve">In eq. 13 </w:t>
      </w:r>
      <m:oMath>
        <m:sSub>
          <m:sSubPr>
            <m:ctrlPr>
              <w:rPr>
                <w:rFonts w:ascii="Cambria Math" w:hAnsi="Cambria Math"/>
              </w:rPr>
            </m:ctrlPr>
          </m:sSubPr>
          <m:e>
            <m:r>
              <w:rPr>
                <w:rFonts w:ascii="Cambria Math" w:hAnsi="Cambria Math"/>
              </w:rPr>
              <m:t>ρ</m:t>
            </m:r>
          </m:e>
          <m:sub>
            <m:r>
              <m:rPr>
                <m:sty m:val="p"/>
              </m:rPr>
              <w:rPr>
                <w:rFonts w:ascii="Cambria Math" w:hAnsi="Cambria Math"/>
              </w:rPr>
              <m:t>0</m:t>
            </m:r>
          </m:sub>
        </m:sSub>
        <m:r>
          <m:rPr>
            <m:sty m:val="p"/>
          </m:rPr>
          <w:rPr>
            <w:rFonts w:ascii="Cambria Math" w:hAnsi="Cambria Math"/>
          </w:rPr>
          <m:t>=</m:t>
        </m:r>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sSub>
          <m:sSubPr>
            <m:ctrlPr>
              <w:rPr>
                <w:rFonts w:ascii="Cambria Math" w:hAnsi="Cambria Math"/>
              </w:rPr>
            </m:ctrlPr>
          </m:sSubPr>
          <m:e>
            <m:r>
              <w:rPr>
                <w:rFonts w:ascii="Cambria Math" w:hAnsi="Cambria Math"/>
              </w:rPr>
              <m:t>Y</m:t>
            </m:r>
          </m:e>
          <m:sub>
            <m:r>
              <m:rPr>
                <m:sty m:val="p"/>
              </m:rPr>
              <w:rPr>
                <w:rFonts w:ascii="Cambria Math" w:hAnsi="Cambria Math"/>
              </w:rPr>
              <m:t>0</m:t>
            </m:r>
          </m:sub>
        </m:sSub>
      </m:oMath>
      <w:r w:rsidRPr="00FD34C9">
        <w:t xml:space="preserve"> describes the agent’s coefficient of relative risk aversion at </w:t>
      </w:r>
      <m:oMath>
        <m:sSub>
          <m:sSubPr>
            <m:ctrlPr>
              <w:rPr>
                <w:rFonts w:ascii="Cambria Math" w:hAnsi="Cambria Math"/>
              </w:rPr>
            </m:ctrlPr>
          </m:sSubPr>
          <m:e>
            <m:r>
              <w:rPr>
                <w:rFonts w:ascii="Cambria Math" w:hAnsi="Cambria Math"/>
              </w:rPr>
              <m:t>Y</m:t>
            </m:r>
          </m:e>
          <m:sub>
            <m:r>
              <m:rPr>
                <m:sty m:val="p"/>
              </m:rPr>
              <w:rPr>
                <w:rFonts w:ascii="Cambria Math" w:hAnsi="Cambria Math"/>
              </w:rPr>
              <m:t>0</m:t>
            </m:r>
          </m:sub>
        </m:sSub>
      </m:oMath>
      <w:r w:rsidRPr="00FD34C9">
        <w:t xml:space="preserve">. If we assume GDP growth is normally distributed, so that </w:t>
      </w:r>
      <m:oMath>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sub>
        </m:sSub>
        <m:r>
          <m:rPr>
            <m:sty m:val="p"/>
          </m:rPr>
          <w:rPr>
            <w:rFonts w:ascii="Cambria Math" w:hAnsi="Cambria Math"/>
          </w:rPr>
          <m:t xml:space="preserve">, </m:t>
        </m:r>
        <m:sSubSup>
          <m:sSubSupPr>
            <m:ctrlPr>
              <w:rPr>
                <w:rFonts w:ascii="Cambria Math" w:hAnsi="Cambria Math"/>
              </w:rPr>
            </m:ctrlPr>
          </m:sSubSupPr>
          <m:e>
            <m:r>
              <w:rPr>
                <w:rFonts w:ascii="Cambria Math" w:hAnsi="Cambria Math"/>
              </w:rPr>
              <m:t>σ</m:t>
            </m:r>
          </m:e>
          <m:sub>
            <m:r>
              <w:rPr>
                <w:rFonts w:ascii="Cambria Math" w:hAnsi="Cambria Math"/>
              </w:rPr>
              <m:t>y</m:t>
            </m:r>
          </m:sub>
          <m:sup>
            <m:r>
              <m:rPr>
                <m:sty m:val="p"/>
              </m:rPr>
              <w:rPr>
                <w:rFonts w:ascii="Cambria Math" w:hAnsi="Cambria Math"/>
              </w:rPr>
              <m:t>2</m:t>
            </m:r>
          </m:sup>
        </m:sSubSup>
        <m:r>
          <m:rPr>
            <m:sty m:val="p"/>
          </m:rPr>
          <w:rPr>
            <w:rFonts w:ascii="Cambria Math" w:hAnsi="Cambria Math"/>
          </w:rPr>
          <m:t>)</m:t>
        </m:r>
      </m:oMath>
      <w:r w:rsidRPr="00FD34C9">
        <w:t>, then using the known moment functions we can write the agent’s expected utility as:</w:t>
      </w:r>
    </w:p>
    <w:p w14:paraId="078C4A8C" w14:textId="37CE3990" w:rsidR="006E0887" w:rsidRPr="00FD34C9" w:rsidRDefault="00000000" w:rsidP="00FD34C9">
      <w:pPr>
        <w:pStyle w:val="Caption"/>
        <w:rPr>
          <w:sz w:val="20"/>
        </w:rPr>
      </w:pPr>
      <m:oMathPara>
        <m:oMath>
          <m:eqArr>
            <m:eqArrPr>
              <m:maxDist m:val="1"/>
              <m:ctrlPr>
                <w:rPr>
                  <w:rFonts w:ascii="Cambria Math" w:hAnsi="Cambria Math"/>
                  <w:sz w:val="20"/>
                </w:rPr>
              </m:ctrlPr>
            </m:eqArrPr>
            <m:e>
              <m:r>
                <m:rPr>
                  <m:sty m:val="bi"/>
                </m:rPr>
                <w:rPr>
                  <w:rFonts w:ascii="Cambria Math" w:hAnsi="Cambria Math"/>
                  <w:sz w:val="20"/>
                </w:rPr>
                <m:t>E</m:t>
              </m:r>
              <m:d>
                <m:dPr>
                  <m:begChr m:val="["/>
                  <m:endChr m:val="]"/>
                  <m:ctrlPr>
                    <w:rPr>
                      <w:rFonts w:ascii="Cambria Math" w:hAnsi="Cambria Math"/>
                      <w:sz w:val="20"/>
                    </w:rPr>
                  </m:ctrlPr>
                </m:dPr>
                <m:e>
                  <m:r>
                    <m:rPr>
                      <m:sty m:val="bi"/>
                    </m:rPr>
                    <w:rPr>
                      <w:rFonts w:ascii="Cambria Math" w:hAnsi="Cambria Math"/>
                      <w:sz w:val="20"/>
                    </w:rPr>
                    <m:t>u</m:t>
                  </m:r>
                  <m:d>
                    <m:dPr>
                      <m:ctrlPr>
                        <w:rPr>
                          <w:rFonts w:ascii="Cambria Math" w:hAnsi="Cambria Math"/>
                          <w:sz w:val="20"/>
                        </w:rPr>
                      </m:ctrlPr>
                    </m:dPr>
                    <m:e>
                      <m:r>
                        <m:rPr>
                          <m:sty m:val="bi"/>
                        </m:rPr>
                        <w:rPr>
                          <w:rFonts w:ascii="Cambria Math" w:hAnsi="Cambria Math"/>
                          <w:sz w:val="20"/>
                        </w:rPr>
                        <m:t>y</m:t>
                      </m:r>
                    </m:e>
                  </m:d>
                </m:e>
              </m:d>
              <m:r>
                <m:rPr>
                  <m:sty m:val="b"/>
                </m:rPr>
                <w:rPr>
                  <w:rFonts w:ascii="Cambria Math" w:hAnsi="Cambria Math"/>
                  <w:sz w:val="20"/>
                </w:rPr>
                <m:t>=-</m:t>
              </m:r>
              <m:r>
                <m:rPr>
                  <m:sty m:val="bi"/>
                </m:rPr>
                <w:rPr>
                  <w:rFonts w:ascii="Cambria Math" w:hAnsi="Cambria Math"/>
                  <w:sz w:val="20"/>
                </w:rPr>
                <m:t>E</m:t>
              </m:r>
              <m:d>
                <m:dPr>
                  <m:begChr m:val="["/>
                  <m:endChr m:val="]"/>
                  <m:ctrlPr>
                    <w:rPr>
                      <w:rFonts w:ascii="Cambria Math" w:hAnsi="Cambria Math"/>
                      <w:sz w:val="20"/>
                    </w:rPr>
                  </m:ctrlPr>
                </m:dPr>
                <m:e>
                  <m:func>
                    <m:funcPr>
                      <m:ctrlPr>
                        <w:rPr>
                          <w:rFonts w:ascii="Cambria Math" w:hAnsi="Cambria Math"/>
                          <w:sz w:val="20"/>
                        </w:rPr>
                      </m:ctrlPr>
                    </m:funcPr>
                    <m:fName>
                      <m:r>
                        <m:rPr>
                          <m:sty m:val="b"/>
                        </m:rPr>
                        <w:rPr>
                          <w:rFonts w:ascii="Cambria Math" w:hAnsi="Cambria Math"/>
                          <w:sz w:val="20"/>
                        </w:rPr>
                        <m:t>exp</m:t>
                      </m:r>
                    </m:fName>
                    <m:e>
                      <m:d>
                        <m:dPr>
                          <m:ctrlPr>
                            <w:rPr>
                              <w:rFonts w:ascii="Cambria Math" w:hAnsi="Cambria Math"/>
                              <w:sz w:val="20"/>
                            </w:rPr>
                          </m:ctrlPr>
                        </m:dPr>
                        <m:e>
                          <m:sSub>
                            <m:sSubPr>
                              <m:ctrlPr>
                                <w:rPr>
                                  <w:rFonts w:ascii="Cambria Math" w:hAnsi="Cambria Math"/>
                                  <w:sz w:val="20"/>
                                </w:rPr>
                              </m:ctrlPr>
                            </m:sSubPr>
                            <m:e>
                              <m:r>
                                <m:rPr>
                                  <m:sty m:val="bi"/>
                                </m:rPr>
                                <w:rPr>
                                  <w:rFonts w:ascii="Cambria Math" w:hAnsi="Cambria Math"/>
                                  <w:sz w:val="20"/>
                                </w:rPr>
                                <m:t>ρ</m:t>
                              </m:r>
                            </m:e>
                            <m:sub>
                              <m:r>
                                <m:rPr>
                                  <m:sty m:val="b"/>
                                </m:rPr>
                                <w:rPr>
                                  <w:rFonts w:ascii="Cambria Math" w:hAnsi="Cambria Math"/>
                                  <w:sz w:val="20"/>
                                </w:rPr>
                                <m:t>0</m:t>
                              </m:r>
                            </m:sub>
                          </m:sSub>
                          <m:r>
                            <m:rPr>
                              <m:sty m:val="bi"/>
                            </m:rPr>
                            <w:rPr>
                              <w:rFonts w:ascii="Cambria Math" w:hAnsi="Cambria Math"/>
                              <w:sz w:val="20"/>
                            </w:rPr>
                            <m:t>y</m:t>
                          </m:r>
                        </m:e>
                      </m:d>
                    </m:e>
                  </m:func>
                </m:e>
              </m:d>
              <m:r>
                <m:rPr>
                  <m:sty m:val="b"/>
                </m:rPr>
                <w:rPr>
                  <w:rFonts w:ascii="Cambria Math" w:hAnsi="Cambria Math"/>
                  <w:sz w:val="20"/>
                </w:rPr>
                <m:t>=-</m:t>
              </m:r>
              <m:func>
                <m:funcPr>
                  <m:ctrlPr>
                    <w:rPr>
                      <w:rFonts w:ascii="Cambria Math" w:hAnsi="Cambria Math"/>
                      <w:sz w:val="20"/>
                    </w:rPr>
                  </m:ctrlPr>
                </m:funcPr>
                <m:fName>
                  <m:r>
                    <m:rPr>
                      <m:sty m:val="b"/>
                    </m:rPr>
                    <w:rPr>
                      <w:rFonts w:ascii="Cambria Math" w:hAnsi="Cambria Math"/>
                      <w:sz w:val="20"/>
                    </w:rPr>
                    <m:t>exp</m:t>
                  </m:r>
                </m:fName>
                <m:e>
                  <m:d>
                    <m:dPr>
                      <m:ctrlPr>
                        <w:rPr>
                          <w:rFonts w:ascii="Cambria Math" w:hAnsi="Cambria Math"/>
                          <w:sz w:val="20"/>
                        </w:rPr>
                      </m:ctrlPr>
                    </m:dPr>
                    <m:e>
                      <m:sSub>
                        <m:sSubPr>
                          <m:ctrlPr>
                            <w:rPr>
                              <w:rFonts w:ascii="Cambria Math" w:hAnsi="Cambria Math"/>
                              <w:sz w:val="20"/>
                            </w:rPr>
                          </m:ctrlPr>
                        </m:sSubPr>
                        <m:e>
                          <m:r>
                            <m:rPr>
                              <m:sty m:val="b"/>
                            </m:rPr>
                            <w:rPr>
                              <w:rFonts w:ascii="Cambria Math" w:hAnsi="Cambria Math"/>
                              <w:sz w:val="20"/>
                            </w:rPr>
                            <m:t>-</m:t>
                          </m:r>
                          <m:r>
                            <m:rPr>
                              <m:sty m:val="bi"/>
                            </m:rPr>
                            <w:rPr>
                              <w:rFonts w:ascii="Cambria Math" w:hAnsi="Cambria Math"/>
                              <w:sz w:val="20"/>
                            </w:rPr>
                            <m:t>ρ</m:t>
                          </m:r>
                        </m:e>
                        <m:sub>
                          <m:r>
                            <m:rPr>
                              <m:sty m:val="b"/>
                            </m:rPr>
                            <w:rPr>
                              <w:rFonts w:ascii="Cambria Math" w:hAnsi="Cambria Math"/>
                              <w:sz w:val="20"/>
                            </w:rPr>
                            <m:t>0</m:t>
                          </m:r>
                        </m:sub>
                      </m:sSub>
                      <m:sSub>
                        <m:sSubPr>
                          <m:ctrlPr>
                            <w:rPr>
                              <w:rFonts w:ascii="Cambria Math" w:hAnsi="Cambria Math"/>
                              <w:sz w:val="20"/>
                            </w:rPr>
                          </m:ctrlPr>
                        </m:sSubPr>
                        <m:e>
                          <m:r>
                            <m:rPr>
                              <m:sty m:val="bi"/>
                            </m:rPr>
                            <w:rPr>
                              <w:rFonts w:ascii="Cambria Math" w:hAnsi="Cambria Math"/>
                              <w:sz w:val="20"/>
                            </w:rPr>
                            <m:t>y</m:t>
                          </m:r>
                          <m:ctrlPr>
                            <w:rPr>
                              <w:rFonts w:ascii="Cambria Math" w:hAnsi="Cambria Math"/>
                              <w:i/>
                              <w:sz w:val="20"/>
                            </w:rPr>
                          </m:ctrlPr>
                        </m:e>
                        <m:sub>
                          <m:r>
                            <m:rPr>
                              <m:sty m:val="bi"/>
                            </m:rPr>
                            <w:rPr>
                              <w:rFonts w:ascii="Cambria Math" w:hAnsi="Cambria Math"/>
                              <w:sz w:val="20"/>
                            </w:rPr>
                            <m:t>m</m:t>
                          </m:r>
                        </m:sub>
                      </m:sSub>
                      <m:r>
                        <m:rPr>
                          <m:sty m:val="b"/>
                        </m:rPr>
                        <w:rPr>
                          <w:rFonts w:ascii="Cambria Math" w:hAnsi="Cambria Math"/>
                          <w:sz w:val="20"/>
                        </w:rPr>
                        <m:t>+</m:t>
                      </m:r>
                      <m:f>
                        <m:fPr>
                          <m:ctrlPr>
                            <w:rPr>
                              <w:rFonts w:ascii="Cambria Math" w:hAnsi="Cambria Math"/>
                              <w:sz w:val="20"/>
                            </w:rPr>
                          </m:ctrlPr>
                        </m:fPr>
                        <m:num>
                          <m:r>
                            <m:rPr>
                              <m:sty m:val="b"/>
                            </m:rPr>
                            <w:rPr>
                              <w:rFonts w:ascii="Cambria Math" w:hAnsi="Cambria Math"/>
                              <w:sz w:val="20"/>
                            </w:rPr>
                            <m:t>1</m:t>
                          </m:r>
                        </m:num>
                        <m:den>
                          <m:r>
                            <m:rPr>
                              <m:sty m:val="b"/>
                            </m:rPr>
                            <w:rPr>
                              <w:rFonts w:ascii="Cambria Math" w:hAnsi="Cambria Math"/>
                              <w:sz w:val="20"/>
                            </w:rPr>
                            <m:t>2</m:t>
                          </m:r>
                        </m:den>
                      </m:f>
                      <m:sSubSup>
                        <m:sSubSupPr>
                          <m:ctrlPr>
                            <w:rPr>
                              <w:rFonts w:ascii="Cambria Math" w:hAnsi="Cambria Math"/>
                              <w:sz w:val="20"/>
                            </w:rPr>
                          </m:ctrlPr>
                        </m:sSubSupPr>
                        <m:e>
                          <m:r>
                            <m:rPr>
                              <m:sty m:val="bi"/>
                            </m:rPr>
                            <w:rPr>
                              <w:rFonts w:ascii="Cambria Math" w:hAnsi="Cambria Math"/>
                              <w:sz w:val="20"/>
                            </w:rPr>
                            <m:t>ρ</m:t>
                          </m:r>
                          <m:ctrlPr>
                            <w:rPr>
                              <w:rFonts w:ascii="Cambria Math" w:hAnsi="Cambria Math"/>
                              <w:i/>
                              <w:sz w:val="20"/>
                            </w:rPr>
                          </m:ctrlPr>
                        </m:e>
                        <m:sub>
                          <m:r>
                            <m:rPr>
                              <m:sty m:val="b"/>
                            </m:rPr>
                            <w:rPr>
                              <w:rFonts w:ascii="Cambria Math" w:hAnsi="Cambria Math"/>
                              <w:sz w:val="20"/>
                            </w:rPr>
                            <m:t>0</m:t>
                          </m:r>
                        </m:sub>
                        <m:sup>
                          <m:r>
                            <m:rPr>
                              <m:sty m:val="b"/>
                            </m:rPr>
                            <w:rPr>
                              <w:rFonts w:ascii="Cambria Math" w:hAnsi="Cambria Math"/>
                              <w:sz w:val="20"/>
                            </w:rPr>
                            <m:t>2</m:t>
                          </m:r>
                        </m:sup>
                      </m:sSubSup>
                      <m:sSubSup>
                        <m:sSubSupPr>
                          <m:ctrlPr>
                            <w:rPr>
                              <w:rFonts w:ascii="Cambria Math" w:hAnsi="Cambria Math"/>
                              <w:sz w:val="20"/>
                            </w:rPr>
                          </m:ctrlPr>
                        </m:sSubSupPr>
                        <m:e>
                          <m:r>
                            <m:rPr>
                              <m:sty m:val="bi"/>
                            </m:rPr>
                            <w:rPr>
                              <w:rFonts w:ascii="Cambria Math" w:hAnsi="Cambria Math"/>
                              <w:sz w:val="20"/>
                            </w:rPr>
                            <m:t>σ</m:t>
                          </m:r>
                          <m:ctrlPr>
                            <w:rPr>
                              <w:rFonts w:ascii="Cambria Math" w:hAnsi="Cambria Math"/>
                              <w:i/>
                              <w:sz w:val="20"/>
                            </w:rPr>
                          </m:ctrlPr>
                        </m:e>
                        <m:sub>
                          <m:r>
                            <m:rPr>
                              <m:sty m:val="bi"/>
                            </m:rPr>
                            <w:rPr>
                              <w:rFonts w:ascii="Cambria Math" w:hAnsi="Cambria Math"/>
                              <w:sz w:val="20"/>
                            </w:rPr>
                            <m:t>y</m:t>
                          </m:r>
                        </m:sub>
                        <m:sup>
                          <m:r>
                            <m:rPr>
                              <m:sty m:val="b"/>
                            </m:rPr>
                            <w:rPr>
                              <w:rFonts w:ascii="Cambria Math" w:hAnsi="Cambria Math"/>
                              <w:sz w:val="20"/>
                            </w:rPr>
                            <m:t>2</m:t>
                          </m:r>
                        </m:sup>
                      </m:sSubSup>
                    </m:e>
                  </m:d>
                </m:e>
              </m:func>
              <m:r>
                <m:rPr>
                  <m:sty m:val="bi"/>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21</m:t>
                  </m:r>
                  <m:r>
                    <m:rPr>
                      <m:sty m:val="b"/>
                    </m:rPr>
                    <w:rPr>
                      <w:rFonts w:ascii="Cambria Math" w:hAnsi="Cambria Math"/>
                      <w:sz w:val="20"/>
                    </w:rPr>
                    <w:fldChar w:fldCharType="end"/>
                  </m:r>
                </m:e>
              </m:d>
              <m:ctrlPr>
                <w:rPr>
                  <w:rFonts w:ascii="Cambria Math" w:hAnsi="Cambria Math"/>
                  <w:i/>
                  <w:sz w:val="20"/>
                </w:rPr>
              </m:ctrlPr>
            </m:e>
          </m:eqArr>
        </m:oMath>
      </m:oMathPara>
    </w:p>
    <w:p w14:paraId="2C149CED" w14:textId="77777777" w:rsidR="006E0887" w:rsidRPr="00FD34C9" w:rsidRDefault="006E0887" w:rsidP="0079094E">
      <w:pPr>
        <w:ind w:firstLine="284"/>
      </w:pPr>
      <w:r w:rsidRPr="00FD34C9">
        <w:t>Indirectly eq. 14 can also be described as:</w:t>
      </w:r>
    </w:p>
    <w:p w14:paraId="2DD4EF30" w14:textId="0B51EC78" w:rsidR="006E0887" w:rsidRPr="00FD34C9" w:rsidRDefault="00000000" w:rsidP="00FD34C9">
      <w:pPr>
        <w:pStyle w:val="Caption"/>
        <w:rPr>
          <w:sz w:val="20"/>
        </w:rPr>
      </w:pPr>
      <m:oMathPara>
        <m:oMath>
          <m:eqArr>
            <m:eqArrPr>
              <m:maxDist m:val="1"/>
              <m:ctrlPr>
                <w:rPr>
                  <w:rFonts w:ascii="Cambria Math" w:hAnsi="Cambria Math"/>
                  <w:sz w:val="20"/>
                </w:rPr>
              </m:ctrlPr>
            </m:eqArrPr>
            <m:e>
              <m:r>
                <m:rPr>
                  <m:sty m:val="bi"/>
                </m:rPr>
                <w:rPr>
                  <w:rFonts w:ascii="Cambria Math" w:hAnsi="Cambria Math"/>
                  <w:sz w:val="20"/>
                </w:rPr>
                <m:t>v</m:t>
              </m:r>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y</m:t>
                  </m:r>
                </m:e>
                <m:sub>
                  <m:r>
                    <m:rPr>
                      <m:sty m:val="bi"/>
                    </m:rPr>
                    <w:rPr>
                      <w:rFonts w:ascii="Cambria Math" w:hAnsi="Cambria Math"/>
                      <w:sz w:val="20"/>
                    </w:rPr>
                    <m:t>m</m:t>
                  </m:r>
                </m:sub>
              </m:sSub>
              <m:r>
                <m:rPr>
                  <m:sty m:val="b"/>
                </m:rPr>
                <w:rPr>
                  <w:rFonts w:ascii="Cambria Math" w:hAnsi="Cambria Math"/>
                  <w:sz w:val="20"/>
                </w:rPr>
                <m:t>-</m:t>
              </m:r>
              <m:f>
                <m:fPr>
                  <m:ctrlPr>
                    <w:rPr>
                      <w:rFonts w:ascii="Cambria Math" w:hAnsi="Cambria Math"/>
                      <w:sz w:val="20"/>
                    </w:rPr>
                  </m:ctrlPr>
                </m:fPr>
                <m:num>
                  <m:sSub>
                    <m:sSubPr>
                      <m:ctrlPr>
                        <w:rPr>
                          <w:rFonts w:ascii="Cambria Math" w:hAnsi="Cambria Math"/>
                          <w:sz w:val="20"/>
                        </w:rPr>
                      </m:ctrlPr>
                    </m:sSubPr>
                    <m:e>
                      <m:r>
                        <m:rPr>
                          <m:sty m:val="bi"/>
                        </m:rPr>
                        <w:rPr>
                          <w:rFonts w:ascii="Cambria Math" w:hAnsi="Cambria Math"/>
                          <w:sz w:val="20"/>
                        </w:rPr>
                        <m:t>ρ</m:t>
                      </m:r>
                    </m:e>
                    <m:sub>
                      <m:r>
                        <m:rPr>
                          <m:sty m:val="b"/>
                        </m:rPr>
                        <w:rPr>
                          <w:rFonts w:ascii="Cambria Math" w:hAnsi="Cambria Math"/>
                          <w:sz w:val="20"/>
                        </w:rPr>
                        <m:t>0</m:t>
                      </m:r>
                    </m:sub>
                  </m:sSub>
                </m:num>
                <m:den>
                  <m:r>
                    <m:rPr>
                      <m:sty m:val="b"/>
                    </m:rPr>
                    <w:rPr>
                      <w:rFonts w:ascii="Cambria Math" w:hAnsi="Cambria Math"/>
                      <w:sz w:val="20"/>
                    </w:rPr>
                    <m:t>2</m:t>
                  </m:r>
                </m:den>
              </m:f>
              <m:sSubSup>
                <m:sSubSupPr>
                  <m:ctrlPr>
                    <w:rPr>
                      <w:rFonts w:ascii="Cambria Math" w:hAnsi="Cambria Math"/>
                      <w:sz w:val="20"/>
                    </w:rPr>
                  </m:ctrlPr>
                </m:sSubSupPr>
                <m:e>
                  <m:r>
                    <m:rPr>
                      <m:sty m:val="bi"/>
                    </m:rPr>
                    <w:rPr>
                      <w:rFonts w:ascii="Cambria Math" w:hAnsi="Cambria Math"/>
                      <w:sz w:val="20"/>
                    </w:rPr>
                    <m:t>σ</m:t>
                  </m:r>
                  <m:ctrlPr>
                    <w:rPr>
                      <w:rFonts w:ascii="Cambria Math" w:hAnsi="Cambria Math"/>
                      <w:i/>
                      <w:sz w:val="20"/>
                    </w:rPr>
                  </m:ctrlPr>
                </m:e>
                <m:sub>
                  <m:r>
                    <m:rPr>
                      <m:sty m:val="bi"/>
                    </m:rPr>
                    <w:rPr>
                      <w:rFonts w:ascii="Cambria Math" w:hAnsi="Cambria Math"/>
                      <w:sz w:val="20"/>
                    </w:rPr>
                    <m:t>y</m:t>
                  </m:r>
                </m:sub>
                <m:sup>
                  <m:r>
                    <m:rPr>
                      <m:sty m:val="b"/>
                    </m:rPr>
                    <w:rPr>
                      <w:rFonts w:ascii="Cambria Math" w:hAnsi="Cambria Math"/>
                      <w:sz w:val="20"/>
                    </w:rPr>
                    <m:t>2</m:t>
                  </m:r>
                </m:sup>
              </m:sSubSup>
              <m:r>
                <m:rPr>
                  <m:sty m:val="bi"/>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22</m:t>
                  </m:r>
                  <m:r>
                    <m:rPr>
                      <m:sty m:val="b"/>
                    </m:rPr>
                    <w:rPr>
                      <w:rFonts w:ascii="Cambria Math" w:hAnsi="Cambria Math"/>
                      <w:sz w:val="20"/>
                    </w:rPr>
                    <w:fldChar w:fldCharType="end"/>
                  </m:r>
                </m:e>
              </m:d>
              <m:ctrlPr>
                <w:rPr>
                  <w:rFonts w:ascii="Cambria Math" w:hAnsi="Cambria Math"/>
                  <w:i/>
                  <w:sz w:val="20"/>
                </w:rPr>
              </m:ctrlPr>
            </m:e>
          </m:eqArr>
        </m:oMath>
      </m:oMathPara>
    </w:p>
    <w:p w14:paraId="5CE8DC07" w14:textId="64129D6C" w:rsidR="006E0887" w:rsidRPr="00FD34C9" w:rsidRDefault="00000000" w:rsidP="00FD34C9">
      <w:pPr>
        <w:pStyle w:val="Caption"/>
        <w:rPr>
          <w:sz w:val="20"/>
        </w:rPr>
      </w:pPr>
      <m:oMathPara>
        <m:oMath>
          <m:eqArr>
            <m:eqArrPr>
              <m:maxDist m:val="1"/>
              <m:ctrlPr>
                <w:rPr>
                  <w:rFonts w:ascii="Cambria Math" w:hAnsi="Cambria Math"/>
                  <w:sz w:val="20"/>
                </w:rPr>
              </m:ctrlPr>
            </m:eqArrPr>
            <m:e>
              <m:sSub>
                <m:sSubPr>
                  <m:ctrlPr>
                    <w:rPr>
                      <w:rFonts w:ascii="Cambria Math" w:hAnsi="Cambria Math"/>
                      <w:sz w:val="20"/>
                    </w:rPr>
                  </m:ctrlPr>
                </m:sSubPr>
                <m:e>
                  <m:r>
                    <m:rPr>
                      <m:sty m:val="bi"/>
                    </m:rPr>
                    <w:rPr>
                      <w:rFonts w:ascii="Cambria Math" w:hAnsi="Cambria Math"/>
                      <w:sz w:val="20"/>
                    </w:rPr>
                    <m:t>σ</m:t>
                  </m:r>
                  <m:ctrlPr>
                    <w:rPr>
                      <w:rFonts w:ascii="Cambria Math" w:hAnsi="Cambria Math"/>
                      <w:i/>
                      <w:sz w:val="20"/>
                    </w:rPr>
                  </m:ctrlPr>
                </m:e>
                <m:sub>
                  <m:r>
                    <m:rPr>
                      <m:sty m:val="bi"/>
                    </m:rPr>
                    <w:rPr>
                      <w:rFonts w:ascii="Cambria Math" w:hAnsi="Cambria Math"/>
                      <w:sz w:val="20"/>
                    </w:rPr>
                    <m:t>y</m:t>
                  </m:r>
                </m:sub>
              </m:sSub>
              <m:r>
                <m:rPr>
                  <m:sty m:val="b"/>
                </m:rPr>
                <w:rPr>
                  <w:rFonts w:ascii="Cambria Math" w:hAnsi="Cambria Math"/>
                  <w:sz w:val="20"/>
                </w:rPr>
                <m:t>=</m:t>
              </m:r>
              <m:f>
                <m:fPr>
                  <m:ctrlPr>
                    <w:rPr>
                      <w:rFonts w:ascii="Cambria Math" w:hAnsi="Cambria Math"/>
                      <w:sz w:val="20"/>
                    </w:rPr>
                  </m:ctrlPr>
                </m:fPr>
                <m:num>
                  <m:sSub>
                    <m:sSubPr>
                      <m:ctrlPr>
                        <w:rPr>
                          <w:rFonts w:ascii="Cambria Math" w:hAnsi="Cambria Math"/>
                          <w:sz w:val="20"/>
                        </w:rPr>
                      </m:ctrlPr>
                    </m:sSubPr>
                    <m:e>
                      <m:r>
                        <m:rPr>
                          <m:sty m:val="bi"/>
                        </m:rPr>
                        <w:rPr>
                          <w:rFonts w:ascii="Cambria Math" w:hAnsi="Cambria Math"/>
                          <w:sz w:val="20"/>
                        </w:rPr>
                        <m:t>y</m:t>
                      </m:r>
                    </m:e>
                    <m:sub>
                      <m:r>
                        <m:rPr>
                          <m:sty m:val="bi"/>
                        </m:rPr>
                        <w:rPr>
                          <w:rFonts w:ascii="Cambria Math" w:hAnsi="Cambria Math"/>
                          <w:sz w:val="20"/>
                        </w:rPr>
                        <m:t>c</m:t>
                      </m:r>
                    </m:sub>
                  </m:sSub>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y</m:t>
                      </m:r>
                    </m:e>
                    <m:sub>
                      <m:r>
                        <m:rPr>
                          <m:sty m:val="bi"/>
                        </m:rPr>
                        <w:rPr>
                          <w:rFonts w:ascii="Cambria Math" w:hAnsi="Cambria Math"/>
                          <w:sz w:val="20"/>
                        </w:rPr>
                        <m:t>m</m:t>
                      </m:r>
                    </m:sub>
                  </m:sSub>
                </m:num>
                <m:den>
                  <m:sSup>
                    <m:sSupPr>
                      <m:ctrlPr>
                        <w:rPr>
                          <w:rFonts w:ascii="Cambria Math" w:hAnsi="Cambria Math"/>
                          <w:sz w:val="20"/>
                        </w:rPr>
                      </m:ctrlPr>
                    </m:sSupPr>
                    <m:e>
                      <m:r>
                        <m:rPr>
                          <m:sty m:val="b"/>
                        </m:rPr>
                        <w:rPr>
                          <w:rFonts w:ascii="Cambria Math" w:hAnsi="Cambria Math"/>
                          <w:sz w:val="20"/>
                        </w:rPr>
                        <m:t>Φ</m:t>
                      </m:r>
                    </m:e>
                    <m:sup>
                      <m:r>
                        <m:rPr>
                          <m:sty m:val="b"/>
                        </m:rPr>
                        <w:rPr>
                          <w:rFonts w:ascii="Cambria Math" w:hAnsi="Cambria Math"/>
                          <w:sz w:val="20"/>
                        </w:rPr>
                        <m:t>-1</m:t>
                      </m:r>
                    </m:sup>
                  </m:sSup>
                  <m:d>
                    <m:dPr>
                      <m:ctrlPr>
                        <w:rPr>
                          <w:rFonts w:ascii="Cambria Math" w:hAnsi="Cambria Math"/>
                          <w:sz w:val="20"/>
                        </w:rPr>
                      </m:ctrlPr>
                    </m:dPr>
                    <m:e>
                      <m:r>
                        <m:rPr>
                          <m:sty m:val="bi"/>
                        </m:rPr>
                        <w:rPr>
                          <w:rFonts w:ascii="Cambria Math" w:hAnsi="Cambria Math"/>
                          <w:sz w:val="20"/>
                        </w:rPr>
                        <m:t>c</m:t>
                      </m:r>
                    </m:e>
                  </m:d>
                </m:den>
              </m:f>
              <m:r>
                <m:rPr>
                  <m:sty m:val="bi"/>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23</m:t>
                  </m:r>
                  <m:r>
                    <m:rPr>
                      <m:sty m:val="b"/>
                    </m:rPr>
                    <w:rPr>
                      <w:rFonts w:ascii="Cambria Math" w:hAnsi="Cambria Math"/>
                      <w:sz w:val="20"/>
                    </w:rPr>
                    <w:fldChar w:fldCharType="end"/>
                  </m:r>
                </m:e>
              </m:d>
              <m:ctrlPr>
                <w:rPr>
                  <w:rFonts w:ascii="Cambria Math" w:hAnsi="Cambria Math"/>
                  <w:i/>
                  <w:sz w:val="20"/>
                </w:rPr>
              </m:ctrlPr>
            </m:e>
          </m:eqArr>
        </m:oMath>
      </m:oMathPara>
    </w:p>
    <w:p w14:paraId="2F654F32" w14:textId="3863E51B" w:rsidR="00FD34C9" w:rsidRPr="00FD34C9" w:rsidRDefault="00000000" w:rsidP="00FD34C9">
      <w:pPr>
        <w:pStyle w:val="Caption"/>
        <w:rPr>
          <w:sz w:val="20"/>
        </w:rPr>
      </w:pPr>
      <m:oMathPara>
        <m:oMath>
          <m:eqArr>
            <m:eqArrPr>
              <m:maxDist m:val="1"/>
              <m:ctrlPr>
                <w:rPr>
                  <w:rFonts w:ascii="Cambria Math" w:hAnsi="Cambria Math"/>
                  <w:sz w:val="20"/>
                </w:rPr>
              </m:ctrlPr>
            </m:eqArrPr>
            <m:e>
              <m:r>
                <m:rPr>
                  <m:sty m:val="bi"/>
                </m:rPr>
                <w:rPr>
                  <w:rFonts w:ascii="Cambria Math" w:hAnsi="Cambria Math"/>
                  <w:sz w:val="20"/>
                </w:rPr>
                <m:t>v</m:t>
              </m:r>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y</m:t>
                  </m:r>
                </m:e>
                <m:sub>
                  <m:r>
                    <m:rPr>
                      <m:sty m:val="bi"/>
                    </m:rPr>
                    <w:rPr>
                      <w:rFonts w:ascii="Cambria Math" w:hAnsi="Cambria Math"/>
                      <w:sz w:val="20"/>
                    </w:rPr>
                    <m:t>m</m:t>
                  </m:r>
                </m:sub>
              </m:sSub>
              <m:r>
                <m:rPr>
                  <m:sty m:val="b"/>
                </m:rPr>
                <w:rPr>
                  <w:rFonts w:ascii="Cambria Math" w:hAnsi="Cambria Math"/>
                  <w:sz w:val="20"/>
                </w:rPr>
                <m:t>-</m:t>
              </m:r>
              <m:f>
                <m:fPr>
                  <m:ctrlPr>
                    <w:rPr>
                      <w:rFonts w:ascii="Cambria Math" w:hAnsi="Cambria Math"/>
                      <w:sz w:val="20"/>
                    </w:rPr>
                  </m:ctrlPr>
                </m:fPr>
                <m:num>
                  <m:r>
                    <m:rPr>
                      <m:sty m:val="b"/>
                    </m:rPr>
                    <w:rPr>
                      <w:rFonts w:ascii="Cambria Math" w:hAnsi="Cambria Math"/>
                      <w:sz w:val="20"/>
                    </w:rPr>
                    <m:t>1</m:t>
                  </m:r>
                </m:num>
                <m:den>
                  <m:r>
                    <m:rPr>
                      <m:sty m:val="b"/>
                    </m:rPr>
                    <w:rPr>
                      <w:rFonts w:ascii="Cambria Math" w:hAnsi="Cambria Math"/>
                      <w:sz w:val="20"/>
                    </w:rPr>
                    <m:t>2</m:t>
                  </m:r>
                </m:den>
              </m:f>
              <m:f>
                <m:fPr>
                  <m:ctrlPr>
                    <w:rPr>
                      <w:rFonts w:ascii="Cambria Math" w:hAnsi="Cambria Math"/>
                      <w:sz w:val="20"/>
                    </w:rPr>
                  </m:ctrlPr>
                </m:fPr>
                <m:num>
                  <m:sSub>
                    <m:sSubPr>
                      <m:ctrlPr>
                        <w:rPr>
                          <w:rFonts w:ascii="Cambria Math" w:hAnsi="Cambria Math"/>
                          <w:sz w:val="20"/>
                        </w:rPr>
                      </m:ctrlPr>
                    </m:sSubPr>
                    <m:e>
                      <m:r>
                        <m:rPr>
                          <m:sty m:val="bi"/>
                        </m:rPr>
                        <w:rPr>
                          <w:rFonts w:ascii="Cambria Math" w:hAnsi="Cambria Math"/>
                          <w:sz w:val="20"/>
                        </w:rPr>
                        <m:t>ρ</m:t>
                      </m:r>
                    </m:e>
                    <m:sub>
                      <m:r>
                        <m:rPr>
                          <m:sty m:val="b"/>
                        </m:rPr>
                        <w:rPr>
                          <w:rFonts w:ascii="Cambria Math" w:hAnsi="Cambria Math"/>
                          <w:sz w:val="20"/>
                        </w:rPr>
                        <m:t>0</m:t>
                      </m:r>
                    </m:sub>
                  </m:sSub>
                </m:num>
                <m:den>
                  <m:sSup>
                    <m:sSupPr>
                      <m:ctrlPr>
                        <w:rPr>
                          <w:rFonts w:ascii="Cambria Math" w:hAnsi="Cambria Math"/>
                          <w:sz w:val="20"/>
                        </w:rPr>
                      </m:ctrlPr>
                    </m:sSupPr>
                    <m:e>
                      <m:d>
                        <m:dPr>
                          <m:ctrlPr>
                            <w:rPr>
                              <w:rFonts w:ascii="Cambria Math" w:hAnsi="Cambria Math"/>
                              <w:sz w:val="20"/>
                            </w:rPr>
                          </m:ctrlPr>
                        </m:dPr>
                        <m:e>
                          <m:sSup>
                            <m:sSupPr>
                              <m:ctrlPr>
                                <w:rPr>
                                  <w:rFonts w:ascii="Cambria Math" w:hAnsi="Cambria Math"/>
                                  <w:sz w:val="20"/>
                                </w:rPr>
                              </m:ctrlPr>
                            </m:sSupPr>
                            <m:e>
                              <m:r>
                                <m:rPr>
                                  <m:sty m:val="b"/>
                                </m:rPr>
                                <w:rPr>
                                  <w:rFonts w:ascii="Cambria Math" w:hAnsi="Cambria Math"/>
                                  <w:sz w:val="20"/>
                                </w:rPr>
                                <m:t>Φ</m:t>
                              </m:r>
                            </m:e>
                            <m:sup>
                              <m:r>
                                <m:rPr>
                                  <m:sty m:val="b"/>
                                </m:rPr>
                                <w:rPr>
                                  <w:rFonts w:ascii="Cambria Math" w:hAnsi="Cambria Math"/>
                                  <w:sz w:val="20"/>
                                </w:rPr>
                                <m:t>-1</m:t>
                              </m:r>
                            </m:sup>
                          </m:sSup>
                          <m:d>
                            <m:dPr>
                              <m:ctrlPr>
                                <w:rPr>
                                  <w:rFonts w:ascii="Cambria Math" w:hAnsi="Cambria Math"/>
                                  <w:sz w:val="20"/>
                                </w:rPr>
                              </m:ctrlPr>
                            </m:dPr>
                            <m:e>
                              <m:r>
                                <m:rPr>
                                  <m:sty m:val="bi"/>
                                </m:rPr>
                                <w:rPr>
                                  <w:rFonts w:ascii="Cambria Math" w:hAnsi="Cambria Math"/>
                                  <w:sz w:val="20"/>
                                </w:rPr>
                                <m:t>c</m:t>
                              </m:r>
                            </m:e>
                          </m:d>
                        </m:e>
                      </m:d>
                    </m:e>
                    <m:sup>
                      <m:r>
                        <m:rPr>
                          <m:sty m:val="b"/>
                        </m:rPr>
                        <w:rPr>
                          <w:rFonts w:ascii="Cambria Math" w:hAnsi="Cambria Math"/>
                          <w:sz w:val="20"/>
                        </w:rPr>
                        <m:t>2</m:t>
                      </m:r>
                    </m:sup>
                  </m:sSup>
                </m:den>
              </m:f>
              <m:sSup>
                <m:sSupPr>
                  <m:ctrlPr>
                    <w:rPr>
                      <w:rFonts w:ascii="Cambria Math" w:hAnsi="Cambria Math"/>
                      <w:sz w:val="20"/>
                    </w:rPr>
                  </m:ctrlPr>
                </m:sSupPr>
                <m:e>
                  <m:d>
                    <m:dPr>
                      <m:ctrlPr>
                        <w:rPr>
                          <w:rFonts w:ascii="Cambria Math" w:hAnsi="Cambria Math"/>
                          <w:sz w:val="20"/>
                        </w:rPr>
                      </m:ctrlPr>
                    </m:dPr>
                    <m:e>
                      <m:sSub>
                        <m:sSubPr>
                          <m:ctrlPr>
                            <w:rPr>
                              <w:rFonts w:ascii="Cambria Math" w:hAnsi="Cambria Math"/>
                              <w:sz w:val="20"/>
                            </w:rPr>
                          </m:ctrlPr>
                        </m:sSubPr>
                        <m:e>
                          <m:r>
                            <m:rPr>
                              <m:sty m:val="bi"/>
                            </m:rPr>
                            <w:rPr>
                              <w:rFonts w:ascii="Cambria Math" w:hAnsi="Cambria Math"/>
                              <w:sz w:val="20"/>
                            </w:rPr>
                            <m:t>y</m:t>
                          </m:r>
                        </m:e>
                        <m:sub>
                          <m:r>
                            <m:rPr>
                              <m:sty m:val="bi"/>
                            </m:rPr>
                            <w:rPr>
                              <w:rFonts w:ascii="Cambria Math" w:hAnsi="Cambria Math"/>
                              <w:sz w:val="20"/>
                            </w:rPr>
                            <m:t>c</m:t>
                          </m:r>
                        </m:sub>
                      </m:sSub>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y</m:t>
                          </m:r>
                        </m:e>
                        <m:sub>
                          <m:r>
                            <m:rPr>
                              <m:sty m:val="bi"/>
                            </m:rPr>
                            <w:rPr>
                              <w:rFonts w:ascii="Cambria Math" w:hAnsi="Cambria Math"/>
                              <w:sz w:val="20"/>
                            </w:rPr>
                            <m:t>m</m:t>
                          </m:r>
                        </m:sub>
                      </m:sSub>
                    </m:e>
                  </m:d>
                </m:e>
                <m:sup>
                  <m:r>
                    <m:rPr>
                      <m:sty m:val="b"/>
                    </m:rPr>
                    <w:rPr>
                      <w:rFonts w:ascii="Cambria Math" w:hAnsi="Cambria Math"/>
                      <w:sz w:val="20"/>
                    </w:rPr>
                    <m:t>2</m:t>
                  </m:r>
                </m:sup>
              </m:sSup>
              <m:r>
                <m:rPr>
                  <m:sty m:val="bi"/>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24</m:t>
                  </m:r>
                  <m:r>
                    <m:rPr>
                      <m:sty m:val="b"/>
                    </m:rPr>
                    <w:rPr>
                      <w:rFonts w:ascii="Cambria Math" w:hAnsi="Cambria Math"/>
                      <w:sz w:val="20"/>
                    </w:rPr>
                    <w:fldChar w:fldCharType="end"/>
                  </m:r>
                </m:e>
              </m:d>
              <m:ctrlPr>
                <w:rPr>
                  <w:rFonts w:ascii="Cambria Math" w:hAnsi="Cambria Math"/>
                  <w:i/>
                  <w:sz w:val="20"/>
                </w:rPr>
              </m:ctrlPr>
            </m:e>
          </m:eqArr>
        </m:oMath>
      </m:oMathPara>
    </w:p>
    <w:p w14:paraId="027E14E7" w14:textId="77777777" w:rsidR="006E0887" w:rsidRPr="00FD34C9" w:rsidRDefault="006E0887" w:rsidP="0079094E">
      <w:pPr>
        <w:ind w:firstLine="284"/>
      </w:pPr>
      <w:r w:rsidRPr="00FD34C9">
        <w:lastRenderedPageBreak/>
        <w:t xml:space="preserve">Finally, by reordering some terms and assigning </w:t>
      </w:r>
      <m:oMath>
        <m:r>
          <w:rPr>
            <w:rFonts w:ascii="Cambria Math" w:hAnsi="Cambria Math"/>
          </w:rPr>
          <m:t>w</m:t>
        </m:r>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ρ</m:t>
                    </m:r>
                  </m:e>
                  <m:sub>
                    <m:r>
                      <m:rPr>
                        <m:sty m:val="p"/>
                      </m:rPr>
                      <w:rPr>
                        <w:rFonts w:ascii="Cambria Math" w:hAnsi="Cambria Math"/>
                      </w:rPr>
                      <m:t>0</m:t>
                    </m:r>
                  </m:sub>
                </m:sSub>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p"/>
                              </m:rPr>
                              <w:rPr>
                                <w:rFonts w:ascii="Cambria Math" w:hAnsi="Cambria Math"/>
                              </w:rPr>
                              <m:t>Φ</m:t>
                            </m:r>
                          </m:e>
                          <m:sup>
                            <m:r>
                              <m:rPr>
                                <m:sty m:val="p"/>
                              </m:rPr>
                              <w:rPr>
                                <w:rFonts w:ascii="Cambria Math" w:hAnsi="Cambria Math"/>
                              </w:rPr>
                              <m:t>-1</m:t>
                            </m:r>
                          </m:sup>
                        </m:sSup>
                        <m:d>
                          <m:dPr>
                            <m:ctrlPr>
                              <w:rPr>
                                <w:rFonts w:ascii="Cambria Math" w:hAnsi="Cambria Math"/>
                              </w:rPr>
                            </m:ctrlPr>
                          </m:dPr>
                          <m:e>
                            <m:r>
                              <w:rPr>
                                <w:rFonts w:ascii="Cambria Math" w:hAnsi="Cambria Math"/>
                              </w:rPr>
                              <m:t>c</m:t>
                            </m:r>
                          </m:e>
                        </m:d>
                      </m:e>
                    </m:d>
                  </m:e>
                  <m:sup>
                    <m:r>
                      <m:rPr>
                        <m:sty m:val="p"/>
                      </m:rPr>
                      <w:rPr>
                        <w:rFonts w:ascii="Cambria Math" w:hAnsi="Cambria Math"/>
                      </w:rPr>
                      <m:t>2</m:t>
                    </m:r>
                  </m:sup>
                </m:sSup>
              </m:den>
            </m:f>
          </m:e>
        </m:d>
      </m:oMath>
      <w:r w:rsidRPr="00FD34C9">
        <w:t>, which we can interpret as the aversion for financial instability, we derive the social welfare function proposed by Suarez:</w:t>
      </w:r>
    </w:p>
    <w:p w14:paraId="39C0AE0A" w14:textId="6D9FC3FE" w:rsidR="00FD34C9" w:rsidRPr="00FD34C9" w:rsidRDefault="00000000" w:rsidP="00FD34C9">
      <w:pPr>
        <w:pStyle w:val="Caption"/>
        <w:rPr>
          <w:sz w:val="20"/>
        </w:rPr>
      </w:pPr>
      <m:oMathPara>
        <m:oMath>
          <m:eqArr>
            <m:eqArrPr>
              <m:maxDist m:val="1"/>
              <m:ctrlPr>
                <w:rPr>
                  <w:rFonts w:ascii="Cambria Math" w:hAnsi="Cambria Math"/>
                  <w:sz w:val="20"/>
                </w:rPr>
              </m:ctrlPr>
            </m:eqArrPr>
            <m:e>
              <m:r>
                <m:rPr>
                  <m:sty m:val="bi"/>
                </m:rPr>
                <w:rPr>
                  <w:rFonts w:ascii="Cambria Math" w:hAnsi="Cambria Math"/>
                  <w:sz w:val="20"/>
                </w:rPr>
                <m:t>W</m:t>
              </m:r>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y</m:t>
                  </m:r>
                </m:e>
                <m:sub>
                  <m:r>
                    <m:rPr>
                      <m:sty m:val="bi"/>
                    </m:rPr>
                    <w:rPr>
                      <w:rFonts w:ascii="Cambria Math" w:hAnsi="Cambria Math"/>
                      <w:sz w:val="20"/>
                    </w:rPr>
                    <m:t>m</m:t>
                  </m:r>
                </m:sub>
              </m:sSub>
              <m:r>
                <m:rPr>
                  <m:sty m:val="b"/>
                </m:rPr>
                <w:rPr>
                  <w:rFonts w:ascii="Cambria Math" w:hAnsi="Cambria Math"/>
                  <w:sz w:val="20"/>
                </w:rPr>
                <m:t>-</m:t>
              </m:r>
              <m:f>
                <m:fPr>
                  <m:ctrlPr>
                    <w:rPr>
                      <w:rFonts w:ascii="Cambria Math" w:hAnsi="Cambria Math"/>
                      <w:sz w:val="20"/>
                    </w:rPr>
                  </m:ctrlPr>
                </m:fPr>
                <m:num>
                  <m:r>
                    <m:rPr>
                      <m:sty m:val="b"/>
                    </m:rPr>
                    <w:rPr>
                      <w:rFonts w:ascii="Cambria Math" w:hAnsi="Cambria Math"/>
                      <w:sz w:val="20"/>
                    </w:rPr>
                    <m:t>1</m:t>
                  </m:r>
                </m:num>
                <m:den>
                  <m:r>
                    <m:rPr>
                      <m:sty m:val="b"/>
                    </m:rPr>
                    <w:rPr>
                      <w:rFonts w:ascii="Cambria Math" w:hAnsi="Cambria Math"/>
                      <w:sz w:val="20"/>
                    </w:rPr>
                    <m:t>2</m:t>
                  </m:r>
                </m:den>
              </m:f>
              <m:r>
                <m:rPr>
                  <m:sty m:val="bi"/>
                </m:rPr>
                <w:rPr>
                  <w:rFonts w:ascii="Cambria Math" w:hAnsi="Cambria Math"/>
                  <w:sz w:val="20"/>
                </w:rPr>
                <m:t>w</m:t>
              </m:r>
              <m:sSup>
                <m:sSupPr>
                  <m:ctrlPr>
                    <w:rPr>
                      <w:rFonts w:ascii="Cambria Math" w:hAnsi="Cambria Math"/>
                      <w:sz w:val="20"/>
                    </w:rPr>
                  </m:ctrlPr>
                </m:sSupPr>
                <m:e>
                  <m:d>
                    <m:dPr>
                      <m:ctrlPr>
                        <w:rPr>
                          <w:rFonts w:ascii="Cambria Math" w:hAnsi="Cambria Math"/>
                          <w:sz w:val="20"/>
                        </w:rPr>
                      </m:ctrlPr>
                    </m:dPr>
                    <m:e>
                      <m:sSub>
                        <m:sSubPr>
                          <m:ctrlPr>
                            <w:rPr>
                              <w:rFonts w:ascii="Cambria Math" w:hAnsi="Cambria Math"/>
                              <w:sz w:val="20"/>
                            </w:rPr>
                          </m:ctrlPr>
                        </m:sSubPr>
                        <m:e>
                          <m:r>
                            <m:rPr>
                              <m:sty m:val="bi"/>
                            </m:rPr>
                            <w:rPr>
                              <w:rFonts w:ascii="Cambria Math" w:hAnsi="Cambria Math"/>
                              <w:sz w:val="20"/>
                            </w:rPr>
                            <m:t>y</m:t>
                          </m:r>
                        </m:e>
                        <m:sub>
                          <m:r>
                            <m:rPr>
                              <m:sty m:val="bi"/>
                            </m:rPr>
                            <w:rPr>
                              <w:rFonts w:ascii="Cambria Math" w:hAnsi="Cambria Math"/>
                              <w:sz w:val="20"/>
                            </w:rPr>
                            <m:t>m</m:t>
                          </m:r>
                        </m:sub>
                      </m:sSub>
                      <m:r>
                        <m:rPr>
                          <m:sty m:val="b"/>
                        </m:rPr>
                        <w:rPr>
                          <w:rFonts w:ascii="Cambria Math" w:hAnsi="Cambria Math"/>
                          <w:sz w:val="20"/>
                        </w:rPr>
                        <m:t>-</m:t>
                      </m:r>
                      <m:sSub>
                        <m:sSubPr>
                          <m:ctrlPr>
                            <w:rPr>
                              <w:rFonts w:ascii="Cambria Math" w:hAnsi="Cambria Math"/>
                              <w:sz w:val="20"/>
                            </w:rPr>
                          </m:ctrlPr>
                        </m:sSubPr>
                        <m:e>
                          <m:r>
                            <m:rPr>
                              <m:sty m:val="bi"/>
                            </m:rPr>
                            <w:rPr>
                              <w:rFonts w:ascii="Cambria Math" w:hAnsi="Cambria Math"/>
                              <w:sz w:val="20"/>
                            </w:rPr>
                            <m:t>y</m:t>
                          </m:r>
                        </m:e>
                        <m:sub>
                          <m:r>
                            <m:rPr>
                              <m:sty m:val="bi"/>
                            </m:rPr>
                            <w:rPr>
                              <w:rFonts w:ascii="Cambria Math" w:hAnsi="Cambria Math"/>
                              <w:sz w:val="20"/>
                            </w:rPr>
                            <m:t>c</m:t>
                          </m:r>
                        </m:sub>
                      </m:sSub>
                    </m:e>
                  </m:d>
                </m:e>
                <m:sup>
                  <m:r>
                    <m:rPr>
                      <m:sty m:val="b"/>
                    </m:rPr>
                    <w:rPr>
                      <w:rFonts w:ascii="Cambria Math" w:hAnsi="Cambria Math"/>
                      <w:sz w:val="20"/>
                    </w:rPr>
                    <m:t>2</m:t>
                  </m:r>
                </m:sup>
              </m:sSup>
              <m:r>
                <m:rPr>
                  <m:sty m:val="bi"/>
                </m:rPr>
                <w:rPr>
                  <w:rFonts w:ascii="Cambria Math" w:hAnsi="Cambria Math"/>
                  <w:sz w:val="20"/>
                </w:rPr>
                <m:t>#</m:t>
              </m:r>
              <m:d>
                <m:dPr>
                  <m:ctrlPr>
                    <w:rPr>
                      <w:rFonts w:ascii="Cambria Math" w:hAnsi="Cambria Math"/>
                      <w:sz w:val="20"/>
                    </w:rPr>
                  </m:ctrlPr>
                </m:dPr>
                <m:e>
                  <m:r>
                    <m:rPr>
                      <m:sty m:val="b"/>
                    </m:rPr>
                    <w:rPr>
                      <w:rFonts w:ascii="Cambria Math" w:hAnsi="Cambria Math"/>
                      <w:sz w:val="20"/>
                    </w:rPr>
                    <w:fldChar w:fldCharType="begin"/>
                  </m:r>
                  <m:r>
                    <m:rPr>
                      <m:sty m:val="b"/>
                    </m:rPr>
                    <w:rPr>
                      <w:rFonts w:ascii="Cambria Math" w:hAnsi="Cambria Math"/>
                      <w:sz w:val="20"/>
                    </w:rPr>
                    <m:t xml:space="preserve"> SEQ Equation \* ARABIC </m:t>
                  </m:r>
                  <m:r>
                    <m:rPr>
                      <m:sty m:val="b"/>
                    </m:rPr>
                    <w:rPr>
                      <w:rFonts w:ascii="Cambria Math" w:hAnsi="Cambria Math"/>
                      <w:sz w:val="20"/>
                    </w:rPr>
                    <w:fldChar w:fldCharType="separate"/>
                  </m:r>
                  <m:r>
                    <m:rPr>
                      <m:sty m:val="b"/>
                    </m:rPr>
                    <w:rPr>
                      <w:rFonts w:ascii="Cambria Math" w:hAnsi="Cambria Math"/>
                      <w:noProof/>
                      <w:sz w:val="20"/>
                    </w:rPr>
                    <m:t>25</m:t>
                  </m:r>
                  <m:r>
                    <m:rPr>
                      <m:sty m:val="b"/>
                    </m:rPr>
                    <w:rPr>
                      <w:rFonts w:ascii="Cambria Math" w:hAnsi="Cambria Math"/>
                      <w:sz w:val="20"/>
                    </w:rPr>
                    <w:fldChar w:fldCharType="end"/>
                  </m:r>
                </m:e>
              </m:d>
              <m:ctrlPr>
                <w:rPr>
                  <w:rFonts w:ascii="Cambria Math" w:hAnsi="Cambria Math"/>
                  <w:i/>
                  <w:sz w:val="20"/>
                </w:rPr>
              </m:ctrlPr>
            </m:e>
          </m:eqArr>
        </m:oMath>
      </m:oMathPara>
    </w:p>
    <w:p w14:paraId="33C0BEC0" w14:textId="60F39ABD" w:rsidR="008462E8" w:rsidRPr="00FD34C9" w:rsidRDefault="006E0887" w:rsidP="0079094E">
      <w:pPr>
        <w:ind w:firstLine="284"/>
      </w:pPr>
      <w:r w:rsidRPr="00FD34C9">
        <w:t xml:space="preserve">The limitations of this function are embedded in its assumptions. Since most GDP growth distributions aren’t normally distributed this makes the function sensitive choice of quantile c. Additionally, even if the c is chosen correctly, the value for </w:t>
      </w:r>
      <m:oMath>
        <m:sSub>
          <m:sSubPr>
            <m:ctrlPr>
              <w:rPr>
                <w:rFonts w:ascii="Cambria Math" w:hAnsi="Cambria Math"/>
              </w:rPr>
            </m:ctrlPr>
          </m:sSubPr>
          <m:e>
            <m:r>
              <w:rPr>
                <w:rFonts w:ascii="Cambria Math" w:hAnsi="Cambria Math"/>
              </w:rPr>
              <m:t>ρ</m:t>
            </m:r>
          </m:e>
          <m:sub>
            <m:r>
              <m:rPr>
                <m:sty m:val="p"/>
              </m:rPr>
              <w:rPr>
                <w:rFonts w:ascii="Cambria Math" w:hAnsi="Cambria Math"/>
              </w:rPr>
              <m:t>0</m:t>
            </m:r>
          </m:sub>
        </m:sSub>
      </m:oMath>
      <w:r w:rsidRPr="00FD34C9">
        <w:t xml:space="preserve"> and consequently is up to the policy maker. Nevertheless, this function can still serve as a good basis for policy recommendations since it offers a means to perform a cost-benefit analysis for the effects of macroprudential policy.</w:t>
      </w:r>
    </w:p>
    <w:p w14:paraId="3C7998BE" w14:textId="1FE57416" w:rsidR="00FB098A" w:rsidRDefault="00FB098A" w:rsidP="00FB098A">
      <w:pPr>
        <w:rPr>
          <w:b/>
        </w:rPr>
      </w:pPr>
      <w:r w:rsidRPr="00FB098A">
        <w:rPr>
          <w:b/>
        </w:rPr>
        <w:t>Appendix</w:t>
      </w:r>
      <w:r>
        <w:rPr>
          <w:b/>
        </w:rPr>
        <w:t xml:space="preserve"> B: </w:t>
      </w:r>
      <w:r w:rsidRPr="00FB098A">
        <w:rPr>
          <w:b/>
        </w:rPr>
        <w:t>Additional Panel and local model estimation results</w:t>
      </w:r>
    </w:p>
    <w:p w14:paraId="6C57559E" w14:textId="2777BC8B" w:rsidR="00FB098A" w:rsidRDefault="00FB098A" w:rsidP="00FB098A">
      <w:pPr>
        <w:rPr>
          <w:b/>
        </w:rPr>
      </w:pPr>
      <w:r w:rsidRPr="00FB098A">
        <w:rPr>
          <w:b/>
        </w:rPr>
        <w:t>B1. Panel model estimation results</w:t>
      </w:r>
    </w:p>
    <w:p w14:paraId="53947DBE" w14:textId="6ACEDC5E" w:rsidR="00DB3118" w:rsidRDefault="00DB3118" w:rsidP="00FB098A">
      <w:pPr>
        <w:rPr>
          <w:bCs/>
        </w:rPr>
      </w:pPr>
      <w:r>
        <w:rPr>
          <w:bCs/>
        </w:rPr>
        <w:t xml:space="preserve">The full list of countries used in the panel estimation includes </w:t>
      </w:r>
      <w:r w:rsidRPr="00DB3118">
        <w:rPr>
          <w:bCs/>
        </w:rPr>
        <w:t>Armenia, Australia, Austria, Belgium, Brazil, Chile, Colombia, Croatia, Czech Republic, Denmark, Finland, France, Georgia, Germany, Greece, Hong Kong, China, Hungary, Iceland, India, Ireland, Israel, Italy, Japan, Korea, Republic of, Mexico, Netherlands, New Zealand, Norway, Philippines, Poland, Portugal, Romania, Russian Federation, Singapore, Spain, Sweden, Switzerland, Thailand, Türkiye, United Kingdom</w:t>
      </w:r>
      <w:r>
        <w:rPr>
          <w:bCs/>
        </w:rPr>
        <w:t xml:space="preserve"> and </w:t>
      </w:r>
      <w:r w:rsidRPr="00DB3118">
        <w:rPr>
          <w:bCs/>
        </w:rPr>
        <w:t>United States</w:t>
      </w:r>
      <w:r>
        <w:rPr>
          <w:bCs/>
        </w:rPr>
        <w:t>.</w:t>
      </w:r>
    </w:p>
    <w:p w14:paraId="3E4E1229" w14:textId="03AF5E9F" w:rsidR="002A6D9E" w:rsidRDefault="002A6D9E" w:rsidP="002A6D9E">
      <w:pPr>
        <w:pStyle w:val="Caption"/>
        <w:keepNext/>
        <w:spacing w:after="0"/>
        <w:jc w:val="left"/>
      </w:pPr>
      <w:r>
        <w:t xml:space="preserve">Table </w:t>
      </w:r>
      <w:fldSimple w:instr=" SEQ Table \* ARABIC ">
        <w:r>
          <w:rPr>
            <w:noProof/>
          </w:rPr>
          <w:t>1</w:t>
        </w:r>
      </w:fldSimple>
      <w:r>
        <w:t xml:space="preserve">. </w:t>
      </w:r>
      <w:r w:rsidRPr="00990C96">
        <w:t xml:space="preserve">In sample </w:t>
      </w:r>
      <w:r w:rsidR="00DB3118">
        <w:t>panel</w:t>
      </w:r>
      <w:r w:rsidR="00DB3118" w:rsidRPr="00990C96">
        <w:t xml:space="preserve"> </w:t>
      </w:r>
      <w:r w:rsidRPr="00990C96">
        <w:t>quantile regression coefficients</w:t>
      </w:r>
    </w:p>
    <w:tbl>
      <w:tblPr>
        <w:tblpPr w:leftFromText="3969" w:rightFromText="3969" w:bottomFromText="284" w:vertAnchor="text" w:tblpY="1"/>
        <w:tblOverlap w:val="never"/>
        <w:tblW w:w="6658" w:type="dxa"/>
        <w:tblLook w:val="04A0" w:firstRow="1" w:lastRow="0" w:firstColumn="1" w:lastColumn="0" w:noHBand="0" w:noVBand="1"/>
      </w:tblPr>
      <w:tblGrid>
        <w:gridCol w:w="3430"/>
        <w:gridCol w:w="109"/>
        <w:gridCol w:w="1559"/>
        <w:gridCol w:w="1560"/>
      </w:tblGrid>
      <w:tr w:rsidR="002A6D9E" w:rsidRPr="002A6D9E" w14:paraId="43F7E742" w14:textId="77777777" w:rsidTr="00B406AB">
        <w:trPr>
          <w:trHeight w:val="300"/>
        </w:trPr>
        <w:tc>
          <w:tcPr>
            <w:tcW w:w="3539" w:type="dxa"/>
            <w:gridSpan w:val="2"/>
            <w:tcBorders>
              <w:top w:val="single" w:sz="4" w:space="0" w:color="auto"/>
              <w:left w:val="single" w:sz="4" w:space="0" w:color="auto"/>
              <w:bottom w:val="single" w:sz="4" w:space="0" w:color="auto"/>
              <w:right w:val="nil"/>
            </w:tcBorders>
            <w:shd w:val="clear" w:color="000000" w:fill="FFFFFF"/>
            <w:noWrap/>
            <w:hideMark/>
          </w:tcPr>
          <w:p w14:paraId="76BD02EE"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Variables</w:t>
            </w:r>
          </w:p>
        </w:tc>
        <w:tc>
          <w:tcPr>
            <w:tcW w:w="1559" w:type="dxa"/>
            <w:tcBorders>
              <w:top w:val="single" w:sz="4" w:space="0" w:color="auto"/>
              <w:left w:val="nil"/>
              <w:bottom w:val="single" w:sz="4" w:space="0" w:color="auto"/>
              <w:right w:val="nil"/>
            </w:tcBorders>
            <w:shd w:val="clear" w:color="000000" w:fill="FFFFFF"/>
            <w:noWrap/>
            <w:hideMark/>
          </w:tcPr>
          <w:p w14:paraId="4C2658E6" w14:textId="77777777" w:rsidR="002A6D9E" w:rsidRPr="002A6D9E" w:rsidRDefault="002A6D9E" w:rsidP="00B406AB">
            <w:pPr>
              <w:spacing w:after="0" w:line="240" w:lineRule="auto"/>
              <w:jc w:val="center"/>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GDP growth, h=4, q=0.1, e=f</w:t>
            </w:r>
          </w:p>
        </w:tc>
        <w:tc>
          <w:tcPr>
            <w:tcW w:w="1560" w:type="dxa"/>
            <w:tcBorders>
              <w:top w:val="single" w:sz="4" w:space="0" w:color="auto"/>
              <w:left w:val="nil"/>
              <w:bottom w:val="single" w:sz="4" w:space="0" w:color="auto"/>
              <w:right w:val="single" w:sz="4" w:space="0" w:color="auto"/>
            </w:tcBorders>
            <w:shd w:val="clear" w:color="000000" w:fill="FFFFFF"/>
            <w:noWrap/>
            <w:hideMark/>
          </w:tcPr>
          <w:p w14:paraId="762D53E1" w14:textId="77777777" w:rsidR="002A6D9E" w:rsidRPr="002A6D9E" w:rsidRDefault="002A6D9E" w:rsidP="00B406AB">
            <w:pPr>
              <w:spacing w:after="0" w:line="240" w:lineRule="auto"/>
              <w:jc w:val="center"/>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GDP growth, h=4, q=0.5, e=f</w:t>
            </w:r>
          </w:p>
        </w:tc>
      </w:tr>
      <w:tr w:rsidR="002A6D9E" w:rsidRPr="002A6D9E" w14:paraId="2D5A4AD1" w14:textId="77777777" w:rsidTr="00B406AB">
        <w:trPr>
          <w:trHeight w:val="300"/>
        </w:trPr>
        <w:tc>
          <w:tcPr>
            <w:tcW w:w="3430" w:type="dxa"/>
            <w:tcBorders>
              <w:top w:val="nil"/>
              <w:left w:val="single" w:sz="4" w:space="0" w:color="auto"/>
              <w:bottom w:val="nil"/>
              <w:right w:val="nil"/>
            </w:tcBorders>
            <w:shd w:val="clear" w:color="000000" w:fill="FFFFFF"/>
            <w:noWrap/>
            <w:hideMark/>
          </w:tcPr>
          <w:p w14:paraId="186FA705"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autoregressive</w:t>
            </w:r>
          </w:p>
        </w:tc>
        <w:tc>
          <w:tcPr>
            <w:tcW w:w="1668" w:type="dxa"/>
            <w:gridSpan w:val="2"/>
            <w:tcBorders>
              <w:top w:val="nil"/>
              <w:left w:val="nil"/>
              <w:bottom w:val="nil"/>
              <w:right w:val="nil"/>
            </w:tcBorders>
            <w:shd w:val="clear" w:color="000000" w:fill="FFFFFF"/>
            <w:noWrap/>
            <w:hideMark/>
          </w:tcPr>
          <w:p w14:paraId="0E672EB4"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0.0302</w:t>
            </w:r>
          </w:p>
        </w:tc>
        <w:tc>
          <w:tcPr>
            <w:tcW w:w="1560" w:type="dxa"/>
            <w:tcBorders>
              <w:top w:val="nil"/>
              <w:left w:val="nil"/>
              <w:bottom w:val="nil"/>
              <w:right w:val="single" w:sz="4" w:space="0" w:color="auto"/>
            </w:tcBorders>
            <w:shd w:val="clear" w:color="000000" w:fill="FFFFFF"/>
            <w:noWrap/>
            <w:hideMark/>
          </w:tcPr>
          <w:p w14:paraId="27777899"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0.1038***</w:t>
            </w:r>
          </w:p>
        </w:tc>
      </w:tr>
      <w:tr w:rsidR="002A6D9E" w:rsidRPr="002A6D9E" w14:paraId="283F0F24" w14:textId="77777777" w:rsidTr="00B406AB">
        <w:trPr>
          <w:trHeight w:val="300"/>
        </w:trPr>
        <w:tc>
          <w:tcPr>
            <w:tcW w:w="3430" w:type="dxa"/>
            <w:tcBorders>
              <w:top w:val="nil"/>
              <w:left w:val="single" w:sz="4" w:space="0" w:color="auto"/>
              <w:bottom w:val="nil"/>
              <w:right w:val="nil"/>
            </w:tcBorders>
            <w:shd w:val="clear" w:color="000000" w:fill="FFFFFF"/>
            <w:noWrap/>
            <w:hideMark/>
          </w:tcPr>
          <w:p w14:paraId="7BF50778"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022C74BE"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(0.0276)</w:t>
            </w:r>
          </w:p>
        </w:tc>
        <w:tc>
          <w:tcPr>
            <w:tcW w:w="1560" w:type="dxa"/>
            <w:tcBorders>
              <w:top w:val="nil"/>
              <w:left w:val="nil"/>
              <w:bottom w:val="nil"/>
              <w:right w:val="single" w:sz="4" w:space="0" w:color="auto"/>
            </w:tcBorders>
            <w:shd w:val="clear" w:color="000000" w:fill="FFFFFF"/>
            <w:noWrap/>
            <w:hideMark/>
          </w:tcPr>
          <w:p w14:paraId="7E875118"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(0.0107)</w:t>
            </w:r>
          </w:p>
        </w:tc>
      </w:tr>
      <w:tr w:rsidR="002A6D9E" w:rsidRPr="002A6D9E" w14:paraId="51C21148" w14:textId="77777777" w:rsidTr="00B406AB">
        <w:trPr>
          <w:trHeight w:val="300"/>
        </w:trPr>
        <w:tc>
          <w:tcPr>
            <w:tcW w:w="3430" w:type="dxa"/>
            <w:tcBorders>
              <w:top w:val="nil"/>
              <w:left w:val="single" w:sz="4" w:space="0" w:color="auto"/>
              <w:bottom w:val="nil"/>
              <w:right w:val="nil"/>
            </w:tcBorders>
            <w:shd w:val="clear" w:color="000000" w:fill="FFFFFF"/>
            <w:noWrap/>
            <w:hideMark/>
          </w:tcPr>
          <w:p w14:paraId="1634A794"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FCyI</w:t>
            </w:r>
          </w:p>
        </w:tc>
        <w:tc>
          <w:tcPr>
            <w:tcW w:w="1668" w:type="dxa"/>
            <w:gridSpan w:val="2"/>
            <w:tcBorders>
              <w:top w:val="nil"/>
              <w:left w:val="nil"/>
              <w:bottom w:val="nil"/>
              <w:right w:val="nil"/>
            </w:tcBorders>
            <w:shd w:val="clear" w:color="000000" w:fill="FFFFFF"/>
            <w:noWrap/>
            <w:hideMark/>
          </w:tcPr>
          <w:p w14:paraId="7D0DA7E3"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-3.4029***</w:t>
            </w:r>
          </w:p>
        </w:tc>
        <w:tc>
          <w:tcPr>
            <w:tcW w:w="1560" w:type="dxa"/>
            <w:tcBorders>
              <w:top w:val="nil"/>
              <w:left w:val="nil"/>
              <w:bottom w:val="nil"/>
              <w:right w:val="single" w:sz="4" w:space="0" w:color="auto"/>
            </w:tcBorders>
            <w:shd w:val="clear" w:color="000000" w:fill="FFFFFF"/>
            <w:noWrap/>
            <w:hideMark/>
          </w:tcPr>
          <w:p w14:paraId="0FEEA87A"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-2.0606***</w:t>
            </w:r>
          </w:p>
        </w:tc>
      </w:tr>
      <w:tr w:rsidR="002A6D9E" w:rsidRPr="002A6D9E" w14:paraId="17D7EAAB" w14:textId="77777777" w:rsidTr="00B406AB">
        <w:trPr>
          <w:trHeight w:val="300"/>
        </w:trPr>
        <w:tc>
          <w:tcPr>
            <w:tcW w:w="3430" w:type="dxa"/>
            <w:tcBorders>
              <w:top w:val="nil"/>
              <w:left w:val="single" w:sz="4" w:space="0" w:color="auto"/>
              <w:bottom w:val="nil"/>
              <w:right w:val="nil"/>
            </w:tcBorders>
            <w:shd w:val="clear" w:color="000000" w:fill="FFFFFF"/>
            <w:noWrap/>
            <w:hideMark/>
          </w:tcPr>
          <w:p w14:paraId="1D1DE381"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1EAD985E"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(0.6489)</w:t>
            </w:r>
          </w:p>
        </w:tc>
        <w:tc>
          <w:tcPr>
            <w:tcW w:w="1560" w:type="dxa"/>
            <w:tcBorders>
              <w:top w:val="nil"/>
              <w:left w:val="nil"/>
              <w:bottom w:val="nil"/>
              <w:right w:val="single" w:sz="4" w:space="0" w:color="auto"/>
            </w:tcBorders>
            <w:shd w:val="clear" w:color="000000" w:fill="FFFFFF"/>
            <w:noWrap/>
            <w:hideMark/>
          </w:tcPr>
          <w:p w14:paraId="04BB1316"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(0.3287)</w:t>
            </w:r>
          </w:p>
        </w:tc>
      </w:tr>
      <w:tr w:rsidR="002A6D9E" w:rsidRPr="002A6D9E" w14:paraId="3380DB55" w14:textId="77777777" w:rsidTr="00B406AB">
        <w:trPr>
          <w:trHeight w:val="300"/>
        </w:trPr>
        <w:tc>
          <w:tcPr>
            <w:tcW w:w="3430" w:type="dxa"/>
            <w:tcBorders>
              <w:top w:val="nil"/>
              <w:left w:val="single" w:sz="4" w:space="0" w:color="auto"/>
              <w:bottom w:val="nil"/>
              <w:right w:val="nil"/>
            </w:tcBorders>
            <w:shd w:val="clear" w:color="000000" w:fill="FFFFFF"/>
            <w:noWrap/>
            <w:hideMark/>
          </w:tcPr>
          <w:p w14:paraId="51525406"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FCI</w:t>
            </w:r>
          </w:p>
        </w:tc>
        <w:tc>
          <w:tcPr>
            <w:tcW w:w="1668" w:type="dxa"/>
            <w:gridSpan w:val="2"/>
            <w:tcBorders>
              <w:top w:val="nil"/>
              <w:left w:val="nil"/>
              <w:bottom w:val="nil"/>
              <w:right w:val="nil"/>
            </w:tcBorders>
            <w:shd w:val="clear" w:color="000000" w:fill="FFFFFF"/>
            <w:noWrap/>
            <w:hideMark/>
          </w:tcPr>
          <w:p w14:paraId="5E6E42F8"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0.2306*</w:t>
            </w:r>
          </w:p>
        </w:tc>
        <w:tc>
          <w:tcPr>
            <w:tcW w:w="1560" w:type="dxa"/>
            <w:tcBorders>
              <w:top w:val="nil"/>
              <w:left w:val="nil"/>
              <w:bottom w:val="nil"/>
              <w:right w:val="single" w:sz="4" w:space="0" w:color="auto"/>
            </w:tcBorders>
            <w:shd w:val="clear" w:color="000000" w:fill="FFFFFF"/>
            <w:noWrap/>
            <w:hideMark/>
          </w:tcPr>
          <w:p w14:paraId="470C074C"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0.1166**</w:t>
            </w:r>
          </w:p>
        </w:tc>
      </w:tr>
      <w:tr w:rsidR="002A6D9E" w:rsidRPr="002A6D9E" w14:paraId="13551A72" w14:textId="77777777" w:rsidTr="00B406AB">
        <w:trPr>
          <w:trHeight w:val="300"/>
        </w:trPr>
        <w:tc>
          <w:tcPr>
            <w:tcW w:w="3430" w:type="dxa"/>
            <w:tcBorders>
              <w:top w:val="nil"/>
              <w:left w:val="single" w:sz="4" w:space="0" w:color="auto"/>
              <w:bottom w:val="nil"/>
              <w:right w:val="nil"/>
            </w:tcBorders>
            <w:shd w:val="clear" w:color="000000" w:fill="FFFFFF"/>
            <w:noWrap/>
            <w:hideMark/>
          </w:tcPr>
          <w:p w14:paraId="716B14DB"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340C129D"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(0.1188)</w:t>
            </w:r>
          </w:p>
        </w:tc>
        <w:tc>
          <w:tcPr>
            <w:tcW w:w="1560" w:type="dxa"/>
            <w:tcBorders>
              <w:top w:val="nil"/>
              <w:left w:val="nil"/>
              <w:bottom w:val="nil"/>
              <w:right w:val="single" w:sz="4" w:space="0" w:color="auto"/>
            </w:tcBorders>
            <w:shd w:val="clear" w:color="000000" w:fill="FFFFFF"/>
            <w:noWrap/>
            <w:hideMark/>
          </w:tcPr>
          <w:p w14:paraId="4E32F105"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(0.0593)</w:t>
            </w:r>
          </w:p>
        </w:tc>
      </w:tr>
      <w:tr w:rsidR="002A6D9E" w:rsidRPr="002A6D9E" w14:paraId="5BFD54B5" w14:textId="77777777" w:rsidTr="00B406AB">
        <w:trPr>
          <w:trHeight w:val="300"/>
        </w:trPr>
        <w:tc>
          <w:tcPr>
            <w:tcW w:w="3430" w:type="dxa"/>
            <w:tcBorders>
              <w:top w:val="nil"/>
              <w:left w:val="single" w:sz="4" w:space="0" w:color="auto"/>
              <w:bottom w:val="nil"/>
              <w:right w:val="nil"/>
            </w:tcBorders>
            <w:shd w:val="clear" w:color="000000" w:fill="FFFFFF"/>
            <w:noWrap/>
            <w:hideMark/>
          </w:tcPr>
          <w:p w14:paraId="42E441C9"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MPI</w:t>
            </w:r>
          </w:p>
        </w:tc>
        <w:tc>
          <w:tcPr>
            <w:tcW w:w="1668" w:type="dxa"/>
            <w:gridSpan w:val="2"/>
            <w:tcBorders>
              <w:top w:val="nil"/>
              <w:left w:val="nil"/>
              <w:bottom w:val="nil"/>
              <w:right w:val="nil"/>
            </w:tcBorders>
            <w:shd w:val="clear" w:color="000000" w:fill="FFFFFF"/>
            <w:noWrap/>
            <w:hideMark/>
          </w:tcPr>
          <w:p w14:paraId="49BC829A"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0.1012*</w:t>
            </w:r>
          </w:p>
        </w:tc>
        <w:tc>
          <w:tcPr>
            <w:tcW w:w="1560" w:type="dxa"/>
            <w:tcBorders>
              <w:top w:val="nil"/>
              <w:left w:val="nil"/>
              <w:bottom w:val="nil"/>
              <w:right w:val="single" w:sz="4" w:space="0" w:color="auto"/>
            </w:tcBorders>
            <w:shd w:val="clear" w:color="000000" w:fill="FFFFFF"/>
            <w:noWrap/>
            <w:hideMark/>
          </w:tcPr>
          <w:p w14:paraId="5FEB2BD4"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-0.0221</w:t>
            </w:r>
          </w:p>
        </w:tc>
      </w:tr>
      <w:tr w:rsidR="002A6D9E" w:rsidRPr="002A6D9E" w14:paraId="34778309" w14:textId="77777777" w:rsidTr="00B406AB">
        <w:trPr>
          <w:trHeight w:val="300"/>
        </w:trPr>
        <w:tc>
          <w:tcPr>
            <w:tcW w:w="3430" w:type="dxa"/>
            <w:tcBorders>
              <w:top w:val="nil"/>
              <w:left w:val="single" w:sz="4" w:space="0" w:color="auto"/>
              <w:bottom w:val="nil"/>
              <w:right w:val="nil"/>
            </w:tcBorders>
            <w:shd w:val="clear" w:color="000000" w:fill="FFFFFF"/>
            <w:noWrap/>
            <w:hideMark/>
          </w:tcPr>
          <w:p w14:paraId="20A784CA"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559DF579"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(0.0550)</w:t>
            </w:r>
          </w:p>
        </w:tc>
        <w:tc>
          <w:tcPr>
            <w:tcW w:w="1560" w:type="dxa"/>
            <w:tcBorders>
              <w:top w:val="nil"/>
              <w:left w:val="nil"/>
              <w:bottom w:val="nil"/>
              <w:right w:val="single" w:sz="4" w:space="0" w:color="auto"/>
            </w:tcBorders>
            <w:shd w:val="clear" w:color="000000" w:fill="FFFFFF"/>
            <w:noWrap/>
            <w:hideMark/>
          </w:tcPr>
          <w:p w14:paraId="27DF16B9"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(0.0275)</w:t>
            </w:r>
          </w:p>
        </w:tc>
      </w:tr>
      <w:tr w:rsidR="002A6D9E" w:rsidRPr="002A6D9E" w14:paraId="01503B7F" w14:textId="77777777" w:rsidTr="00B406AB">
        <w:trPr>
          <w:trHeight w:val="300"/>
        </w:trPr>
        <w:tc>
          <w:tcPr>
            <w:tcW w:w="3430" w:type="dxa"/>
            <w:tcBorders>
              <w:top w:val="nil"/>
              <w:left w:val="single" w:sz="4" w:space="0" w:color="auto"/>
              <w:bottom w:val="nil"/>
              <w:right w:val="nil"/>
            </w:tcBorders>
            <w:shd w:val="clear" w:color="000000" w:fill="FFFFFF"/>
            <w:noWrap/>
            <w:hideMark/>
          </w:tcPr>
          <w:p w14:paraId="67EAC337"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DSR</w:t>
            </w:r>
          </w:p>
        </w:tc>
        <w:tc>
          <w:tcPr>
            <w:tcW w:w="1668" w:type="dxa"/>
            <w:gridSpan w:val="2"/>
            <w:tcBorders>
              <w:top w:val="nil"/>
              <w:left w:val="nil"/>
              <w:bottom w:val="nil"/>
              <w:right w:val="nil"/>
            </w:tcBorders>
            <w:shd w:val="clear" w:color="000000" w:fill="FFFFFF"/>
            <w:noWrap/>
            <w:hideMark/>
          </w:tcPr>
          <w:p w14:paraId="344FF1BE"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-0.1543***</w:t>
            </w:r>
          </w:p>
        </w:tc>
        <w:tc>
          <w:tcPr>
            <w:tcW w:w="1560" w:type="dxa"/>
            <w:tcBorders>
              <w:top w:val="nil"/>
              <w:left w:val="nil"/>
              <w:bottom w:val="nil"/>
              <w:right w:val="single" w:sz="4" w:space="0" w:color="auto"/>
            </w:tcBorders>
            <w:shd w:val="clear" w:color="000000" w:fill="FFFFFF"/>
            <w:noWrap/>
            <w:hideMark/>
          </w:tcPr>
          <w:p w14:paraId="79F9DAEA"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-0.1084***</w:t>
            </w:r>
          </w:p>
        </w:tc>
      </w:tr>
      <w:tr w:rsidR="002A6D9E" w:rsidRPr="002A6D9E" w14:paraId="66A9ECEF" w14:textId="77777777" w:rsidTr="00B406AB">
        <w:trPr>
          <w:trHeight w:val="300"/>
        </w:trPr>
        <w:tc>
          <w:tcPr>
            <w:tcW w:w="3430" w:type="dxa"/>
            <w:tcBorders>
              <w:top w:val="nil"/>
              <w:left w:val="single" w:sz="4" w:space="0" w:color="auto"/>
              <w:bottom w:val="nil"/>
              <w:right w:val="nil"/>
            </w:tcBorders>
            <w:shd w:val="clear" w:color="000000" w:fill="FFFFFF"/>
            <w:noWrap/>
            <w:hideMark/>
          </w:tcPr>
          <w:p w14:paraId="7E072D9B"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746D9588"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(0.0274)</w:t>
            </w:r>
          </w:p>
        </w:tc>
        <w:tc>
          <w:tcPr>
            <w:tcW w:w="1560" w:type="dxa"/>
            <w:tcBorders>
              <w:top w:val="nil"/>
              <w:left w:val="nil"/>
              <w:bottom w:val="nil"/>
              <w:right w:val="single" w:sz="4" w:space="0" w:color="auto"/>
            </w:tcBorders>
            <w:shd w:val="clear" w:color="000000" w:fill="FFFFFF"/>
            <w:noWrap/>
            <w:hideMark/>
          </w:tcPr>
          <w:p w14:paraId="2B0E824F"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(0.0147)</w:t>
            </w:r>
          </w:p>
        </w:tc>
      </w:tr>
      <w:tr w:rsidR="002A6D9E" w:rsidRPr="002A6D9E" w14:paraId="28C53B2C" w14:textId="77777777" w:rsidTr="00B406AB">
        <w:trPr>
          <w:trHeight w:val="300"/>
        </w:trPr>
        <w:tc>
          <w:tcPr>
            <w:tcW w:w="3430" w:type="dxa"/>
            <w:tcBorders>
              <w:top w:val="nil"/>
              <w:left w:val="single" w:sz="4" w:space="0" w:color="auto"/>
              <w:bottom w:val="nil"/>
              <w:right w:val="nil"/>
            </w:tcBorders>
            <w:shd w:val="clear" w:color="000000" w:fill="FFFFFF"/>
            <w:noWrap/>
            <w:hideMark/>
          </w:tcPr>
          <w:p w14:paraId="1FF37DAB"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Interest_margin/Income_normalized_C_2y</w:t>
            </w:r>
          </w:p>
        </w:tc>
        <w:tc>
          <w:tcPr>
            <w:tcW w:w="1668" w:type="dxa"/>
            <w:gridSpan w:val="2"/>
            <w:tcBorders>
              <w:top w:val="nil"/>
              <w:left w:val="nil"/>
              <w:bottom w:val="nil"/>
              <w:right w:val="nil"/>
            </w:tcBorders>
            <w:shd w:val="clear" w:color="000000" w:fill="FFFFFF"/>
            <w:noWrap/>
            <w:hideMark/>
          </w:tcPr>
          <w:p w14:paraId="5B28D1BA"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-0.1249**</w:t>
            </w:r>
          </w:p>
        </w:tc>
        <w:tc>
          <w:tcPr>
            <w:tcW w:w="1560" w:type="dxa"/>
            <w:tcBorders>
              <w:top w:val="nil"/>
              <w:left w:val="nil"/>
              <w:bottom w:val="nil"/>
              <w:right w:val="single" w:sz="4" w:space="0" w:color="auto"/>
            </w:tcBorders>
            <w:shd w:val="clear" w:color="000000" w:fill="FFFFFF"/>
            <w:noWrap/>
            <w:hideMark/>
          </w:tcPr>
          <w:p w14:paraId="4802A6C9"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-0.0268</w:t>
            </w:r>
          </w:p>
        </w:tc>
      </w:tr>
      <w:tr w:rsidR="002A6D9E" w:rsidRPr="002A6D9E" w14:paraId="28626EBF" w14:textId="77777777" w:rsidTr="00B406AB">
        <w:trPr>
          <w:trHeight w:val="300"/>
        </w:trPr>
        <w:tc>
          <w:tcPr>
            <w:tcW w:w="3430" w:type="dxa"/>
            <w:tcBorders>
              <w:top w:val="nil"/>
              <w:left w:val="single" w:sz="4" w:space="0" w:color="auto"/>
              <w:bottom w:val="nil"/>
              <w:right w:val="nil"/>
            </w:tcBorders>
            <w:shd w:val="clear" w:color="000000" w:fill="FFFFFF"/>
            <w:noWrap/>
            <w:hideMark/>
          </w:tcPr>
          <w:p w14:paraId="317BCBC5"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754514A9"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(0.0559)</w:t>
            </w:r>
          </w:p>
        </w:tc>
        <w:tc>
          <w:tcPr>
            <w:tcW w:w="1560" w:type="dxa"/>
            <w:tcBorders>
              <w:top w:val="nil"/>
              <w:left w:val="nil"/>
              <w:bottom w:val="nil"/>
              <w:right w:val="single" w:sz="4" w:space="0" w:color="auto"/>
            </w:tcBorders>
            <w:shd w:val="clear" w:color="000000" w:fill="FFFFFF"/>
            <w:noWrap/>
            <w:hideMark/>
          </w:tcPr>
          <w:p w14:paraId="76369E43"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(0.0270)</w:t>
            </w:r>
          </w:p>
        </w:tc>
      </w:tr>
      <w:tr w:rsidR="002A6D9E" w:rsidRPr="002A6D9E" w14:paraId="77123C86" w14:textId="77777777" w:rsidTr="00B406AB">
        <w:trPr>
          <w:trHeight w:val="300"/>
        </w:trPr>
        <w:tc>
          <w:tcPr>
            <w:tcW w:w="3430" w:type="dxa"/>
            <w:tcBorders>
              <w:top w:val="nil"/>
              <w:left w:val="single" w:sz="4" w:space="0" w:color="auto"/>
              <w:bottom w:val="nil"/>
              <w:right w:val="nil"/>
            </w:tcBorders>
            <w:shd w:val="clear" w:color="000000" w:fill="FFFFFF"/>
            <w:noWrap/>
            <w:hideMark/>
          </w:tcPr>
          <w:p w14:paraId="633F5958"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Bank_liabilities_MC_normalized_C_1y</w:t>
            </w:r>
          </w:p>
        </w:tc>
        <w:tc>
          <w:tcPr>
            <w:tcW w:w="1668" w:type="dxa"/>
            <w:gridSpan w:val="2"/>
            <w:tcBorders>
              <w:top w:val="nil"/>
              <w:left w:val="nil"/>
              <w:bottom w:val="nil"/>
              <w:right w:val="nil"/>
            </w:tcBorders>
            <w:shd w:val="clear" w:color="000000" w:fill="FFFFFF"/>
            <w:noWrap/>
            <w:hideMark/>
          </w:tcPr>
          <w:p w14:paraId="10537B82"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-0.8270***</w:t>
            </w:r>
          </w:p>
        </w:tc>
        <w:tc>
          <w:tcPr>
            <w:tcW w:w="1560" w:type="dxa"/>
            <w:tcBorders>
              <w:top w:val="nil"/>
              <w:left w:val="nil"/>
              <w:bottom w:val="nil"/>
              <w:right w:val="single" w:sz="4" w:space="0" w:color="auto"/>
            </w:tcBorders>
            <w:shd w:val="clear" w:color="000000" w:fill="FFFFFF"/>
            <w:noWrap/>
            <w:hideMark/>
          </w:tcPr>
          <w:p w14:paraId="6DB5EB56"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-0.5366***</w:t>
            </w:r>
          </w:p>
        </w:tc>
      </w:tr>
      <w:tr w:rsidR="002A6D9E" w:rsidRPr="002A6D9E" w14:paraId="48DC5F82" w14:textId="77777777" w:rsidTr="00B406AB">
        <w:trPr>
          <w:trHeight w:val="300"/>
        </w:trPr>
        <w:tc>
          <w:tcPr>
            <w:tcW w:w="3430" w:type="dxa"/>
            <w:tcBorders>
              <w:top w:val="nil"/>
              <w:left w:val="single" w:sz="4" w:space="0" w:color="auto"/>
              <w:bottom w:val="nil"/>
              <w:right w:val="nil"/>
            </w:tcBorders>
            <w:shd w:val="clear" w:color="000000" w:fill="FFFFFF"/>
            <w:noWrap/>
            <w:hideMark/>
          </w:tcPr>
          <w:p w14:paraId="11A8CB4E"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lastRenderedPageBreak/>
              <w:t> </w:t>
            </w:r>
          </w:p>
        </w:tc>
        <w:tc>
          <w:tcPr>
            <w:tcW w:w="1668" w:type="dxa"/>
            <w:gridSpan w:val="2"/>
            <w:tcBorders>
              <w:top w:val="nil"/>
              <w:left w:val="nil"/>
              <w:bottom w:val="nil"/>
              <w:right w:val="nil"/>
            </w:tcBorders>
            <w:shd w:val="clear" w:color="000000" w:fill="FFFFFF"/>
            <w:noWrap/>
            <w:hideMark/>
          </w:tcPr>
          <w:p w14:paraId="138C3519"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(0.1662)</w:t>
            </w:r>
          </w:p>
        </w:tc>
        <w:tc>
          <w:tcPr>
            <w:tcW w:w="1560" w:type="dxa"/>
            <w:tcBorders>
              <w:top w:val="nil"/>
              <w:left w:val="nil"/>
              <w:bottom w:val="nil"/>
              <w:right w:val="single" w:sz="4" w:space="0" w:color="auto"/>
            </w:tcBorders>
            <w:shd w:val="clear" w:color="000000" w:fill="FFFFFF"/>
            <w:noWrap/>
            <w:hideMark/>
          </w:tcPr>
          <w:p w14:paraId="04DDB7AF"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(0.0803)</w:t>
            </w:r>
          </w:p>
        </w:tc>
      </w:tr>
      <w:tr w:rsidR="002A6D9E" w:rsidRPr="002A6D9E" w14:paraId="16A29440" w14:textId="77777777" w:rsidTr="00B406AB">
        <w:trPr>
          <w:trHeight w:val="300"/>
        </w:trPr>
        <w:tc>
          <w:tcPr>
            <w:tcW w:w="3430" w:type="dxa"/>
            <w:tcBorders>
              <w:top w:val="nil"/>
              <w:left w:val="single" w:sz="4" w:space="0" w:color="auto"/>
              <w:bottom w:val="nil"/>
              <w:right w:val="nil"/>
            </w:tcBorders>
            <w:shd w:val="clear" w:color="000000" w:fill="FFFFFF"/>
            <w:noWrap/>
            <w:hideMark/>
          </w:tcPr>
          <w:p w14:paraId="4948DB23"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NPL_ratio_PctC_3y</w:t>
            </w:r>
          </w:p>
        </w:tc>
        <w:tc>
          <w:tcPr>
            <w:tcW w:w="1668" w:type="dxa"/>
            <w:gridSpan w:val="2"/>
            <w:tcBorders>
              <w:top w:val="nil"/>
              <w:left w:val="nil"/>
              <w:bottom w:val="nil"/>
              <w:right w:val="nil"/>
            </w:tcBorders>
            <w:shd w:val="clear" w:color="000000" w:fill="FFFFFF"/>
            <w:noWrap/>
            <w:hideMark/>
          </w:tcPr>
          <w:p w14:paraId="0B0BB08C"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-0.1747***</w:t>
            </w:r>
          </w:p>
        </w:tc>
        <w:tc>
          <w:tcPr>
            <w:tcW w:w="1560" w:type="dxa"/>
            <w:tcBorders>
              <w:top w:val="nil"/>
              <w:left w:val="nil"/>
              <w:bottom w:val="nil"/>
              <w:right w:val="single" w:sz="4" w:space="0" w:color="auto"/>
            </w:tcBorders>
            <w:shd w:val="clear" w:color="000000" w:fill="FFFFFF"/>
            <w:noWrap/>
            <w:hideMark/>
          </w:tcPr>
          <w:p w14:paraId="5A80B4BD"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-0.0424</w:t>
            </w:r>
          </w:p>
        </w:tc>
      </w:tr>
      <w:tr w:rsidR="002A6D9E" w:rsidRPr="002A6D9E" w14:paraId="1E9CB798" w14:textId="77777777" w:rsidTr="00B406AB">
        <w:trPr>
          <w:trHeight w:val="300"/>
        </w:trPr>
        <w:tc>
          <w:tcPr>
            <w:tcW w:w="3430" w:type="dxa"/>
            <w:tcBorders>
              <w:top w:val="nil"/>
              <w:left w:val="single" w:sz="4" w:space="0" w:color="auto"/>
              <w:bottom w:val="nil"/>
              <w:right w:val="nil"/>
            </w:tcBorders>
            <w:shd w:val="clear" w:color="000000" w:fill="FFFFFF"/>
            <w:noWrap/>
            <w:hideMark/>
          </w:tcPr>
          <w:p w14:paraId="761E09B4"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79672FE7"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(0.0562)</w:t>
            </w:r>
          </w:p>
        </w:tc>
        <w:tc>
          <w:tcPr>
            <w:tcW w:w="1560" w:type="dxa"/>
            <w:tcBorders>
              <w:top w:val="nil"/>
              <w:left w:val="nil"/>
              <w:bottom w:val="nil"/>
              <w:right w:val="single" w:sz="4" w:space="0" w:color="auto"/>
            </w:tcBorders>
            <w:shd w:val="clear" w:color="000000" w:fill="FFFFFF"/>
            <w:noWrap/>
            <w:hideMark/>
          </w:tcPr>
          <w:p w14:paraId="06A5B851"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(0.0290)</w:t>
            </w:r>
          </w:p>
        </w:tc>
      </w:tr>
      <w:tr w:rsidR="002A6D9E" w:rsidRPr="002A6D9E" w14:paraId="21E280F7" w14:textId="77777777" w:rsidTr="00B406AB">
        <w:trPr>
          <w:trHeight w:val="300"/>
        </w:trPr>
        <w:tc>
          <w:tcPr>
            <w:tcW w:w="3430" w:type="dxa"/>
            <w:tcBorders>
              <w:top w:val="nil"/>
              <w:left w:val="single" w:sz="4" w:space="0" w:color="auto"/>
              <w:bottom w:val="nil"/>
              <w:right w:val="nil"/>
            </w:tcBorders>
            <w:shd w:val="clear" w:color="000000" w:fill="FFFFFF"/>
            <w:noWrap/>
            <w:hideMark/>
          </w:tcPr>
          <w:p w14:paraId="7D3C1696"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Provisions/NPL_C_2y</w:t>
            </w:r>
          </w:p>
        </w:tc>
        <w:tc>
          <w:tcPr>
            <w:tcW w:w="1668" w:type="dxa"/>
            <w:gridSpan w:val="2"/>
            <w:tcBorders>
              <w:top w:val="nil"/>
              <w:left w:val="nil"/>
              <w:bottom w:val="nil"/>
              <w:right w:val="nil"/>
            </w:tcBorders>
            <w:shd w:val="clear" w:color="000000" w:fill="FFFFFF"/>
            <w:noWrap/>
            <w:hideMark/>
          </w:tcPr>
          <w:p w14:paraId="053B6691"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0.0231***</w:t>
            </w:r>
          </w:p>
        </w:tc>
        <w:tc>
          <w:tcPr>
            <w:tcW w:w="1560" w:type="dxa"/>
            <w:tcBorders>
              <w:top w:val="nil"/>
              <w:left w:val="nil"/>
              <w:bottom w:val="nil"/>
              <w:right w:val="single" w:sz="4" w:space="0" w:color="auto"/>
            </w:tcBorders>
            <w:shd w:val="clear" w:color="000000" w:fill="FFFFFF"/>
            <w:noWrap/>
            <w:hideMark/>
          </w:tcPr>
          <w:p w14:paraId="52DA75B5"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0.0057**</w:t>
            </w:r>
          </w:p>
        </w:tc>
      </w:tr>
      <w:tr w:rsidR="002A6D9E" w:rsidRPr="002A6D9E" w14:paraId="7BF50F27" w14:textId="77777777" w:rsidTr="00B406AB">
        <w:trPr>
          <w:trHeight w:val="300"/>
        </w:trPr>
        <w:tc>
          <w:tcPr>
            <w:tcW w:w="3430" w:type="dxa"/>
            <w:tcBorders>
              <w:top w:val="nil"/>
              <w:left w:val="single" w:sz="4" w:space="0" w:color="auto"/>
              <w:bottom w:val="nil"/>
              <w:right w:val="nil"/>
            </w:tcBorders>
            <w:shd w:val="clear" w:color="000000" w:fill="FFFFFF"/>
            <w:noWrap/>
            <w:hideMark/>
          </w:tcPr>
          <w:p w14:paraId="097A3FE7"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31F22EED"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(0.0044)</w:t>
            </w:r>
          </w:p>
        </w:tc>
        <w:tc>
          <w:tcPr>
            <w:tcW w:w="1560" w:type="dxa"/>
            <w:tcBorders>
              <w:top w:val="nil"/>
              <w:left w:val="nil"/>
              <w:bottom w:val="nil"/>
              <w:right w:val="single" w:sz="4" w:space="0" w:color="auto"/>
            </w:tcBorders>
            <w:shd w:val="clear" w:color="000000" w:fill="FFFFFF"/>
            <w:noWrap/>
            <w:hideMark/>
          </w:tcPr>
          <w:p w14:paraId="32FF01CE"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(0.0024)</w:t>
            </w:r>
          </w:p>
        </w:tc>
      </w:tr>
      <w:tr w:rsidR="002A6D9E" w:rsidRPr="002A6D9E" w14:paraId="60E0EBBA" w14:textId="77777777" w:rsidTr="00B406AB">
        <w:trPr>
          <w:trHeight w:val="300"/>
        </w:trPr>
        <w:tc>
          <w:tcPr>
            <w:tcW w:w="3430" w:type="dxa"/>
            <w:tcBorders>
              <w:top w:val="nil"/>
              <w:left w:val="single" w:sz="4" w:space="0" w:color="auto"/>
              <w:bottom w:val="nil"/>
              <w:right w:val="nil"/>
            </w:tcBorders>
            <w:shd w:val="clear" w:color="000000" w:fill="FFFFFF"/>
            <w:noWrap/>
            <w:hideMark/>
          </w:tcPr>
          <w:p w14:paraId="03534AC6"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RPP_Real_PctC_3y</w:t>
            </w:r>
          </w:p>
        </w:tc>
        <w:tc>
          <w:tcPr>
            <w:tcW w:w="1668" w:type="dxa"/>
            <w:gridSpan w:val="2"/>
            <w:tcBorders>
              <w:top w:val="nil"/>
              <w:left w:val="nil"/>
              <w:bottom w:val="nil"/>
              <w:right w:val="nil"/>
            </w:tcBorders>
            <w:shd w:val="clear" w:color="000000" w:fill="FFFFFF"/>
            <w:noWrap/>
            <w:hideMark/>
          </w:tcPr>
          <w:p w14:paraId="2D684E4B"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3.6966***</w:t>
            </w:r>
          </w:p>
        </w:tc>
        <w:tc>
          <w:tcPr>
            <w:tcW w:w="1560" w:type="dxa"/>
            <w:tcBorders>
              <w:top w:val="nil"/>
              <w:left w:val="nil"/>
              <w:bottom w:val="nil"/>
              <w:right w:val="single" w:sz="4" w:space="0" w:color="auto"/>
            </w:tcBorders>
            <w:shd w:val="clear" w:color="000000" w:fill="FFFFFF"/>
            <w:noWrap/>
            <w:hideMark/>
          </w:tcPr>
          <w:p w14:paraId="15906E37"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3.9197***</w:t>
            </w:r>
          </w:p>
        </w:tc>
      </w:tr>
      <w:tr w:rsidR="002A6D9E" w:rsidRPr="002A6D9E" w14:paraId="50014C53" w14:textId="77777777" w:rsidTr="00B406AB">
        <w:trPr>
          <w:trHeight w:val="300"/>
        </w:trPr>
        <w:tc>
          <w:tcPr>
            <w:tcW w:w="3430" w:type="dxa"/>
            <w:tcBorders>
              <w:top w:val="nil"/>
              <w:left w:val="single" w:sz="4" w:space="0" w:color="auto"/>
              <w:bottom w:val="nil"/>
              <w:right w:val="nil"/>
            </w:tcBorders>
            <w:shd w:val="clear" w:color="000000" w:fill="FFFFFF"/>
            <w:noWrap/>
            <w:hideMark/>
          </w:tcPr>
          <w:p w14:paraId="2FC01DCE"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78443C80"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(0.4692)</w:t>
            </w:r>
          </w:p>
        </w:tc>
        <w:tc>
          <w:tcPr>
            <w:tcW w:w="1560" w:type="dxa"/>
            <w:tcBorders>
              <w:top w:val="nil"/>
              <w:left w:val="nil"/>
              <w:bottom w:val="nil"/>
              <w:right w:val="single" w:sz="4" w:space="0" w:color="auto"/>
            </w:tcBorders>
            <w:shd w:val="clear" w:color="000000" w:fill="FFFFFF"/>
            <w:noWrap/>
            <w:hideMark/>
          </w:tcPr>
          <w:p w14:paraId="6CD20471"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(0.2543)</w:t>
            </w:r>
          </w:p>
        </w:tc>
      </w:tr>
      <w:tr w:rsidR="002A6D9E" w:rsidRPr="002A6D9E" w14:paraId="38105F0E" w14:textId="77777777" w:rsidTr="00B406AB">
        <w:trPr>
          <w:trHeight w:val="300"/>
        </w:trPr>
        <w:tc>
          <w:tcPr>
            <w:tcW w:w="3430" w:type="dxa"/>
            <w:tcBorders>
              <w:top w:val="nil"/>
              <w:left w:val="single" w:sz="4" w:space="0" w:color="auto"/>
              <w:bottom w:val="nil"/>
              <w:right w:val="nil"/>
            </w:tcBorders>
            <w:shd w:val="clear" w:color="000000" w:fill="FFFFFF"/>
            <w:noWrap/>
            <w:hideMark/>
          </w:tcPr>
          <w:p w14:paraId="5CD9EDEF"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RRE_Loans_MC_PctC_1y</w:t>
            </w:r>
          </w:p>
        </w:tc>
        <w:tc>
          <w:tcPr>
            <w:tcW w:w="1668" w:type="dxa"/>
            <w:gridSpan w:val="2"/>
            <w:tcBorders>
              <w:top w:val="nil"/>
              <w:left w:val="nil"/>
              <w:bottom w:val="nil"/>
              <w:right w:val="nil"/>
            </w:tcBorders>
            <w:shd w:val="clear" w:color="000000" w:fill="FFFFFF"/>
            <w:noWrap/>
            <w:hideMark/>
          </w:tcPr>
          <w:p w14:paraId="2F89C53D"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1.3092***</w:t>
            </w:r>
          </w:p>
        </w:tc>
        <w:tc>
          <w:tcPr>
            <w:tcW w:w="1560" w:type="dxa"/>
            <w:tcBorders>
              <w:top w:val="nil"/>
              <w:left w:val="nil"/>
              <w:bottom w:val="nil"/>
              <w:right w:val="single" w:sz="4" w:space="0" w:color="auto"/>
            </w:tcBorders>
            <w:shd w:val="clear" w:color="000000" w:fill="FFFFFF"/>
            <w:noWrap/>
            <w:hideMark/>
          </w:tcPr>
          <w:p w14:paraId="53607FB7"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0.7058***</w:t>
            </w:r>
          </w:p>
        </w:tc>
      </w:tr>
      <w:tr w:rsidR="002A6D9E" w:rsidRPr="002A6D9E" w14:paraId="77470716" w14:textId="77777777" w:rsidTr="00B406AB">
        <w:trPr>
          <w:trHeight w:val="300"/>
        </w:trPr>
        <w:tc>
          <w:tcPr>
            <w:tcW w:w="3430" w:type="dxa"/>
            <w:tcBorders>
              <w:top w:val="nil"/>
              <w:left w:val="single" w:sz="4" w:space="0" w:color="auto"/>
              <w:bottom w:val="nil"/>
              <w:right w:val="nil"/>
            </w:tcBorders>
            <w:shd w:val="clear" w:color="000000" w:fill="FFFFFF"/>
            <w:noWrap/>
            <w:hideMark/>
          </w:tcPr>
          <w:p w14:paraId="671B722D"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22F81D3D"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(0.1921)</w:t>
            </w:r>
          </w:p>
        </w:tc>
        <w:tc>
          <w:tcPr>
            <w:tcW w:w="1560" w:type="dxa"/>
            <w:tcBorders>
              <w:top w:val="nil"/>
              <w:left w:val="nil"/>
              <w:bottom w:val="nil"/>
              <w:right w:val="single" w:sz="4" w:space="0" w:color="auto"/>
            </w:tcBorders>
            <w:shd w:val="clear" w:color="000000" w:fill="FFFFFF"/>
            <w:noWrap/>
            <w:hideMark/>
          </w:tcPr>
          <w:p w14:paraId="23866E6D"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(0.1395)</w:t>
            </w:r>
          </w:p>
        </w:tc>
      </w:tr>
      <w:tr w:rsidR="002A6D9E" w:rsidRPr="002A6D9E" w14:paraId="794E8073" w14:textId="77777777" w:rsidTr="00B406AB">
        <w:trPr>
          <w:trHeight w:val="300"/>
        </w:trPr>
        <w:tc>
          <w:tcPr>
            <w:tcW w:w="3430" w:type="dxa"/>
            <w:tcBorders>
              <w:top w:val="nil"/>
              <w:left w:val="single" w:sz="4" w:space="0" w:color="auto"/>
              <w:bottom w:val="nil"/>
              <w:right w:val="nil"/>
            </w:tcBorders>
            <w:shd w:val="clear" w:color="000000" w:fill="FFFFFF"/>
            <w:noWrap/>
            <w:hideMark/>
          </w:tcPr>
          <w:p w14:paraId="7AE7DFBC"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CPI_C_1y</w:t>
            </w:r>
          </w:p>
        </w:tc>
        <w:tc>
          <w:tcPr>
            <w:tcW w:w="1668" w:type="dxa"/>
            <w:gridSpan w:val="2"/>
            <w:tcBorders>
              <w:top w:val="nil"/>
              <w:left w:val="nil"/>
              <w:bottom w:val="nil"/>
              <w:right w:val="nil"/>
            </w:tcBorders>
            <w:shd w:val="clear" w:color="000000" w:fill="FFFFFF"/>
            <w:noWrap/>
            <w:hideMark/>
          </w:tcPr>
          <w:p w14:paraId="2C7F1C2B"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-0.1441***</w:t>
            </w:r>
          </w:p>
        </w:tc>
        <w:tc>
          <w:tcPr>
            <w:tcW w:w="1560" w:type="dxa"/>
            <w:tcBorders>
              <w:top w:val="nil"/>
              <w:left w:val="nil"/>
              <w:bottom w:val="nil"/>
              <w:right w:val="single" w:sz="4" w:space="0" w:color="auto"/>
            </w:tcBorders>
            <w:shd w:val="clear" w:color="000000" w:fill="FFFFFF"/>
            <w:noWrap/>
            <w:hideMark/>
          </w:tcPr>
          <w:p w14:paraId="2368749D"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-0.0532***</w:t>
            </w:r>
          </w:p>
        </w:tc>
      </w:tr>
      <w:tr w:rsidR="002A6D9E" w:rsidRPr="002A6D9E" w14:paraId="3419B0B2" w14:textId="77777777" w:rsidTr="00B406AB">
        <w:trPr>
          <w:trHeight w:val="300"/>
        </w:trPr>
        <w:tc>
          <w:tcPr>
            <w:tcW w:w="3430" w:type="dxa"/>
            <w:tcBorders>
              <w:top w:val="nil"/>
              <w:left w:val="single" w:sz="4" w:space="0" w:color="auto"/>
              <w:bottom w:val="nil"/>
              <w:right w:val="nil"/>
            </w:tcBorders>
            <w:shd w:val="clear" w:color="000000" w:fill="FFFFFF"/>
            <w:noWrap/>
            <w:hideMark/>
          </w:tcPr>
          <w:p w14:paraId="53A2BEAD"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2579D947"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(0.0212)</w:t>
            </w:r>
          </w:p>
        </w:tc>
        <w:tc>
          <w:tcPr>
            <w:tcW w:w="1560" w:type="dxa"/>
            <w:tcBorders>
              <w:top w:val="nil"/>
              <w:left w:val="nil"/>
              <w:bottom w:val="nil"/>
              <w:right w:val="single" w:sz="4" w:space="0" w:color="auto"/>
            </w:tcBorders>
            <w:shd w:val="clear" w:color="000000" w:fill="FFFFFF"/>
            <w:noWrap/>
            <w:hideMark/>
          </w:tcPr>
          <w:p w14:paraId="4E9137E2"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(0.0109)</w:t>
            </w:r>
          </w:p>
        </w:tc>
      </w:tr>
      <w:tr w:rsidR="002A6D9E" w:rsidRPr="002A6D9E" w14:paraId="28151F63" w14:textId="77777777" w:rsidTr="00B406AB">
        <w:trPr>
          <w:trHeight w:val="300"/>
        </w:trPr>
        <w:tc>
          <w:tcPr>
            <w:tcW w:w="3430" w:type="dxa"/>
            <w:tcBorders>
              <w:top w:val="nil"/>
              <w:left w:val="single" w:sz="4" w:space="0" w:color="auto"/>
              <w:bottom w:val="nil"/>
              <w:right w:val="nil"/>
            </w:tcBorders>
            <w:shd w:val="clear" w:color="000000" w:fill="FFFFFF"/>
            <w:noWrap/>
            <w:hideMark/>
          </w:tcPr>
          <w:p w14:paraId="589C5D1A"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MPR_log</w:t>
            </w:r>
          </w:p>
        </w:tc>
        <w:tc>
          <w:tcPr>
            <w:tcW w:w="1668" w:type="dxa"/>
            <w:gridSpan w:val="2"/>
            <w:tcBorders>
              <w:top w:val="nil"/>
              <w:left w:val="nil"/>
              <w:bottom w:val="nil"/>
              <w:right w:val="nil"/>
            </w:tcBorders>
            <w:shd w:val="clear" w:color="000000" w:fill="FFFFFF"/>
            <w:noWrap/>
            <w:hideMark/>
          </w:tcPr>
          <w:p w14:paraId="01AC9061"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-0.2010***</w:t>
            </w:r>
          </w:p>
        </w:tc>
        <w:tc>
          <w:tcPr>
            <w:tcW w:w="1560" w:type="dxa"/>
            <w:tcBorders>
              <w:top w:val="nil"/>
              <w:left w:val="nil"/>
              <w:bottom w:val="nil"/>
              <w:right w:val="single" w:sz="4" w:space="0" w:color="auto"/>
            </w:tcBorders>
            <w:shd w:val="clear" w:color="000000" w:fill="FFFFFF"/>
            <w:noWrap/>
            <w:hideMark/>
          </w:tcPr>
          <w:p w14:paraId="542B9C39"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-0.0307</w:t>
            </w:r>
          </w:p>
        </w:tc>
      </w:tr>
      <w:tr w:rsidR="002A6D9E" w:rsidRPr="002A6D9E" w14:paraId="5F99E64E" w14:textId="77777777" w:rsidTr="00B406AB">
        <w:trPr>
          <w:trHeight w:val="300"/>
        </w:trPr>
        <w:tc>
          <w:tcPr>
            <w:tcW w:w="3430" w:type="dxa"/>
            <w:tcBorders>
              <w:top w:val="nil"/>
              <w:left w:val="single" w:sz="4" w:space="0" w:color="auto"/>
              <w:bottom w:val="nil"/>
              <w:right w:val="nil"/>
            </w:tcBorders>
            <w:shd w:val="clear" w:color="000000" w:fill="FFFFFF"/>
            <w:noWrap/>
            <w:hideMark/>
          </w:tcPr>
          <w:p w14:paraId="4D61D9ED"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3DF24572"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(0.0539)</w:t>
            </w:r>
          </w:p>
        </w:tc>
        <w:tc>
          <w:tcPr>
            <w:tcW w:w="1560" w:type="dxa"/>
            <w:tcBorders>
              <w:top w:val="nil"/>
              <w:left w:val="nil"/>
              <w:bottom w:val="nil"/>
              <w:right w:val="single" w:sz="4" w:space="0" w:color="auto"/>
            </w:tcBorders>
            <w:shd w:val="clear" w:color="000000" w:fill="FFFFFF"/>
            <w:noWrap/>
            <w:hideMark/>
          </w:tcPr>
          <w:p w14:paraId="125EF2EB"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(0.0273)</w:t>
            </w:r>
          </w:p>
        </w:tc>
      </w:tr>
      <w:tr w:rsidR="002A6D9E" w:rsidRPr="002A6D9E" w14:paraId="799267D5" w14:textId="77777777" w:rsidTr="00B406AB">
        <w:trPr>
          <w:trHeight w:val="300"/>
        </w:trPr>
        <w:tc>
          <w:tcPr>
            <w:tcW w:w="3430" w:type="dxa"/>
            <w:tcBorders>
              <w:top w:val="nil"/>
              <w:left w:val="single" w:sz="4" w:space="0" w:color="auto"/>
              <w:bottom w:val="nil"/>
              <w:right w:val="nil"/>
            </w:tcBorders>
            <w:shd w:val="clear" w:color="000000" w:fill="FFFFFF"/>
            <w:noWrap/>
            <w:hideMark/>
          </w:tcPr>
          <w:p w14:paraId="2E251C5F"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Unemployment_normalized</w:t>
            </w:r>
          </w:p>
        </w:tc>
        <w:tc>
          <w:tcPr>
            <w:tcW w:w="1668" w:type="dxa"/>
            <w:gridSpan w:val="2"/>
            <w:tcBorders>
              <w:top w:val="nil"/>
              <w:left w:val="nil"/>
              <w:bottom w:val="nil"/>
              <w:right w:val="nil"/>
            </w:tcBorders>
            <w:shd w:val="clear" w:color="000000" w:fill="FFFFFF"/>
            <w:noWrap/>
            <w:hideMark/>
          </w:tcPr>
          <w:p w14:paraId="60BE40C7"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1.0673***</w:t>
            </w:r>
          </w:p>
        </w:tc>
        <w:tc>
          <w:tcPr>
            <w:tcW w:w="1560" w:type="dxa"/>
            <w:tcBorders>
              <w:top w:val="nil"/>
              <w:left w:val="nil"/>
              <w:bottom w:val="nil"/>
              <w:right w:val="single" w:sz="4" w:space="0" w:color="auto"/>
            </w:tcBorders>
            <w:shd w:val="clear" w:color="000000" w:fill="FFFFFF"/>
            <w:noWrap/>
            <w:hideMark/>
          </w:tcPr>
          <w:p w14:paraId="7DC7EB14"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0.6037***</w:t>
            </w:r>
          </w:p>
        </w:tc>
      </w:tr>
      <w:tr w:rsidR="002A6D9E" w:rsidRPr="002A6D9E" w14:paraId="3AA5552E" w14:textId="77777777" w:rsidTr="00B406AB">
        <w:trPr>
          <w:trHeight w:val="300"/>
        </w:trPr>
        <w:tc>
          <w:tcPr>
            <w:tcW w:w="3430" w:type="dxa"/>
            <w:tcBorders>
              <w:top w:val="nil"/>
              <w:left w:val="single" w:sz="4" w:space="0" w:color="auto"/>
              <w:bottom w:val="nil"/>
              <w:right w:val="nil"/>
            </w:tcBorders>
            <w:shd w:val="clear" w:color="000000" w:fill="FFFFFF"/>
            <w:noWrap/>
            <w:hideMark/>
          </w:tcPr>
          <w:p w14:paraId="00A6431B"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05690581"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(0.0969)</w:t>
            </w:r>
          </w:p>
        </w:tc>
        <w:tc>
          <w:tcPr>
            <w:tcW w:w="1560" w:type="dxa"/>
            <w:tcBorders>
              <w:top w:val="nil"/>
              <w:left w:val="nil"/>
              <w:bottom w:val="nil"/>
              <w:right w:val="single" w:sz="4" w:space="0" w:color="auto"/>
            </w:tcBorders>
            <w:shd w:val="clear" w:color="000000" w:fill="FFFFFF"/>
            <w:noWrap/>
            <w:hideMark/>
          </w:tcPr>
          <w:p w14:paraId="2904DD2A"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(0.0451)</w:t>
            </w:r>
          </w:p>
        </w:tc>
      </w:tr>
      <w:tr w:rsidR="002A6D9E" w:rsidRPr="002A6D9E" w14:paraId="7C41B436" w14:textId="77777777" w:rsidTr="00B406AB">
        <w:trPr>
          <w:trHeight w:val="300"/>
        </w:trPr>
        <w:tc>
          <w:tcPr>
            <w:tcW w:w="3430" w:type="dxa"/>
            <w:tcBorders>
              <w:top w:val="nil"/>
              <w:left w:val="single" w:sz="4" w:space="0" w:color="auto"/>
              <w:bottom w:val="nil"/>
              <w:right w:val="nil"/>
            </w:tcBorders>
            <w:shd w:val="clear" w:color="000000" w:fill="FFFFFF"/>
            <w:noWrap/>
            <w:hideMark/>
          </w:tcPr>
          <w:p w14:paraId="73C193BF"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FX_log_C_2y</w:t>
            </w:r>
          </w:p>
        </w:tc>
        <w:tc>
          <w:tcPr>
            <w:tcW w:w="1668" w:type="dxa"/>
            <w:gridSpan w:val="2"/>
            <w:tcBorders>
              <w:top w:val="nil"/>
              <w:left w:val="nil"/>
              <w:bottom w:val="nil"/>
              <w:right w:val="nil"/>
            </w:tcBorders>
            <w:shd w:val="clear" w:color="000000" w:fill="FFFFFF"/>
            <w:noWrap/>
            <w:hideMark/>
          </w:tcPr>
          <w:p w14:paraId="644DFA39"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0.8575***</w:t>
            </w:r>
          </w:p>
        </w:tc>
        <w:tc>
          <w:tcPr>
            <w:tcW w:w="1560" w:type="dxa"/>
            <w:tcBorders>
              <w:top w:val="nil"/>
              <w:left w:val="nil"/>
              <w:bottom w:val="nil"/>
              <w:right w:val="single" w:sz="4" w:space="0" w:color="auto"/>
            </w:tcBorders>
            <w:shd w:val="clear" w:color="000000" w:fill="FFFFFF"/>
            <w:noWrap/>
            <w:hideMark/>
          </w:tcPr>
          <w:p w14:paraId="1E855605"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0.5483***</w:t>
            </w:r>
          </w:p>
        </w:tc>
      </w:tr>
      <w:tr w:rsidR="002A6D9E" w:rsidRPr="002A6D9E" w14:paraId="47F55328" w14:textId="77777777" w:rsidTr="00B406AB">
        <w:trPr>
          <w:trHeight w:val="300"/>
        </w:trPr>
        <w:tc>
          <w:tcPr>
            <w:tcW w:w="3430" w:type="dxa"/>
            <w:tcBorders>
              <w:top w:val="nil"/>
              <w:left w:val="single" w:sz="4" w:space="0" w:color="auto"/>
              <w:bottom w:val="nil"/>
              <w:right w:val="nil"/>
            </w:tcBorders>
            <w:shd w:val="clear" w:color="000000" w:fill="FFFFFF"/>
            <w:noWrap/>
            <w:hideMark/>
          </w:tcPr>
          <w:p w14:paraId="7FAB76DF"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6FFC4192"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(0.1767)</w:t>
            </w:r>
          </w:p>
        </w:tc>
        <w:tc>
          <w:tcPr>
            <w:tcW w:w="1560" w:type="dxa"/>
            <w:tcBorders>
              <w:top w:val="nil"/>
              <w:left w:val="nil"/>
              <w:bottom w:val="nil"/>
              <w:right w:val="single" w:sz="4" w:space="0" w:color="auto"/>
            </w:tcBorders>
            <w:shd w:val="clear" w:color="000000" w:fill="FFFFFF"/>
            <w:noWrap/>
            <w:hideMark/>
          </w:tcPr>
          <w:p w14:paraId="3B6C61EB"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(0.0886)</w:t>
            </w:r>
          </w:p>
        </w:tc>
      </w:tr>
      <w:tr w:rsidR="002A6D9E" w:rsidRPr="002A6D9E" w14:paraId="39486923" w14:textId="77777777" w:rsidTr="00B406AB">
        <w:trPr>
          <w:trHeight w:val="300"/>
        </w:trPr>
        <w:tc>
          <w:tcPr>
            <w:tcW w:w="3430" w:type="dxa"/>
            <w:tcBorders>
              <w:top w:val="nil"/>
              <w:left w:val="single" w:sz="4" w:space="0" w:color="auto"/>
              <w:bottom w:val="nil"/>
              <w:right w:val="nil"/>
            </w:tcBorders>
            <w:shd w:val="clear" w:color="000000" w:fill="FFFFFF"/>
            <w:noWrap/>
            <w:hideMark/>
          </w:tcPr>
          <w:p w14:paraId="2983F6C1"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Import_Merchandise_Price_normalized</w:t>
            </w:r>
          </w:p>
        </w:tc>
        <w:tc>
          <w:tcPr>
            <w:tcW w:w="1668" w:type="dxa"/>
            <w:gridSpan w:val="2"/>
            <w:tcBorders>
              <w:top w:val="nil"/>
              <w:left w:val="nil"/>
              <w:bottom w:val="nil"/>
              <w:right w:val="nil"/>
            </w:tcBorders>
            <w:shd w:val="clear" w:color="000000" w:fill="FFFFFF"/>
            <w:noWrap/>
            <w:hideMark/>
          </w:tcPr>
          <w:p w14:paraId="469E200E"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-0.9196***</w:t>
            </w:r>
          </w:p>
        </w:tc>
        <w:tc>
          <w:tcPr>
            <w:tcW w:w="1560" w:type="dxa"/>
            <w:tcBorders>
              <w:top w:val="nil"/>
              <w:left w:val="nil"/>
              <w:bottom w:val="nil"/>
              <w:right w:val="single" w:sz="4" w:space="0" w:color="auto"/>
            </w:tcBorders>
            <w:shd w:val="clear" w:color="000000" w:fill="FFFFFF"/>
            <w:noWrap/>
            <w:hideMark/>
          </w:tcPr>
          <w:p w14:paraId="3B40A00A"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-0.4745***</w:t>
            </w:r>
          </w:p>
        </w:tc>
      </w:tr>
      <w:tr w:rsidR="002A6D9E" w:rsidRPr="002A6D9E" w14:paraId="2C07C30B" w14:textId="77777777" w:rsidTr="00B406AB">
        <w:trPr>
          <w:trHeight w:val="300"/>
        </w:trPr>
        <w:tc>
          <w:tcPr>
            <w:tcW w:w="3430" w:type="dxa"/>
            <w:tcBorders>
              <w:top w:val="nil"/>
              <w:left w:val="single" w:sz="4" w:space="0" w:color="auto"/>
              <w:bottom w:val="nil"/>
              <w:right w:val="nil"/>
            </w:tcBorders>
            <w:shd w:val="clear" w:color="000000" w:fill="FFFFFF"/>
            <w:noWrap/>
            <w:hideMark/>
          </w:tcPr>
          <w:p w14:paraId="29F644D3"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67BB15B6"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(0.0833)</w:t>
            </w:r>
          </w:p>
        </w:tc>
        <w:tc>
          <w:tcPr>
            <w:tcW w:w="1560" w:type="dxa"/>
            <w:tcBorders>
              <w:top w:val="nil"/>
              <w:left w:val="nil"/>
              <w:bottom w:val="nil"/>
              <w:right w:val="single" w:sz="4" w:space="0" w:color="auto"/>
            </w:tcBorders>
            <w:shd w:val="clear" w:color="000000" w:fill="FFFFFF"/>
            <w:noWrap/>
            <w:hideMark/>
          </w:tcPr>
          <w:p w14:paraId="0F3CD6C3"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(0.0405)</w:t>
            </w:r>
          </w:p>
        </w:tc>
      </w:tr>
      <w:tr w:rsidR="002A6D9E" w:rsidRPr="002A6D9E" w14:paraId="3E129199" w14:textId="77777777" w:rsidTr="00B406AB">
        <w:trPr>
          <w:trHeight w:val="300"/>
        </w:trPr>
        <w:tc>
          <w:tcPr>
            <w:tcW w:w="3430" w:type="dxa"/>
            <w:tcBorders>
              <w:top w:val="nil"/>
              <w:left w:val="single" w:sz="4" w:space="0" w:color="auto"/>
              <w:bottom w:val="nil"/>
              <w:right w:val="nil"/>
            </w:tcBorders>
            <w:shd w:val="clear" w:color="000000" w:fill="FFFFFF"/>
            <w:noWrap/>
            <w:hideMark/>
          </w:tcPr>
          <w:p w14:paraId="40D24C6C"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FCyI x FCI</w:t>
            </w:r>
          </w:p>
        </w:tc>
        <w:tc>
          <w:tcPr>
            <w:tcW w:w="1668" w:type="dxa"/>
            <w:gridSpan w:val="2"/>
            <w:tcBorders>
              <w:top w:val="nil"/>
              <w:left w:val="nil"/>
              <w:bottom w:val="nil"/>
              <w:right w:val="nil"/>
            </w:tcBorders>
            <w:shd w:val="clear" w:color="000000" w:fill="FFFFFF"/>
            <w:noWrap/>
            <w:hideMark/>
          </w:tcPr>
          <w:p w14:paraId="5ECA9364"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2.0863***</w:t>
            </w:r>
          </w:p>
        </w:tc>
        <w:tc>
          <w:tcPr>
            <w:tcW w:w="1560" w:type="dxa"/>
            <w:tcBorders>
              <w:top w:val="nil"/>
              <w:left w:val="nil"/>
              <w:bottom w:val="nil"/>
              <w:right w:val="single" w:sz="4" w:space="0" w:color="auto"/>
            </w:tcBorders>
            <w:shd w:val="clear" w:color="000000" w:fill="FFFFFF"/>
            <w:noWrap/>
            <w:hideMark/>
          </w:tcPr>
          <w:p w14:paraId="1C853A19"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0.9796**</w:t>
            </w:r>
          </w:p>
        </w:tc>
      </w:tr>
      <w:tr w:rsidR="002A6D9E" w:rsidRPr="002A6D9E" w14:paraId="037A72A7" w14:textId="77777777" w:rsidTr="00B406AB">
        <w:trPr>
          <w:trHeight w:val="300"/>
        </w:trPr>
        <w:tc>
          <w:tcPr>
            <w:tcW w:w="3430" w:type="dxa"/>
            <w:tcBorders>
              <w:top w:val="nil"/>
              <w:left w:val="single" w:sz="4" w:space="0" w:color="auto"/>
              <w:bottom w:val="nil"/>
              <w:right w:val="nil"/>
            </w:tcBorders>
            <w:shd w:val="clear" w:color="000000" w:fill="FFFFFF"/>
            <w:noWrap/>
            <w:hideMark/>
          </w:tcPr>
          <w:p w14:paraId="69685D1E"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63C92D20"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(0.6735)</w:t>
            </w:r>
          </w:p>
        </w:tc>
        <w:tc>
          <w:tcPr>
            <w:tcW w:w="1560" w:type="dxa"/>
            <w:tcBorders>
              <w:top w:val="nil"/>
              <w:left w:val="nil"/>
              <w:bottom w:val="nil"/>
              <w:right w:val="single" w:sz="4" w:space="0" w:color="auto"/>
            </w:tcBorders>
            <w:shd w:val="clear" w:color="000000" w:fill="FFFFFF"/>
            <w:noWrap/>
            <w:hideMark/>
          </w:tcPr>
          <w:p w14:paraId="37D50DAD"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(0.3813)</w:t>
            </w:r>
          </w:p>
        </w:tc>
      </w:tr>
      <w:tr w:rsidR="002A6D9E" w:rsidRPr="002A6D9E" w14:paraId="0D63FB2F" w14:textId="77777777" w:rsidTr="00B406AB">
        <w:trPr>
          <w:trHeight w:val="300"/>
        </w:trPr>
        <w:tc>
          <w:tcPr>
            <w:tcW w:w="3430" w:type="dxa"/>
            <w:tcBorders>
              <w:top w:val="nil"/>
              <w:left w:val="single" w:sz="4" w:space="0" w:color="auto"/>
              <w:bottom w:val="nil"/>
              <w:right w:val="nil"/>
            </w:tcBorders>
            <w:shd w:val="clear" w:color="000000" w:fill="FFFFFF"/>
            <w:noWrap/>
            <w:hideMark/>
          </w:tcPr>
          <w:p w14:paraId="0B8D2B1E"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MPI x FCyI</w:t>
            </w:r>
          </w:p>
        </w:tc>
        <w:tc>
          <w:tcPr>
            <w:tcW w:w="1668" w:type="dxa"/>
            <w:gridSpan w:val="2"/>
            <w:tcBorders>
              <w:top w:val="nil"/>
              <w:left w:val="nil"/>
              <w:bottom w:val="nil"/>
              <w:right w:val="nil"/>
            </w:tcBorders>
            <w:shd w:val="clear" w:color="000000" w:fill="FFFFFF"/>
            <w:noWrap/>
            <w:hideMark/>
          </w:tcPr>
          <w:p w14:paraId="41BBC516"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-0.2048*</w:t>
            </w:r>
          </w:p>
        </w:tc>
        <w:tc>
          <w:tcPr>
            <w:tcW w:w="1560" w:type="dxa"/>
            <w:tcBorders>
              <w:top w:val="nil"/>
              <w:left w:val="nil"/>
              <w:bottom w:val="nil"/>
              <w:right w:val="single" w:sz="4" w:space="0" w:color="auto"/>
            </w:tcBorders>
            <w:shd w:val="clear" w:color="000000" w:fill="FFFFFF"/>
            <w:noWrap/>
            <w:hideMark/>
          </w:tcPr>
          <w:p w14:paraId="5B84B6C1"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0.0615</w:t>
            </w:r>
          </w:p>
        </w:tc>
      </w:tr>
      <w:tr w:rsidR="002A6D9E" w:rsidRPr="002A6D9E" w14:paraId="1EDD6171" w14:textId="77777777" w:rsidTr="00B406AB">
        <w:trPr>
          <w:trHeight w:val="300"/>
        </w:trPr>
        <w:tc>
          <w:tcPr>
            <w:tcW w:w="3430" w:type="dxa"/>
            <w:tcBorders>
              <w:top w:val="nil"/>
              <w:left w:val="single" w:sz="4" w:space="0" w:color="auto"/>
              <w:bottom w:val="nil"/>
              <w:right w:val="nil"/>
            </w:tcBorders>
            <w:shd w:val="clear" w:color="000000" w:fill="FFFFFF"/>
            <w:noWrap/>
            <w:hideMark/>
          </w:tcPr>
          <w:p w14:paraId="4FA7F139"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78DDE58E"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(0.1066)</w:t>
            </w:r>
          </w:p>
        </w:tc>
        <w:tc>
          <w:tcPr>
            <w:tcW w:w="1560" w:type="dxa"/>
            <w:tcBorders>
              <w:top w:val="nil"/>
              <w:left w:val="nil"/>
              <w:bottom w:val="nil"/>
              <w:right w:val="single" w:sz="4" w:space="0" w:color="auto"/>
            </w:tcBorders>
            <w:shd w:val="clear" w:color="000000" w:fill="FFFFFF"/>
            <w:noWrap/>
            <w:hideMark/>
          </w:tcPr>
          <w:p w14:paraId="73BC6E38"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(0.0614)</w:t>
            </w:r>
          </w:p>
        </w:tc>
      </w:tr>
      <w:tr w:rsidR="002A6D9E" w:rsidRPr="002A6D9E" w14:paraId="7F134524" w14:textId="77777777" w:rsidTr="00B406AB">
        <w:trPr>
          <w:trHeight w:val="300"/>
        </w:trPr>
        <w:tc>
          <w:tcPr>
            <w:tcW w:w="3430" w:type="dxa"/>
            <w:tcBorders>
              <w:top w:val="nil"/>
              <w:left w:val="single" w:sz="4" w:space="0" w:color="auto"/>
              <w:bottom w:val="nil"/>
              <w:right w:val="nil"/>
            </w:tcBorders>
            <w:shd w:val="clear" w:color="000000" w:fill="FFFFFF"/>
            <w:noWrap/>
            <w:hideMark/>
          </w:tcPr>
          <w:p w14:paraId="2DEFF2B6"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MPI x FCI</w:t>
            </w:r>
          </w:p>
        </w:tc>
        <w:tc>
          <w:tcPr>
            <w:tcW w:w="1668" w:type="dxa"/>
            <w:gridSpan w:val="2"/>
            <w:tcBorders>
              <w:top w:val="nil"/>
              <w:left w:val="nil"/>
              <w:bottom w:val="nil"/>
              <w:right w:val="nil"/>
            </w:tcBorders>
            <w:shd w:val="clear" w:color="000000" w:fill="FFFFFF"/>
            <w:noWrap/>
            <w:hideMark/>
          </w:tcPr>
          <w:p w14:paraId="693EEE9B"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-0.9881***</w:t>
            </w:r>
          </w:p>
        </w:tc>
        <w:tc>
          <w:tcPr>
            <w:tcW w:w="1560" w:type="dxa"/>
            <w:tcBorders>
              <w:top w:val="nil"/>
              <w:left w:val="nil"/>
              <w:bottom w:val="nil"/>
              <w:right w:val="single" w:sz="4" w:space="0" w:color="auto"/>
            </w:tcBorders>
            <w:shd w:val="clear" w:color="000000" w:fill="FFFFFF"/>
            <w:noWrap/>
            <w:hideMark/>
          </w:tcPr>
          <w:p w14:paraId="2E549CE2"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-0.3099***</w:t>
            </w:r>
          </w:p>
        </w:tc>
      </w:tr>
      <w:tr w:rsidR="002A6D9E" w:rsidRPr="002A6D9E" w14:paraId="050B82B0" w14:textId="77777777" w:rsidTr="00B406AB">
        <w:trPr>
          <w:trHeight w:val="300"/>
        </w:trPr>
        <w:tc>
          <w:tcPr>
            <w:tcW w:w="3430" w:type="dxa"/>
            <w:tcBorders>
              <w:top w:val="nil"/>
              <w:left w:val="single" w:sz="4" w:space="0" w:color="auto"/>
              <w:bottom w:val="nil"/>
              <w:right w:val="nil"/>
            </w:tcBorders>
            <w:shd w:val="clear" w:color="000000" w:fill="FFFFFF"/>
            <w:noWrap/>
            <w:hideMark/>
          </w:tcPr>
          <w:p w14:paraId="21507B61"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 </w:t>
            </w:r>
          </w:p>
        </w:tc>
        <w:tc>
          <w:tcPr>
            <w:tcW w:w="1668" w:type="dxa"/>
            <w:gridSpan w:val="2"/>
            <w:tcBorders>
              <w:top w:val="nil"/>
              <w:left w:val="nil"/>
              <w:bottom w:val="nil"/>
              <w:right w:val="nil"/>
            </w:tcBorders>
            <w:shd w:val="clear" w:color="000000" w:fill="FFFFFF"/>
            <w:noWrap/>
            <w:hideMark/>
          </w:tcPr>
          <w:p w14:paraId="2799F11C"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(0.1947)</w:t>
            </w:r>
          </w:p>
        </w:tc>
        <w:tc>
          <w:tcPr>
            <w:tcW w:w="1560" w:type="dxa"/>
            <w:tcBorders>
              <w:top w:val="nil"/>
              <w:left w:val="nil"/>
              <w:bottom w:val="nil"/>
              <w:right w:val="single" w:sz="4" w:space="0" w:color="auto"/>
            </w:tcBorders>
            <w:shd w:val="clear" w:color="000000" w:fill="FFFFFF"/>
            <w:noWrap/>
            <w:hideMark/>
          </w:tcPr>
          <w:p w14:paraId="57C393D7"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(0.0913)</w:t>
            </w:r>
          </w:p>
        </w:tc>
      </w:tr>
      <w:tr w:rsidR="002A6D9E" w:rsidRPr="002A6D9E" w14:paraId="0148C83E" w14:textId="77777777" w:rsidTr="00B406AB">
        <w:trPr>
          <w:trHeight w:val="300"/>
        </w:trPr>
        <w:tc>
          <w:tcPr>
            <w:tcW w:w="3430" w:type="dxa"/>
            <w:tcBorders>
              <w:top w:val="nil"/>
              <w:left w:val="single" w:sz="4" w:space="0" w:color="auto"/>
              <w:bottom w:val="nil"/>
              <w:right w:val="nil"/>
            </w:tcBorders>
            <w:shd w:val="clear" w:color="000000" w:fill="FFFFFF"/>
            <w:noWrap/>
            <w:hideMark/>
          </w:tcPr>
          <w:p w14:paraId="25A15CC7"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N</w:t>
            </w:r>
          </w:p>
        </w:tc>
        <w:tc>
          <w:tcPr>
            <w:tcW w:w="1668" w:type="dxa"/>
            <w:gridSpan w:val="2"/>
            <w:tcBorders>
              <w:top w:val="nil"/>
              <w:left w:val="nil"/>
              <w:bottom w:val="nil"/>
              <w:right w:val="nil"/>
            </w:tcBorders>
            <w:shd w:val="clear" w:color="000000" w:fill="FFFFFF"/>
            <w:noWrap/>
            <w:hideMark/>
          </w:tcPr>
          <w:p w14:paraId="3A70F2AB"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4469</w:t>
            </w:r>
          </w:p>
        </w:tc>
        <w:tc>
          <w:tcPr>
            <w:tcW w:w="1560" w:type="dxa"/>
            <w:tcBorders>
              <w:top w:val="nil"/>
              <w:left w:val="nil"/>
              <w:bottom w:val="nil"/>
              <w:right w:val="single" w:sz="4" w:space="0" w:color="auto"/>
            </w:tcBorders>
            <w:shd w:val="clear" w:color="000000" w:fill="FFFFFF"/>
            <w:noWrap/>
            <w:hideMark/>
          </w:tcPr>
          <w:p w14:paraId="1A1A62B0"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4469</w:t>
            </w:r>
          </w:p>
        </w:tc>
      </w:tr>
      <w:tr w:rsidR="002A6D9E" w:rsidRPr="002A6D9E" w14:paraId="0354828E" w14:textId="77777777" w:rsidTr="00B406AB">
        <w:trPr>
          <w:trHeight w:val="300"/>
        </w:trPr>
        <w:tc>
          <w:tcPr>
            <w:tcW w:w="3430" w:type="dxa"/>
            <w:tcBorders>
              <w:top w:val="nil"/>
              <w:left w:val="single" w:sz="4" w:space="0" w:color="auto"/>
              <w:bottom w:val="single" w:sz="4" w:space="0" w:color="auto"/>
              <w:right w:val="nil"/>
            </w:tcBorders>
            <w:shd w:val="clear" w:color="000000" w:fill="FFFFFF"/>
            <w:noWrap/>
            <w:hideMark/>
          </w:tcPr>
          <w:p w14:paraId="60369EE1" w14:textId="77777777" w:rsidR="002A6D9E" w:rsidRPr="002A6D9E" w:rsidRDefault="002A6D9E" w:rsidP="00B406AB">
            <w:pPr>
              <w:spacing w:after="0" w:line="240" w:lineRule="auto"/>
              <w:jc w:val="left"/>
              <w:rPr>
                <w:rFonts w:ascii="Calibri" w:hAnsi="Calibri" w:cs="Calibri"/>
                <w:b/>
                <w:bCs/>
                <w:color w:val="000000"/>
                <w:sz w:val="18"/>
                <w:szCs w:val="18"/>
                <w:lang w:val="en-AM" w:eastAsia="en-GB"/>
              </w:rPr>
            </w:pPr>
            <w:r w:rsidRPr="002A6D9E">
              <w:rPr>
                <w:rFonts w:ascii="Calibri" w:hAnsi="Calibri" w:cs="Calibri"/>
                <w:b/>
                <w:bCs/>
                <w:color w:val="000000"/>
                <w:sz w:val="18"/>
                <w:szCs w:val="18"/>
                <w:lang w:val="en-AM" w:eastAsia="en-GB"/>
              </w:rPr>
              <w:t>Pseudo-R2</w:t>
            </w:r>
          </w:p>
        </w:tc>
        <w:tc>
          <w:tcPr>
            <w:tcW w:w="1668" w:type="dxa"/>
            <w:gridSpan w:val="2"/>
            <w:tcBorders>
              <w:top w:val="nil"/>
              <w:left w:val="nil"/>
              <w:bottom w:val="single" w:sz="4" w:space="0" w:color="auto"/>
              <w:right w:val="nil"/>
            </w:tcBorders>
            <w:shd w:val="clear" w:color="000000" w:fill="FFFFFF"/>
            <w:noWrap/>
            <w:hideMark/>
          </w:tcPr>
          <w:p w14:paraId="2A7A0BF6"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0.18</w:t>
            </w:r>
          </w:p>
        </w:tc>
        <w:tc>
          <w:tcPr>
            <w:tcW w:w="1560" w:type="dxa"/>
            <w:tcBorders>
              <w:top w:val="nil"/>
              <w:left w:val="nil"/>
              <w:bottom w:val="single" w:sz="4" w:space="0" w:color="auto"/>
              <w:right w:val="single" w:sz="4" w:space="0" w:color="auto"/>
            </w:tcBorders>
            <w:shd w:val="clear" w:color="000000" w:fill="FFFFFF"/>
            <w:noWrap/>
            <w:hideMark/>
          </w:tcPr>
          <w:p w14:paraId="2729A2BA" w14:textId="77777777" w:rsidR="002A6D9E" w:rsidRPr="002A6D9E" w:rsidRDefault="002A6D9E" w:rsidP="00B406AB">
            <w:pPr>
              <w:spacing w:after="0" w:line="240" w:lineRule="auto"/>
              <w:jc w:val="center"/>
              <w:rPr>
                <w:rFonts w:ascii="Calibri" w:hAnsi="Calibri" w:cs="Calibri"/>
                <w:color w:val="000000"/>
                <w:sz w:val="18"/>
                <w:szCs w:val="18"/>
                <w:lang w:val="en-AM" w:eastAsia="en-GB"/>
              </w:rPr>
            </w:pPr>
            <w:r w:rsidRPr="002A6D9E">
              <w:rPr>
                <w:rFonts w:ascii="Calibri" w:hAnsi="Calibri" w:cs="Calibri"/>
                <w:color w:val="000000"/>
                <w:sz w:val="18"/>
                <w:szCs w:val="18"/>
                <w:lang w:val="en-AM" w:eastAsia="en-GB"/>
              </w:rPr>
              <w:t>0.20</w:t>
            </w:r>
          </w:p>
        </w:tc>
      </w:tr>
    </w:tbl>
    <w:p w14:paraId="5D0BF18A" w14:textId="77777777" w:rsidR="000A718C" w:rsidRDefault="000A718C" w:rsidP="00CB149D">
      <w:pPr>
        <w:spacing w:after="0" w:line="240" w:lineRule="auto"/>
      </w:pPr>
      <w:r>
        <w:rPr>
          <w:noProof/>
        </w:rPr>
        <w:drawing>
          <wp:inline distT="0" distB="0" distL="0" distR="0" wp14:anchorId="60A50A0C" wp14:editId="1BC446BB">
            <wp:extent cx="5943600" cy="25825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5"/>
                    <a:stretch>
                      <a:fillRect/>
                    </a:stretch>
                  </pic:blipFill>
                  <pic:spPr>
                    <a:xfrm>
                      <a:off x="0" y="0"/>
                      <a:ext cx="5943600" cy="2582545"/>
                    </a:xfrm>
                    <a:prstGeom prst="rect">
                      <a:avLst/>
                    </a:prstGeom>
                  </pic:spPr>
                </pic:pic>
              </a:graphicData>
            </a:graphic>
          </wp:inline>
        </w:drawing>
      </w:r>
    </w:p>
    <w:p w14:paraId="281C9223" w14:textId="10CB6CA4" w:rsidR="000A718C" w:rsidRDefault="000A718C" w:rsidP="000A718C">
      <w:pPr>
        <w:pStyle w:val="Caption"/>
        <w:jc w:val="both"/>
        <w:rPr>
          <w:bCs/>
        </w:rPr>
      </w:pPr>
      <w:r>
        <w:t xml:space="preserve">Figure </w:t>
      </w:r>
      <w:fldSimple w:instr=" SEQ Figure \* ARABIC ">
        <w:r w:rsidR="00E941CA">
          <w:rPr>
            <w:noProof/>
          </w:rPr>
          <w:t>25</w:t>
        </w:r>
      </w:fldSimple>
      <w:r>
        <w:t xml:space="preserve">. </w:t>
      </w:r>
      <w:r w:rsidR="00DB3118">
        <w:rPr>
          <w:b w:val="0"/>
          <w:bCs/>
        </w:rPr>
        <w:t>Panel q</w:t>
      </w:r>
      <w:r w:rsidRPr="000A718C">
        <w:rPr>
          <w:b w:val="0"/>
          <w:bCs/>
        </w:rPr>
        <w:t xml:space="preserve">uantile regression one year ahead fitted values </w:t>
      </w:r>
      <w:r w:rsidR="00D93C10">
        <w:rPr>
          <w:b w:val="0"/>
          <w:bCs/>
        </w:rPr>
        <w:t xml:space="preserve">of Armenia </w:t>
      </w:r>
      <w:r w:rsidRPr="000A718C">
        <w:rPr>
          <w:b w:val="0"/>
          <w:bCs/>
        </w:rPr>
        <w:t>for different quantiles</w:t>
      </w:r>
      <w:r w:rsidR="00D93C10">
        <w:rPr>
          <w:b w:val="0"/>
          <w:bCs/>
        </w:rPr>
        <w:t>.</w:t>
      </w:r>
    </w:p>
    <w:p w14:paraId="534029AD" w14:textId="5B75234D" w:rsidR="000A718C" w:rsidRDefault="00B27DA3" w:rsidP="00FB098A">
      <w:pPr>
        <w:rPr>
          <w:bCs/>
        </w:rPr>
      </w:pPr>
      <w:r>
        <w:rPr>
          <w:bCs/>
        </w:rPr>
        <w:lastRenderedPageBreak/>
        <w:t xml:space="preserve">In </w:t>
      </w:r>
      <w:r w:rsidRPr="00B27DA3">
        <w:rPr>
          <w:b/>
        </w:rPr>
        <w:fldChar w:fldCharType="begin"/>
      </w:r>
      <w:r w:rsidRPr="00B27DA3">
        <w:rPr>
          <w:b/>
        </w:rPr>
        <w:instrText xml:space="preserve"> REF _Ref176968073 \h </w:instrText>
      </w:r>
      <w:r>
        <w:rPr>
          <w:b/>
        </w:rPr>
        <w:instrText xml:space="preserve"> \* MERGEFORMAT </w:instrText>
      </w:r>
      <w:r w:rsidRPr="00B27DA3">
        <w:rPr>
          <w:b/>
        </w:rPr>
      </w:r>
      <w:r w:rsidRPr="00B27DA3">
        <w:rPr>
          <w:b/>
        </w:rPr>
        <w:fldChar w:fldCharType="separate"/>
      </w:r>
      <w:r w:rsidRPr="00B27DA3">
        <w:rPr>
          <w:b/>
        </w:rPr>
        <w:t xml:space="preserve">Figure </w:t>
      </w:r>
      <w:r w:rsidRPr="00B27DA3">
        <w:rPr>
          <w:b/>
          <w:noProof/>
        </w:rPr>
        <w:t>26</w:t>
      </w:r>
      <w:r w:rsidRPr="00B27DA3">
        <w:rPr>
          <w:b/>
        </w:rPr>
        <w:fldChar w:fldCharType="end"/>
      </w:r>
      <w:r>
        <w:rPr>
          <w:bCs/>
        </w:rPr>
        <w:t xml:space="preserve"> we plot the estimated median and distance-to-tail (Gap) values. We then use the </w:t>
      </w:r>
      <w:r w:rsidRPr="00B27DA3">
        <w:rPr>
          <w:bCs/>
        </w:rPr>
        <w:t>Local Outlier Factor (LOF)</w:t>
      </w:r>
      <w:r>
        <w:rPr>
          <w:bCs/>
        </w:rPr>
        <w:t xml:space="preserve"> </w:t>
      </w:r>
      <w:r w:rsidRPr="00B27DA3">
        <w:rPr>
          <w:bCs/>
        </w:rPr>
        <w:t>algorithm</w:t>
      </w:r>
      <w:r>
        <w:rPr>
          <w:bCs/>
        </w:rPr>
        <w:t xml:space="preserve"> on the data points to compute local densities for each of the points relative to their </w:t>
      </w:r>
      <w:r w:rsidRPr="00B27DA3">
        <w:rPr>
          <w:bCs/>
        </w:rPr>
        <w:t>neighbors</w:t>
      </w:r>
      <w:r>
        <w:rPr>
          <w:bCs/>
        </w:rPr>
        <w:t xml:space="preserve">. Points with very low </w:t>
      </w:r>
      <w:r w:rsidRPr="00B27DA3">
        <w:rPr>
          <w:bCs/>
        </w:rPr>
        <w:t>density</w:t>
      </w:r>
      <w:r>
        <w:rPr>
          <w:bCs/>
        </w:rPr>
        <w:t xml:space="preserve"> are considered to be outliers (marked in red). </w:t>
      </w:r>
      <w:r w:rsidR="00C65897">
        <w:rPr>
          <w:bCs/>
        </w:rPr>
        <w:t xml:space="preserve">Using this </w:t>
      </w:r>
      <w:r w:rsidR="00C65897" w:rsidRPr="00B27DA3">
        <w:rPr>
          <w:bCs/>
        </w:rPr>
        <w:t>density</w:t>
      </w:r>
      <w:r w:rsidR="00C65897">
        <w:rPr>
          <w:bCs/>
        </w:rPr>
        <w:t xml:space="preserve"> function we derive a </w:t>
      </w:r>
      <w:r w:rsidR="00C65897" w:rsidRPr="00C65897">
        <w:rPr>
          <w:bCs/>
        </w:rPr>
        <w:t>boundary</w:t>
      </w:r>
      <w:r w:rsidR="00C65897">
        <w:rPr>
          <w:bCs/>
        </w:rPr>
        <w:t xml:space="preserve"> that best describes the efficient frontier for our risk (Gap) and reward (median) pairs. B</w:t>
      </w:r>
      <w:r w:rsidR="00C65897" w:rsidRPr="00C65897">
        <w:rPr>
          <w:bCs/>
        </w:rPr>
        <w:t>oundary</w:t>
      </w:r>
      <w:r w:rsidR="00C65897">
        <w:rPr>
          <w:bCs/>
        </w:rPr>
        <w:t xml:space="preserve"> points are marked in orange. By fitting a </w:t>
      </w:r>
      <w:r w:rsidR="00C65897" w:rsidRPr="00C65897">
        <w:rPr>
          <w:bCs/>
        </w:rPr>
        <w:t>polynomial</w:t>
      </w:r>
      <w:r w:rsidR="00C65897">
        <w:rPr>
          <w:bCs/>
        </w:rPr>
        <w:t xml:space="preserve"> onto these </w:t>
      </w:r>
      <w:r w:rsidR="00B77F4E">
        <w:rPr>
          <w:bCs/>
        </w:rPr>
        <w:t>points,</w:t>
      </w:r>
      <w:r w:rsidR="00C65897">
        <w:rPr>
          <w:bCs/>
        </w:rPr>
        <w:t xml:space="preserve"> it is possible to </w:t>
      </w:r>
      <w:r w:rsidR="00C65897" w:rsidRPr="00C65897">
        <w:rPr>
          <w:bCs/>
        </w:rPr>
        <w:t>derive an</w:t>
      </w:r>
      <w:r w:rsidR="00C65897">
        <w:rPr>
          <w:bCs/>
        </w:rPr>
        <w:t xml:space="preserve"> </w:t>
      </w:r>
      <w:r w:rsidR="00C65897" w:rsidRPr="00C65897">
        <w:rPr>
          <w:bCs/>
        </w:rPr>
        <w:t>explicit</w:t>
      </w:r>
      <w:r w:rsidR="00C65897">
        <w:rPr>
          <w:bCs/>
        </w:rPr>
        <w:t xml:space="preserve"> </w:t>
      </w:r>
      <w:r w:rsidR="00C65897" w:rsidRPr="00C65897">
        <w:rPr>
          <w:bCs/>
        </w:rPr>
        <w:t>frontier function</w:t>
      </w:r>
      <w:r w:rsidR="00C65897">
        <w:rPr>
          <w:bCs/>
        </w:rPr>
        <w:t>.</w:t>
      </w:r>
    </w:p>
    <w:p w14:paraId="56F88286" w14:textId="77777777" w:rsidR="00BF7323" w:rsidRDefault="00BF7323" w:rsidP="00CB149D">
      <w:pPr>
        <w:spacing w:after="0" w:line="240" w:lineRule="auto"/>
      </w:pPr>
      <w:r>
        <w:rPr>
          <w:noProof/>
        </w:rPr>
        <w:drawing>
          <wp:inline distT="0" distB="0" distL="0" distR="0" wp14:anchorId="281FFF89" wp14:editId="35846ACC">
            <wp:extent cx="5943600" cy="2738120"/>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6"/>
                    <a:stretch>
                      <a:fillRect/>
                    </a:stretch>
                  </pic:blipFill>
                  <pic:spPr>
                    <a:xfrm>
                      <a:off x="0" y="0"/>
                      <a:ext cx="5943600" cy="2738120"/>
                    </a:xfrm>
                    <a:prstGeom prst="rect">
                      <a:avLst/>
                    </a:prstGeom>
                  </pic:spPr>
                </pic:pic>
              </a:graphicData>
            </a:graphic>
          </wp:inline>
        </w:drawing>
      </w:r>
    </w:p>
    <w:p w14:paraId="2E908EAE" w14:textId="1813CAB4" w:rsidR="00E1334A" w:rsidRDefault="00BF7323" w:rsidP="00BF7323">
      <w:pPr>
        <w:pStyle w:val="Caption"/>
        <w:jc w:val="both"/>
        <w:rPr>
          <w:bCs/>
        </w:rPr>
      </w:pPr>
      <w:bookmarkStart w:id="24" w:name="_Ref176968073"/>
      <w:r>
        <w:t xml:space="preserve">Figure </w:t>
      </w:r>
      <w:fldSimple w:instr=" SEQ Figure \* ARABIC ">
        <w:r w:rsidR="00E941CA">
          <w:rPr>
            <w:noProof/>
          </w:rPr>
          <w:t>26</w:t>
        </w:r>
      </w:fldSimple>
      <w:bookmarkEnd w:id="24"/>
      <w:r>
        <w:t xml:space="preserve">. </w:t>
      </w:r>
      <w:r w:rsidRPr="00BF7323">
        <w:rPr>
          <w:b w:val="0"/>
          <w:bCs/>
        </w:rPr>
        <w:t>Local Outlier Factor (LOF) boundary based on estimates from 41 countries</w:t>
      </w:r>
      <w:r w:rsidR="00B27DA3">
        <w:rPr>
          <w:b w:val="0"/>
          <w:bCs/>
        </w:rPr>
        <w:t>.</w:t>
      </w:r>
    </w:p>
    <w:p w14:paraId="147182F6" w14:textId="79431091" w:rsidR="00FB098A" w:rsidRDefault="00FB098A" w:rsidP="00FB098A">
      <w:pPr>
        <w:rPr>
          <w:b/>
        </w:rPr>
      </w:pPr>
      <w:r w:rsidRPr="00FB098A">
        <w:rPr>
          <w:b/>
        </w:rPr>
        <w:t>B</w:t>
      </w:r>
      <w:r>
        <w:rPr>
          <w:b/>
        </w:rPr>
        <w:t>2</w:t>
      </w:r>
      <w:r w:rsidRPr="00FB098A">
        <w:rPr>
          <w:b/>
        </w:rPr>
        <w:t>. Local model estimation results</w:t>
      </w:r>
    </w:p>
    <w:p w14:paraId="6ED8CAC9" w14:textId="2E0036D1" w:rsidR="00994A24" w:rsidRDefault="00994A24" w:rsidP="00994A24">
      <w:pPr>
        <w:pStyle w:val="Caption"/>
        <w:keepNext/>
        <w:spacing w:after="0"/>
        <w:jc w:val="left"/>
      </w:pPr>
      <w:r>
        <w:t xml:space="preserve">Table </w:t>
      </w:r>
      <w:fldSimple w:instr=" SEQ Table \* ARABIC ">
        <w:r w:rsidR="002A6D9E">
          <w:rPr>
            <w:noProof/>
          </w:rPr>
          <w:t>2</w:t>
        </w:r>
      </w:fldSimple>
      <w:r>
        <w:t xml:space="preserve">. </w:t>
      </w:r>
      <w:r w:rsidRPr="005929A0">
        <w:t xml:space="preserve">In sample </w:t>
      </w:r>
      <w:r w:rsidR="001C3F42">
        <w:t xml:space="preserve">local </w:t>
      </w:r>
      <w:r w:rsidRPr="005929A0">
        <w:t>quantile regression coefficients</w:t>
      </w:r>
    </w:p>
    <w:tbl>
      <w:tblPr>
        <w:tblpPr w:leftFromText="567" w:rightFromText="567" w:bottomFromText="284" w:vertAnchor="text" w:tblpY="1"/>
        <w:tblOverlap w:val="never"/>
        <w:tblW w:w="8821" w:type="dxa"/>
        <w:tblLook w:val="04A0" w:firstRow="1" w:lastRow="0" w:firstColumn="1" w:lastColumn="0" w:noHBand="0" w:noVBand="1"/>
      </w:tblPr>
      <w:tblGrid>
        <w:gridCol w:w="2283"/>
        <w:gridCol w:w="1634"/>
        <w:gridCol w:w="1635"/>
        <w:gridCol w:w="1634"/>
        <w:gridCol w:w="1635"/>
      </w:tblGrid>
      <w:tr w:rsidR="00994A24" w:rsidRPr="00994A24" w14:paraId="47859104" w14:textId="77777777" w:rsidTr="00994A24">
        <w:trPr>
          <w:trHeight w:val="304"/>
        </w:trPr>
        <w:tc>
          <w:tcPr>
            <w:tcW w:w="2283" w:type="dxa"/>
            <w:tcBorders>
              <w:top w:val="single" w:sz="4" w:space="0" w:color="auto"/>
              <w:left w:val="single" w:sz="4" w:space="0" w:color="auto"/>
              <w:bottom w:val="single" w:sz="4" w:space="0" w:color="auto"/>
              <w:right w:val="nil"/>
            </w:tcBorders>
            <w:shd w:val="clear" w:color="000000" w:fill="FFFFFF"/>
            <w:noWrap/>
            <w:hideMark/>
          </w:tcPr>
          <w:p w14:paraId="1A031B77" w14:textId="77777777" w:rsidR="00994A24" w:rsidRPr="00994A24" w:rsidRDefault="00994A24" w:rsidP="00994A24">
            <w:pPr>
              <w:spacing w:after="0" w:line="240" w:lineRule="auto"/>
              <w:jc w:val="center"/>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Variables</w:t>
            </w:r>
          </w:p>
        </w:tc>
        <w:tc>
          <w:tcPr>
            <w:tcW w:w="1634" w:type="dxa"/>
            <w:tcBorders>
              <w:top w:val="single" w:sz="4" w:space="0" w:color="auto"/>
              <w:left w:val="nil"/>
              <w:bottom w:val="single" w:sz="4" w:space="0" w:color="auto"/>
              <w:right w:val="nil"/>
            </w:tcBorders>
            <w:shd w:val="clear" w:color="000000" w:fill="FFFFFF"/>
            <w:noWrap/>
            <w:hideMark/>
          </w:tcPr>
          <w:p w14:paraId="04416460" w14:textId="77777777" w:rsidR="00994A24" w:rsidRPr="002E7059" w:rsidRDefault="00994A24" w:rsidP="00994A24">
            <w:pPr>
              <w:spacing w:after="0" w:line="240" w:lineRule="auto"/>
              <w:jc w:val="center"/>
              <w:rPr>
                <w:rFonts w:ascii="Calibri" w:hAnsi="Calibri" w:cs="Calibri"/>
                <w:color w:val="000000"/>
                <w:sz w:val="16"/>
                <w:szCs w:val="16"/>
                <w:lang w:val="en-AM" w:eastAsia="en-GB"/>
              </w:rPr>
            </w:pPr>
            <w:r w:rsidRPr="002E7059">
              <w:rPr>
                <w:rFonts w:ascii="Calibri" w:hAnsi="Calibri" w:cs="Calibri"/>
                <w:color w:val="000000"/>
                <w:sz w:val="16"/>
                <w:szCs w:val="16"/>
                <w:lang w:val="en-AM" w:eastAsia="en-GB"/>
              </w:rPr>
              <w:t>GDP growth, h=4, q=0.1, e=b</w:t>
            </w:r>
          </w:p>
        </w:tc>
        <w:tc>
          <w:tcPr>
            <w:tcW w:w="1635" w:type="dxa"/>
            <w:tcBorders>
              <w:top w:val="single" w:sz="4" w:space="0" w:color="auto"/>
              <w:left w:val="nil"/>
              <w:bottom w:val="single" w:sz="4" w:space="0" w:color="auto"/>
              <w:right w:val="nil"/>
            </w:tcBorders>
            <w:shd w:val="clear" w:color="000000" w:fill="FFFFFF"/>
            <w:noWrap/>
            <w:hideMark/>
          </w:tcPr>
          <w:p w14:paraId="5BB46212" w14:textId="77777777" w:rsidR="00994A24" w:rsidRPr="00994A24" w:rsidRDefault="00994A24" w:rsidP="00994A24">
            <w:pPr>
              <w:spacing w:after="0" w:line="240" w:lineRule="auto"/>
              <w:jc w:val="center"/>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GDP growth, h=4, q=0.1, e=f</w:t>
            </w:r>
          </w:p>
        </w:tc>
        <w:tc>
          <w:tcPr>
            <w:tcW w:w="1634" w:type="dxa"/>
            <w:tcBorders>
              <w:top w:val="single" w:sz="4" w:space="0" w:color="auto"/>
              <w:left w:val="nil"/>
              <w:bottom w:val="single" w:sz="4" w:space="0" w:color="auto"/>
              <w:right w:val="nil"/>
            </w:tcBorders>
            <w:shd w:val="clear" w:color="000000" w:fill="FFFFFF"/>
            <w:noWrap/>
            <w:hideMark/>
          </w:tcPr>
          <w:p w14:paraId="32232EA9" w14:textId="77777777" w:rsidR="00994A24" w:rsidRPr="002E7059" w:rsidRDefault="00994A24" w:rsidP="00994A24">
            <w:pPr>
              <w:spacing w:after="0" w:line="240" w:lineRule="auto"/>
              <w:jc w:val="center"/>
              <w:rPr>
                <w:rFonts w:ascii="Calibri" w:hAnsi="Calibri" w:cs="Calibri"/>
                <w:color w:val="000000"/>
                <w:sz w:val="16"/>
                <w:szCs w:val="16"/>
                <w:lang w:val="en-AM" w:eastAsia="en-GB"/>
              </w:rPr>
            </w:pPr>
            <w:r w:rsidRPr="002E7059">
              <w:rPr>
                <w:rFonts w:ascii="Calibri" w:hAnsi="Calibri" w:cs="Calibri"/>
                <w:color w:val="000000"/>
                <w:sz w:val="16"/>
                <w:szCs w:val="16"/>
                <w:lang w:val="en-AM" w:eastAsia="en-GB"/>
              </w:rPr>
              <w:t>GDP growth, h=4, q=0.5, e=b</w:t>
            </w:r>
          </w:p>
        </w:tc>
        <w:tc>
          <w:tcPr>
            <w:tcW w:w="1635" w:type="dxa"/>
            <w:tcBorders>
              <w:top w:val="single" w:sz="4" w:space="0" w:color="auto"/>
              <w:left w:val="nil"/>
              <w:bottom w:val="single" w:sz="4" w:space="0" w:color="auto"/>
              <w:right w:val="single" w:sz="4" w:space="0" w:color="auto"/>
            </w:tcBorders>
            <w:shd w:val="clear" w:color="000000" w:fill="FFFFFF"/>
            <w:noWrap/>
            <w:hideMark/>
          </w:tcPr>
          <w:p w14:paraId="0AC1CA96" w14:textId="77777777" w:rsidR="00994A24" w:rsidRPr="00994A24" w:rsidRDefault="00994A24" w:rsidP="00994A24">
            <w:pPr>
              <w:spacing w:after="0" w:line="240" w:lineRule="auto"/>
              <w:jc w:val="center"/>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GDP growth, h=4, q=0.5, e=f</w:t>
            </w:r>
          </w:p>
        </w:tc>
      </w:tr>
      <w:tr w:rsidR="00994A24" w:rsidRPr="00994A24" w14:paraId="53D219A0" w14:textId="77777777" w:rsidTr="00994A24">
        <w:trPr>
          <w:trHeight w:val="304"/>
        </w:trPr>
        <w:tc>
          <w:tcPr>
            <w:tcW w:w="2283" w:type="dxa"/>
            <w:tcBorders>
              <w:top w:val="nil"/>
              <w:left w:val="single" w:sz="4" w:space="0" w:color="auto"/>
              <w:bottom w:val="nil"/>
              <w:right w:val="nil"/>
            </w:tcBorders>
            <w:shd w:val="clear" w:color="000000" w:fill="FFFFFF"/>
            <w:noWrap/>
            <w:hideMark/>
          </w:tcPr>
          <w:p w14:paraId="6A192CF4"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autoregressive</w:t>
            </w:r>
          </w:p>
        </w:tc>
        <w:tc>
          <w:tcPr>
            <w:tcW w:w="1634" w:type="dxa"/>
            <w:tcBorders>
              <w:top w:val="nil"/>
              <w:left w:val="nil"/>
              <w:bottom w:val="nil"/>
              <w:right w:val="nil"/>
            </w:tcBorders>
            <w:shd w:val="clear" w:color="000000" w:fill="FFFFFF"/>
            <w:noWrap/>
            <w:hideMark/>
          </w:tcPr>
          <w:p w14:paraId="62DE790F"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-0.49***</w:t>
            </w:r>
          </w:p>
        </w:tc>
        <w:tc>
          <w:tcPr>
            <w:tcW w:w="1635" w:type="dxa"/>
            <w:tcBorders>
              <w:top w:val="nil"/>
              <w:left w:val="nil"/>
              <w:bottom w:val="nil"/>
              <w:right w:val="nil"/>
            </w:tcBorders>
            <w:shd w:val="clear" w:color="000000" w:fill="FFFFFF"/>
            <w:noWrap/>
            <w:hideMark/>
          </w:tcPr>
          <w:p w14:paraId="0BD72E49"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-0.10</w:t>
            </w:r>
          </w:p>
        </w:tc>
        <w:tc>
          <w:tcPr>
            <w:tcW w:w="1634" w:type="dxa"/>
            <w:tcBorders>
              <w:top w:val="nil"/>
              <w:left w:val="nil"/>
              <w:bottom w:val="nil"/>
              <w:right w:val="nil"/>
            </w:tcBorders>
            <w:shd w:val="clear" w:color="000000" w:fill="FFFFFF"/>
            <w:noWrap/>
            <w:hideMark/>
          </w:tcPr>
          <w:p w14:paraId="5917675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-0.41***</w:t>
            </w:r>
          </w:p>
        </w:tc>
        <w:tc>
          <w:tcPr>
            <w:tcW w:w="1635" w:type="dxa"/>
            <w:tcBorders>
              <w:top w:val="nil"/>
              <w:left w:val="nil"/>
              <w:bottom w:val="nil"/>
              <w:right w:val="single" w:sz="4" w:space="0" w:color="auto"/>
            </w:tcBorders>
            <w:shd w:val="clear" w:color="000000" w:fill="FFFFFF"/>
            <w:noWrap/>
            <w:hideMark/>
          </w:tcPr>
          <w:p w14:paraId="71E40649"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-0.19*</w:t>
            </w:r>
          </w:p>
        </w:tc>
      </w:tr>
      <w:tr w:rsidR="00994A24" w:rsidRPr="00994A24" w14:paraId="0D4E90B8" w14:textId="77777777" w:rsidTr="00994A24">
        <w:trPr>
          <w:trHeight w:val="304"/>
        </w:trPr>
        <w:tc>
          <w:tcPr>
            <w:tcW w:w="2283" w:type="dxa"/>
            <w:tcBorders>
              <w:top w:val="nil"/>
              <w:left w:val="single" w:sz="4" w:space="0" w:color="auto"/>
              <w:bottom w:val="nil"/>
              <w:right w:val="nil"/>
            </w:tcBorders>
            <w:shd w:val="clear" w:color="000000" w:fill="FFFFFF"/>
            <w:noWrap/>
            <w:hideMark/>
          </w:tcPr>
          <w:p w14:paraId="3E2DF9C0"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04D3007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(0.16)</w:t>
            </w:r>
          </w:p>
        </w:tc>
        <w:tc>
          <w:tcPr>
            <w:tcW w:w="1635" w:type="dxa"/>
            <w:tcBorders>
              <w:top w:val="nil"/>
              <w:left w:val="nil"/>
              <w:bottom w:val="nil"/>
              <w:right w:val="nil"/>
            </w:tcBorders>
            <w:shd w:val="clear" w:color="000000" w:fill="FFFFFF"/>
            <w:noWrap/>
            <w:hideMark/>
          </w:tcPr>
          <w:p w14:paraId="2DC47951"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(0.20)</w:t>
            </w:r>
          </w:p>
        </w:tc>
        <w:tc>
          <w:tcPr>
            <w:tcW w:w="1634" w:type="dxa"/>
            <w:tcBorders>
              <w:top w:val="nil"/>
              <w:left w:val="nil"/>
              <w:bottom w:val="nil"/>
              <w:right w:val="nil"/>
            </w:tcBorders>
            <w:shd w:val="clear" w:color="000000" w:fill="FFFFFF"/>
            <w:noWrap/>
            <w:hideMark/>
          </w:tcPr>
          <w:p w14:paraId="656EEDD8"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(0.09)</w:t>
            </w:r>
          </w:p>
        </w:tc>
        <w:tc>
          <w:tcPr>
            <w:tcW w:w="1635" w:type="dxa"/>
            <w:tcBorders>
              <w:top w:val="nil"/>
              <w:left w:val="nil"/>
              <w:bottom w:val="nil"/>
              <w:right w:val="single" w:sz="4" w:space="0" w:color="auto"/>
            </w:tcBorders>
            <w:shd w:val="clear" w:color="000000" w:fill="FFFFFF"/>
            <w:noWrap/>
            <w:hideMark/>
          </w:tcPr>
          <w:p w14:paraId="6BA75401"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(0.11)</w:t>
            </w:r>
          </w:p>
        </w:tc>
      </w:tr>
      <w:tr w:rsidR="00994A24" w:rsidRPr="00994A24" w14:paraId="3E421102" w14:textId="77777777" w:rsidTr="00994A24">
        <w:trPr>
          <w:trHeight w:val="304"/>
        </w:trPr>
        <w:tc>
          <w:tcPr>
            <w:tcW w:w="2283" w:type="dxa"/>
            <w:tcBorders>
              <w:top w:val="nil"/>
              <w:left w:val="single" w:sz="4" w:space="0" w:color="auto"/>
              <w:bottom w:val="nil"/>
              <w:right w:val="nil"/>
            </w:tcBorders>
            <w:shd w:val="clear" w:color="000000" w:fill="FFFFFF"/>
            <w:noWrap/>
            <w:hideMark/>
          </w:tcPr>
          <w:p w14:paraId="1A129B1E"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const</w:t>
            </w:r>
          </w:p>
        </w:tc>
        <w:tc>
          <w:tcPr>
            <w:tcW w:w="1634" w:type="dxa"/>
            <w:tcBorders>
              <w:top w:val="nil"/>
              <w:left w:val="nil"/>
              <w:bottom w:val="nil"/>
              <w:right w:val="nil"/>
            </w:tcBorders>
            <w:shd w:val="clear" w:color="000000" w:fill="FFFFFF"/>
            <w:noWrap/>
            <w:hideMark/>
          </w:tcPr>
          <w:p w14:paraId="56D5912F"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-11.06**</w:t>
            </w:r>
          </w:p>
        </w:tc>
        <w:tc>
          <w:tcPr>
            <w:tcW w:w="1635" w:type="dxa"/>
            <w:tcBorders>
              <w:top w:val="nil"/>
              <w:left w:val="nil"/>
              <w:bottom w:val="nil"/>
              <w:right w:val="nil"/>
            </w:tcBorders>
            <w:shd w:val="clear" w:color="000000" w:fill="FFFFFF"/>
            <w:noWrap/>
            <w:hideMark/>
          </w:tcPr>
          <w:p w14:paraId="5A2F9642"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10.90</w:t>
            </w:r>
          </w:p>
        </w:tc>
        <w:tc>
          <w:tcPr>
            <w:tcW w:w="1634" w:type="dxa"/>
            <w:tcBorders>
              <w:top w:val="nil"/>
              <w:left w:val="nil"/>
              <w:bottom w:val="nil"/>
              <w:right w:val="nil"/>
            </w:tcBorders>
            <w:shd w:val="clear" w:color="000000" w:fill="FFFFFF"/>
            <w:noWrap/>
            <w:hideMark/>
          </w:tcPr>
          <w:p w14:paraId="6EA4482D"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-1.03</w:t>
            </w:r>
          </w:p>
        </w:tc>
        <w:tc>
          <w:tcPr>
            <w:tcW w:w="1635" w:type="dxa"/>
            <w:tcBorders>
              <w:top w:val="nil"/>
              <w:left w:val="nil"/>
              <w:bottom w:val="nil"/>
              <w:right w:val="single" w:sz="4" w:space="0" w:color="auto"/>
            </w:tcBorders>
            <w:shd w:val="clear" w:color="000000" w:fill="FFFFFF"/>
            <w:noWrap/>
            <w:hideMark/>
          </w:tcPr>
          <w:p w14:paraId="2F71DD43"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5.20*</w:t>
            </w:r>
          </w:p>
        </w:tc>
      </w:tr>
      <w:tr w:rsidR="00994A24" w:rsidRPr="00994A24" w14:paraId="5F6A97A9" w14:textId="77777777" w:rsidTr="00994A24">
        <w:trPr>
          <w:trHeight w:val="304"/>
        </w:trPr>
        <w:tc>
          <w:tcPr>
            <w:tcW w:w="2283" w:type="dxa"/>
            <w:tcBorders>
              <w:top w:val="nil"/>
              <w:left w:val="single" w:sz="4" w:space="0" w:color="auto"/>
              <w:bottom w:val="nil"/>
              <w:right w:val="nil"/>
            </w:tcBorders>
            <w:shd w:val="clear" w:color="000000" w:fill="FFFFFF"/>
            <w:noWrap/>
            <w:hideMark/>
          </w:tcPr>
          <w:p w14:paraId="07934003"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370B751A"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(4.57)</w:t>
            </w:r>
          </w:p>
        </w:tc>
        <w:tc>
          <w:tcPr>
            <w:tcW w:w="1635" w:type="dxa"/>
            <w:tcBorders>
              <w:top w:val="nil"/>
              <w:left w:val="nil"/>
              <w:bottom w:val="nil"/>
              <w:right w:val="nil"/>
            </w:tcBorders>
            <w:shd w:val="clear" w:color="000000" w:fill="FFFFFF"/>
            <w:noWrap/>
            <w:hideMark/>
          </w:tcPr>
          <w:p w14:paraId="4D984142"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(7.75)</w:t>
            </w:r>
          </w:p>
        </w:tc>
        <w:tc>
          <w:tcPr>
            <w:tcW w:w="1634" w:type="dxa"/>
            <w:tcBorders>
              <w:top w:val="nil"/>
              <w:left w:val="nil"/>
              <w:bottom w:val="nil"/>
              <w:right w:val="nil"/>
            </w:tcBorders>
            <w:shd w:val="clear" w:color="000000" w:fill="FFFFFF"/>
            <w:noWrap/>
            <w:hideMark/>
          </w:tcPr>
          <w:p w14:paraId="650C6082"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(3.13)</w:t>
            </w:r>
          </w:p>
        </w:tc>
        <w:tc>
          <w:tcPr>
            <w:tcW w:w="1635" w:type="dxa"/>
            <w:tcBorders>
              <w:top w:val="nil"/>
              <w:left w:val="nil"/>
              <w:bottom w:val="nil"/>
              <w:right w:val="single" w:sz="4" w:space="0" w:color="auto"/>
            </w:tcBorders>
            <w:shd w:val="clear" w:color="000000" w:fill="FFFFFF"/>
            <w:noWrap/>
            <w:hideMark/>
          </w:tcPr>
          <w:p w14:paraId="26DF4BC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(2.95)</w:t>
            </w:r>
          </w:p>
        </w:tc>
      </w:tr>
      <w:tr w:rsidR="00994A24" w:rsidRPr="00994A24" w14:paraId="04AD7281" w14:textId="77777777" w:rsidTr="00994A24">
        <w:trPr>
          <w:trHeight w:val="304"/>
        </w:trPr>
        <w:tc>
          <w:tcPr>
            <w:tcW w:w="2283" w:type="dxa"/>
            <w:tcBorders>
              <w:top w:val="nil"/>
              <w:left w:val="single" w:sz="4" w:space="0" w:color="auto"/>
              <w:bottom w:val="nil"/>
              <w:right w:val="nil"/>
            </w:tcBorders>
            <w:shd w:val="clear" w:color="000000" w:fill="FFFFFF"/>
            <w:noWrap/>
            <w:hideMark/>
          </w:tcPr>
          <w:p w14:paraId="17491918"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Financial Cycle Index</w:t>
            </w:r>
          </w:p>
        </w:tc>
        <w:tc>
          <w:tcPr>
            <w:tcW w:w="1634" w:type="dxa"/>
            <w:tcBorders>
              <w:top w:val="nil"/>
              <w:left w:val="nil"/>
              <w:bottom w:val="nil"/>
              <w:right w:val="nil"/>
            </w:tcBorders>
            <w:shd w:val="clear" w:color="000000" w:fill="FFFFFF"/>
            <w:noWrap/>
            <w:hideMark/>
          </w:tcPr>
          <w:p w14:paraId="6A547A5E"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46.43**</w:t>
            </w:r>
          </w:p>
        </w:tc>
        <w:tc>
          <w:tcPr>
            <w:tcW w:w="1635" w:type="dxa"/>
            <w:tcBorders>
              <w:top w:val="nil"/>
              <w:left w:val="nil"/>
              <w:bottom w:val="nil"/>
              <w:right w:val="nil"/>
            </w:tcBorders>
            <w:shd w:val="clear" w:color="000000" w:fill="FFFFFF"/>
            <w:noWrap/>
            <w:hideMark/>
          </w:tcPr>
          <w:p w14:paraId="45E76162"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-63.60*</w:t>
            </w:r>
          </w:p>
        </w:tc>
        <w:tc>
          <w:tcPr>
            <w:tcW w:w="1634" w:type="dxa"/>
            <w:tcBorders>
              <w:top w:val="nil"/>
              <w:left w:val="nil"/>
              <w:bottom w:val="nil"/>
              <w:right w:val="nil"/>
            </w:tcBorders>
            <w:shd w:val="clear" w:color="000000" w:fill="FFFFFF"/>
            <w:noWrap/>
            <w:hideMark/>
          </w:tcPr>
          <w:p w14:paraId="588FC26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33.46**</w:t>
            </w:r>
          </w:p>
        </w:tc>
        <w:tc>
          <w:tcPr>
            <w:tcW w:w="1635" w:type="dxa"/>
            <w:tcBorders>
              <w:top w:val="nil"/>
              <w:left w:val="nil"/>
              <w:bottom w:val="nil"/>
              <w:right w:val="single" w:sz="4" w:space="0" w:color="auto"/>
            </w:tcBorders>
            <w:shd w:val="clear" w:color="000000" w:fill="FFFFFF"/>
            <w:noWrap/>
            <w:hideMark/>
          </w:tcPr>
          <w:p w14:paraId="1E2175B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-2.61</w:t>
            </w:r>
          </w:p>
        </w:tc>
      </w:tr>
      <w:tr w:rsidR="00994A24" w:rsidRPr="00994A24" w14:paraId="78967068" w14:textId="77777777" w:rsidTr="00994A24">
        <w:trPr>
          <w:trHeight w:val="304"/>
        </w:trPr>
        <w:tc>
          <w:tcPr>
            <w:tcW w:w="2283" w:type="dxa"/>
            <w:tcBorders>
              <w:top w:val="nil"/>
              <w:left w:val="single" w:sz="4" w:space="0" w:color="auto"/>
              <w:bottom w:val="nil"/>
              <w:right w:val="nil"/>
            </w:tcBorders>
            <w:shd w:val="clear" w:color="000000" w:fill="FFFFFF"/>
            <w:noWrap/>
            <w:hideMark/>
          </w:tcPr>
          <w:p w14:paraId="0D0E78DC"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7F3F5A06"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(17.57)</w:t>
            </w:r>
          </w:p>
        </w:tc>
        <w:tc>
          <w:tcPr>
            <w:tcW w:w="1635" w:type="dxa"/>
            <w:tcBorders>
              <w:top w:val="nil"/>
              <w:left w:val="nil"/>
              <w:bottom w:val="nil"/>
              <w:right w:val="nil"/>
            </w:tcBorders>
            <w:shd w:val="clear" w:color="000000" w:fill="FFFFFF"/>
            <w:noWrap/>
            <w:hideMark/>
          </w:tcPr>
          <w:p w14:paraId="3C6D8AAC"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(31.94)</w:t>
            </w:r>
          </w:p>
        </w:tc>
        <w:tc>
          <w:tcPr>
            <w:tcW w:w="1634" w:type="dxa"/>
            <w:tcBorders>
              <w:top w:val="nil"/>
              <w:left w:val="nil"/>
              <w:bottom w:val="nil"/>
              <w:right w:val="nil"/>
            </w:tcBorders>
            <w:shd w:val="clear" w:color="000000" w:fill="FFFFFF"/>
            <w:noWrap/>
            <w:hideMark/>
          </w:tcPr>
          <w:p w14:paraId="516DB0F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(13.46)</w:t>
            </w:r>
          </w:p>
        </w:tc>
        <w:tc>
          <w:tcPr>
            <w:tcW w:w="1635" w:type="dxa"/>
            <w:tcBorders>
              <w:top w:val="nil"/>
              <w:left w:val="nil"/>
              <w:bottom w:val="nil"/>
              <w:right w:val="single" w:sz="4" w:space="0" w:color="auto"/>
            </w:tcBorders>
            <w:shd w:val="clear" w:color="000000" w:fill="FFFFFF"/>
            <w:noWrap/>
            <w:hideMark/>
          </w:tcPr>
          <w:p w14:paraId="7829D9D3"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(13.15)</w:t>
            </w:r>
          </w:p>
        </w:tc>
      </w:tr>
      <w:tr w:rsidR="00994A24" w:rsidRPr="00994A24" w14:paraId="16B9DBCE" w14:textId="77777777" w:rsidTr="00994A24">
        <w:trPr>
          <w:trHeight w:val="304"/>
        </w:trPr>
        <w:tc>
          <w:tcPr>
            <w:tcW w:w="2283" w:type="dxa"/>
            <w:tcBorders>
              <w:top w:val="nil"/>
              <w:left w:val="single" w:sz="4" w:space="0" w:color="auto"/>
              <w:bottom w:val="nil"/>
              <w:right w:val="nil"/>
            </w:tcBorders>
            <w:shd w:val="clear" w:color="000000" w:fill="FFFFFF"/>
            <w:noWrap/>
            <w:hideMark/>
          </w:tcPr>
          <w:p w14:paraId="3E633041"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Financial Conditions Index</w:t>
            </w:r>
          </w:p>
        </w:tc>
        <w:tc>
          <w:tcPr>
            <w:tcW w:w="1634" w:type="dxa"/>
            <w:tcBorders>
              <w:top w:val="nil"/>
              <w:left w:val="nil"/>
              <w:bottom w:val="nil"/>
              <w:right w:val="nil"/>
            </w:tcBorders>
            <w:shd w:val="clear" w:color="000000" w:fill="FFFFFF"/>
            <w:noWrap/>
            <w:hideMark/>
          </w:tcPr>
          <w:p w14:paraId="7E3F0BCB"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-2.47</w:t>
            </w:r>
          </w:p>
        </w:tc>
        <w:tc>
          <w:tcPr>
            <w:tcW w:w="1635" w:type="dxa"/>
            <w:tcBorders>
              <w:top w:val="nil"/>
              <w:left w:val="nil"/>
              <w:bottom w:val="nil"/>
              <w:right w:val="nil"/>
            </w:tcBorders>
            <w:shd w:val="clear" w:color="000000" w:fill="FFFFFF"/>
            <w:noWrap/>
            <w:hideMark/>
          </w:tcPr>
          <w:p w14:paraId="53B4775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4.83**</w:t>
            </w:r>
          </w:p>
        </w:tc>
        <w:tc>
          <w:tcPr>
            <w:tcW w:w="1634" w:type="dxa"/>
            <w:tcBorders>
              <w:top w:val="nil"/>
              <w:left w:val="nil"/>
              <w:bottom w:val="nil"/>
              <w:right w:val="nil"/>
            </w:tcBorders>
            <w:shd w:val="clear" w:color="000000" w:fill="FFFFFF"/>
            <w:noWrap/>
            <w:hideMark/>
          </w:tcPr>
          <w:p w14:paraId="4D52089C"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-2.16</w:t>
            </w:r>
          </w:p>
        </w:tc>
        <w:tc>
          <w:tcPr>
            <w:tcW w:w="1635" w:type="dxa"/>
            <w:tcBorders>
              <w:top w:val="nil"/>
              <w:left w:val="nil"/>
              <w:bottom w:val="nil"/>
              <w:right w:val="single" w:sz="4" w:space="0" w:color="auto"/>
            </w:tcBorders>
            <w:shd w:val="clear" w:color="000000" w:fill="FFFFFF"/>
            <w:noWrap/>
            <w:hideMark/>
          </w:tcPr>
          <w:p w14:paraId="5F212CA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2.34*</w:t>
            </w:r>
          </w:p>
        </w:tc>
      </w:tr>
      <w:tr w:rsidR="00994A24" w:rsidRPr="00994A24" w14:paraId="3664AFB7" w14:textId="77777777" w:rsidTr="00994A24">
        <w:trPr>
          <w:trHeight w:val="304"/>
        </w:trPr>
        <w:tc>
          <w:tcPr>
            <w:tcW w:w="2283" w:type="dxa"/>
            <w:tcBorders>
              <w:top w:val="nil"/>
              <w:left w:val="single" w:sz="4" w:space="0" w:color="auto"/>
              <w:bottom w:val="nil"/>
              <w:right w:val="nil"/>
            </w:tcBorders>
            <w:shd w:val="clear" w:color="000000" w:fill="FFFFFF"/>
            <w:noWrap/>
            <w:hideMark/>
          </w:tcPr>
          <w:p w14:paraId="733233F7"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68008B88"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(1.92)</w:t>
            </w:r>
          </w:p>
        </w:tc>
        <w:tc>
          <w:tcPr>
            <w:tcW w:w="1635" w:type="dxa"/>
            <w:tcBorders>
              <w:top w:val="nil"/>
              <w:left w:val="nil"/>
              <w:bottom w:val="nil"/>
              <w:right w:val="nil"/>
            </w:tcBorders>
            <w:shd w:val="clear" w:color="000000" w:fill="FFFFFF"/>
            <w:noWrap/>
            <w:hideMark/>
          </w:tcPr>
          <w:p w14:paraId="77F5C389"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(2.02)</w:t>
            </w:r>
          </w:p>
        </w:tc>
        <w:tc>
          <w:tcPr>
            <w:tcW w:w="1634" w:type="dxa"/>
            <w:tcBorders>
              <w:top w:val="nil"/>
              <w:left w:val="nil"/>
              <w:bottom w:val="nil"/>
              <w:right w:val="nil"/>
            </w:tcBorders>
            <w:shd w:val="clear" w:color="000000" w:fill="FFFFFF"/>
            <w:noWrap/>
            <w:hideMark/>
          </w:tcPr>
          <w:p w14:paraId="2A5B4486"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(1.35)</w:t>
            </w:r>
          </w:p>
        </w:tc>
        <w:tc>
          <w:tcPr>
            <w:tcW w:w="1635" w:type="dxa"/>
            <w:tcBorders>
              <w:top w:val="nil"/>
              <w:left w:val="nil"/>
              <w:bottom w:val="nil"/>
              <w:right w:val="single" w:sz="4" w:space="0" w:color="auto"/>
            </w:tcBorders>
            <w:shd w:val="clear" w:color="000000" w:fill="FFFFFF"/>
            <w:noWrap/>
            <w:hideMark/>
          </w:tcPr>
          <w:p w14:paraId="0A6095EF"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(1.32)</w:t>
            </w:r>
          </w:p>
        </w:tc>
      </w:tr>
      <w:tr w:rsidR="00994A24" w:rsidRPr="00994A24" w14:paraId="533B123C" w14:textId="77777777" w:rsidTr="00994A24">
        <w:trPr>
          <w:trHeight w:val="304"/>
        </w:trPr>
        <w:tc>
          <w:tcPr>
            <w:tcW w:w="2283" w:type="dxa"/>
            <w:tcBorders>
              <w:top w:val="nil"/>
              <w:left w:val="single" w:sz="4" w:space="0" w:color="auto"/>
              <w:bottom w:val="nil"/>
              <w:right w:val="nil"/>
            </w:tcBorders>
            <w:shd w:val="clear" w:color="000000" w:fill="FFFFFF"/>
            <w:noWrap/>
            <w:hideMark/>
          </w:tcPr>
          <w:p w14:paraId="4FB5DAAB"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Liquidity excess</w:t>
            </w:r>
          </w:p>
        </w:tc>
        <w:tc>
          <w:tcPr>
            <w:tcW w:w="1634" w:type="dxa"/>
            <w:tcBorders>
              <w:top w:val="nil"/>
              <w:left w:val="nil"/>
              <w:bottom w:val="nil"/>
              <w:right w:val="nil"/>
            </w:tcBorders>
            <w:shd w:val="clear" w:color="000000" w:fill="FFFFFF"/>
            <w:noWrap/>
            <w:hideMark/>
          </w:tcPr>
          <w:p w14:paraId="0E92AE23"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56.85**</w:t>
            </w:r>
          </w:p>
        </w:tc>
        <w:tc>
          <w:tcPr>
            <w:tcW w:w="1635" w:type="dxa"/>
            <w:tcBorders>
              <w:top w:val="nil"/>
              <w:left w:val="nil"/>
              <w:bottom w:val="nil"/>
              <w:right w:val="nil"/>
            </w:tcBorders>
            <w:shd w:val="clear" w:color="000000" w:fill="FFFFFF"/>
            <w:noWrap/>
            <w:hideMark/>
          </w:tcPr>
          <w:p w14:paraId="2C2F2A4A"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-7.73</w:t>
            </w:r>
          </w:p>
        </w:tc>
        <w:tc>
          <w:tcPr>
            <w:tcW w:w="1634" w:type="dxa"/>
            <w:tcBorders>
              <w:top w:val="nil"/>
              <w:left w:val="nil"/>
              <w:bottom w:val="nil"/>
              <w:right w:val="nil"/>
            </w:tcBorders>
            <w:shd w:val="clear" w:color="000000" w:fill="FFFFFF"/>
            <w:noWrap/>
            <w:hideMark/>
          </w:tcPr>
          <w:p w14:paraId="28762DDA"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28.59**</w:t>
            </w:r>
          </w:p>
        </w:tc>
        <w:tc>
          <w:tcPr>
            <w:tcW w:w="1635" w:type="dxa"/>
            <w:tcBorders>
              <w:top w:val="nil"/>
              <w:left w:val="nil"/>
              <w:bottom w:val="nil"/>
              <w:right w:val="single" w:sz="4" w:space="0" w:color="auto"/>
            </w:tcBorders>
            <w:shd w:val="clear" w:color="000000" w:fill="FFFFFF"/>
            <w:noWrap/>
            <w:hideMark/>
          </w:tcPr>
          <w:p w14:paraId="58C9DD49"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19.38</w:t>
            </w:r>
          </w:p>
        </w:tc>
      </w:tr>
      <w:tr w:rsidR="00994A24" w:rsidRPr="00994A24" w14:paraId="74E769E9" w14:textId="77777777" w:rsidTr="00994A24">
        <w:trPr>
          <w:trHeight w:val="304"/>
        </w:trPr>
        <w:tc>
          <w:tcPr>
            <w:tcW w:w="2283" w:type="dxa"/>
            <w:tcBorders>
              <w:top w:val="nil"/>
              <w:left w:val="single" w:sz="4" w:space="0" w:color="auto"/>
              <w:bottom w:val="nil"/>
              <w:right w:val="nil"/>
            </w:tcBorders>
            <w:shd w:val="clear" w:color="000000" w:fill="FFFFFF"/>
            <w:noWrap/>
            <w:hideMark/>
          </w:tcPr>
          <w:p w14:paraId="1C376409"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140577C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(22.41)</w:t>
            </w:r>
          </w:p>
        </w:tc>
        <w:tc>
          <w:tcPr>
            <w:tcW w:w="1635" w:type="dxa"/>
            <w:tcBorders>
              <w:top w:val="nil"/>
              <w:left w:val="nil"/>
              <w:bottom w:val="nil"/>
              <w:right w:val="nil"/>
            </w:tcBorders>
            <w:shd w:val="clear" w:color="000000" w:fill="FFFFFF"/>
            <w:noWrap/>
            <w:hideMark/>
          </w:tcPr>
          <w:p w14:paraId="30CFC95B"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(31.87)</w:t>
            </w:r>
          </w:p>
        </w:tc>
        <w:tc>
          <w:tcPr>
            <w:tcW w:w="1634" w:type="dxa"/>
            <w:tcBorders>
              <w:top w:val="nil"/>
              <w:left w:val="nil"/>
              <w:bottom w:val="nil"/>
              <w:right w:val="nil"/>
            </w:tcBorders>
            <w:shd w:val="clear" w:color="000000" w:fill="FFFFFF"/>
            <w:noWrap/>
            <w:hideMark/>
          </w:tcPr>
          <w:p w14:paraId="2E6C8246"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(13.45)</w:t>
            </w:r>
          </w:p>
        </w:tc>
        <w:tc>
          <w:tcPr>
            <w:tcW w:w="1635" w:type="dxa"/>
            <w:tcBorders>
              <w:top w:val="nil"/>
              <w:left w:val="nil"/>
              <w:bottom w:val="nil"/>
              <w:right w:val="single" w:sz="4" w:space="0" w:color="auto"/>
            </w:tcBorders>
            <w:shd w:val="clear" w:color="000000" w:fill="FFFFFF"/>
            <w:noWrap/>
            <w:hideMark/>
          </w:tcPr>
          <w:p w14:paraId="13CE859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(12.43)</w:t>
            </w:r>
          </w:p>
        </w:tc>
      </w:tr>
      <w:tr w:rsidR="00994A24" w:rsidRPr="00994A24" w14:paraId="34962AB6" w14:textId="77777777" w:rsidTr="00994A24">
        <w:trPr>
          <w:trHeight w:val="304"/>
        </w:trPr>
        <w:tc>
          <w:tcPr>
            <w:tcW w:w="2283" w:type="dxa"/>
            <w:tcBorders>
              <w:top w:val="nil"/>
              <w:left w:val="single" w:sz="4" w:space="0" w:color="auto"/>
              <w:bottom w:val="nil"/>
              <w:right w:val="nil"/>
            </w:tcBorders>
            <w:shd w:val="clear" w:color="000000" w:fill="FFFFFF"/>
            <w:noWrap/>
            <w:hideMark/>
          </w:tcPr>
          <w:p w14:paraId="6CD7061B"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CAR excess_C_2y</w:t>
            </w:r>
          </w:p>
        </w:tc>
        <w:tc>
          <w:tcPr>
            <w:tcW w:w="1634" w:type="dxa"/>
            <w:tcBorders>
              <w:top w:val="nil"/>
              <w:left w:val="nil"/>
              <w:bottom w:val="nil"/>
              <w:right w:val="nil"/>
            </w:tcBorders>
            <w:shd w:val="clear" w:color="000000" w:fill="FFFFFF"/>
            <w:noWrap/>
            <w:hideMark/>
          </w:tcPr>
          <w:p w14:paraId="10121A6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-61.56**</w:t>
            </w:r>
          </w:p>
        </w:tc>
        <w:tc>
          <w:tcPr>
            <w:tcW w:w="1635" w:type="dxa"/>
            <w:tcBorders>
              <w:top w:val="nil"/>
              <w:left w:val="nil"/>
              <w:bottom w:val="nil"/>
              <w:right w:val="nil"/>
            </w:tcBorders>
            <w:shd w:val="clear" w:color="000000" w:fill="FFFFFF"/>
            <w:noWrap/>
            <w:hideMark/>
          </w:tcPr>
          <w:p w14:paraId="218B4D6A"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-44.55*</w:t>
            </w:r>
          </w:p>
        </w:tc>
        <w:tc>
          <w:tcPr>
            <w:tcW w:w="1634" w:type="dxa"/>
            <w:tcBorders>
              <w:top w:val="nil"/>
              <w:left w:val="nil"/>
              <w:bottom w:val="nil"/>
              <w:right w:val="nil"/>
            </w:tcBorders>
            <w:shd w:val="clear" w:color="000000" w:fill="FFFFFF"/>
            <w:noWrap/>
            <w:hideMark/>
          </w:tcPr>
          <w:p w14:paraId="7825A23D"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-23.07</w:t>
            </w:r>
          </w:p>
        </w:tc>
        <w:tc>
          <w:tcPr>
            <w:tcW w:w="1635" w:type="dxa"/>
            <w:tcBorders>
              <w:top w:val="nil"/>
              <w:left w:val="nil"/>
              <w:bottom w:val="nil"/>
              <w:right w:val="single" w:sz="4" w:space="0" w:color="auto"/>
            </w:tcBorders>
            <w:shd w:val="clear" w:color="000000" w:fill="FFFFFF"/>
            <w:noWrap/>
            <w:hideMark/>
          </w:tcPr>
          <w:p w14:paraId="56CDE9FB"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-18.15</w:t>
            </w:r>
          </w:p>
        </w:tc>
      </w:tr>
      <w:tr w:rsidR="00994A24" w:rsidRPr="00994A24" w14:paraId="5B8E134E" w14:textId="77777777" w:rsidTr="00994A24">
        <w:trPr>
          <w:trHeight w:val="304"/>
        </w:trPr>
        <w:tc>
          <w:tcPr>
            <w:tcW w:w="2283" w:type="dxa"/>
            <w:tcBorders>
              <w:top w:val="nil"/>
              <w:left w:val="single" w:sz="4" w:space="0" w:color="auto"/>
              <w:bottom w:val="nil"/>
              <w:right w:val="nil"/>
            </w:tcBorders>
            <w:shd w:val="clear" w:color="000000" w:fill="FFFFFF"/>
            <w:noWrap/>
            <w:hideMark/>
          </w:tcPr>
          <w:p w14:paraId="7FF14A80"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66C40E27"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(30.06)</w:t>
            </w:r>
          </w:p>
        </w:tc>
        <w:tc>
          <w:tcPr>
            <w:tcW w:w="1635" w:type="dxa"/>
            <w:tcBorders>
              <w:top w:val="nil"/>
              <w:left w:val="nil"/>
              <w:bottom w:val="nil"/>
              <w:right w:val="nil"/>
            </w:tcBorders>
            <w:shd w:val="clear" w:color="000000" w:fill="FFFFFF"/>
            <w:noWrap/>
            <w:hideMark/>
          </w:tcPr>
          <w:p w14:paraId="0A5FDF8A"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(25.40)</w:t>
            </w:r>
          </w:p>
        </w:tc>
        <w:tc>
          <w:tcPr>
            <w:tcW w:w="1634" w:type="dxa"/>
            <w:tcBorders>
              <w:top w:val="nil"/>
              <w:left w:val="nil"/>
              <w:bottom w:val="nil"/>
              <w:right w:val="nil"/>
            </w:tcBorders>
            <w:shd w:val="clear" w:color="000000" w:fill="FFFFFF"/>
            <w:noWrap/>
            <w:hideMark/>
          </w:tcPr>
          <w:p w14:paraId="1B0F5DCB"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(23.04)</w:t>
            </w:r>
          </w:p>
        </w:tc>
        <w:tc>
          <w:tcPr>
            <w:tcW w:w="1635" w:type="dxa"/>
            <w:tcBorders>
              <w:top w:val="nil"/>
              <w:left w:val="nil"/>
              <w:bottom w:val="nil"/>
              <w:right w:val="single" w:sz="4" w:space="0" w:color="auto"/>
            </w:tcBorders>
            <w:shd w:val="clear" w:color="000000" w:fill="FFFFFF"/>
            <w:noWrap/>
            <w:hideMark/>
          </w:tcPr>
          <w:p w14:paraId="378DF21D"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(21.13)</w:t>
            </w:r>
          </w:p>
        </w:tc>
      </w:tr>
      <w:tr w:rsidR="00994A24" w:rsidRPr="00994A24" w14:paraId="24D8BAAD" w14:textId="77777777" w:rsidTr="00994A24">
        <w:trPr>
          <w:trHeight w:val="304"/>
        </w:trPr>
        <w:tc>
          <w:tcPr>
            <w:tcW w:w="2283" w:type="dxa"/>
            <w:tcBorders>
              <w:top w:val="nil"/>
              <w:left w:val="single" w:sz="4" w:space="0" w:color="auto"/>
              <w:bottom w:val="nil"/>
              <w:right w:val="nil"/>
            </w:tcBorders>
            <w:shd w:val="clear" w:color="000000" w:fill="FFFFFF"/>
            <w:noWrap/>
            <w:hideMark/>
          </w:tcPr>
          <w:p w14:paraId="74879031"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MPI</w:t>
            </w:r>
          </w:p>
        </w:tc>
        <w:tc>
          <w:tcPr>
            <w:tcW w:w="1634" w:type="dxa"/>
            <w:tcBorders>
              <w:top w:val="nil"/>
              <w:left w:val="nil"/>
              <w:bottom w:val="nil"/>
              <w:right w:val="nil"/>
            </w:tcBorders>
            <w:shd w:val="clear" w:color="000000" w:fill="FFFFFF"/>
            <w:noWrap/>
            <w:hideMark/>
          </w:tcPr>
          <w:p w14:paraId="0FB3A77B"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-1.11**</w:t>
            </w:r>
          </w:p>
        </w:tc>
        <w:tc>
          <w:tcPr>
            <w:tcW w:w="1635" w:type="dxa"/>
            <w:tcBorders>
              <w:top w:val="nil"/>
              <w:left w:val="nil"/>
              <w:bottom w:val="nil"/>
              <w:right w:val="nil"/>
            </w:tcBorders>
            <w:shd w:val="clear" w:color="000000" w:fill="FFFFFF"/>
            <w:noWrap/>
            <w:hideMark/>
          </w:tcPr>
          <w:p w14:paraId="7A2CE0F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0.14</w:t>
            </w:r>
          </w:p>
        </w:tc>
        <w:tc>
          <w:tcPr>
            <w:tcW w:w="1634" w:type="dxa"/>
            <w:tcBorders>
              <w:top w:val="nil"/>
              <w:left w:val="nil"/>
              <w:bottom w:val="nil"/>
              <w:right w:val="nil"/>
            </w:tcBorders>
            <w:shd w:val="clear" w:color="000000" w:fill="FFFFFF"/>
            <w:noWrap/>
            <w:hideMark/>
          </w:tcPr>
          <w:p w14:paraId="26BE4D6D"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-0.49</w:t>
            </w:r>
          </w:p>
        </w:tc>
        <w:tc>
          <w:tcPr>
            <w:tcW w:w="1635" w:type="dxa"/>
            <w:tcBorders>
              <w:top w:val="nil"/>
              <w:left w:val="nil"/>
              <w:bottom w:val="nil"/>
              <w:right w:val="single" w:sz="4" w:space="0" w:color="auto"/>
            </w:tcBorders>
            <w:shd w:val="clear" w:color="000000" w:fill="FFFFFF"/>
            <w:noWrap/>
            <w:hideMark/>
          </w:tcPr>
          <w:p w14:paraId="6DAD1A59"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-0.42</w:t>
            </w:r>
          </w:p>
        </w:tc>
      </w:tr>
      <w:tr w:rsidR="00994A24" w:rsidRPr="00994A24" w14:paraId="61E896DC" w14:textId="77777777" w:rsidTr="00994A24">
        <w:trPr>
          <w:trHeight w:val="304"/>
        </w:trPr>
        <w:tc>
          <w:tcPr>
            <w:tcW w:w="2283" w:type="dxa"/>
            <w:tcBorders>
              <w:top w:val="nil"/>
              <w:left w:val="single" w:sz="4" w:space="0" w:color="auto"/>
              <w:bottom w:val="nil"/>
              <w:right w:val="nil"/>
            </w:tcBorders>
            <w:shd w:val="clear" w:color="000000" w:fill="FFFFFF"/>
            <w:noWrap/>
            <w:hideMark/>
          </w:tcPr>
          <w:p w14:paraId="297E3985"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lastRenderedPageBreak/>
              <w:t> </w:t>
            </w:r>
          </w:p>
        </w:tc>
        <w:tc>
          <w:tcPr>
            <w:tcW w:w="1634" w:type="dxa"/>
            <w:tcBorders>
              <w:top w:val="nil"/>
              <w:left w:val="nil"/>
              <w:bottom w:val="nil"/>
              <w:right w:val="nil"/>
            </w:tcBorders>
            <w:shd w:val="clear" w:color="000000" w:fill="FFFFFF"/>
            <w:noWrap/>
            <w:hideMark/>
          </w:tcPr>
          <w:p w14:paraId="6A715F68"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(0.45)</w:t>
            </w:r>
          </w:p>
        </w:tc>
        <w:tc>
          <w:tcPr>
            <w:tcW w:w="1635" w:type="dxa"/>
            <w:tcBorders>
              <w:top w:val="nil"/>
              <w:left w:val="nil"/>
              <w:bottom w:val="nil"/>
              <w:right w:val="nil"/>
            </w:tcBorders>
            <w:shd w:val="clear" w:color="000000" w:fill="FFFFFF"/>
            <w:noWrap/>
            <w:hideMark/>
          </w:tcPr>
          <w:p w14:paraId="1A660C8C"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(0.57)</w:t>
            </w:r>
          </w:p>
        </w:tc>
        <w:tc>
          <w:tcPr>
            <w:tcW w:w="1634" w:type="dxa"/>
            <w:tcBorders>
              <w:top w:val="nil"/>
              <w:left w:val="nil"/>
              <w:bottom w:val="nil"/>
              <w:right w:val="nil"/>
            </w:tcBorders>
            <w:shd w:val="clear" w:color="000000" w:fill="FFFFFF"/>
            <w:noWrap/>
            <w:hideMark/>
          </w:tcPr>
          <w:p w14:paraId="57FC22B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(0.36)</w:t>
            </w:r>
          </w:p>
        </w:tc>
        <w:tc>
          <w:tcPr>
            <w:tcW w:w="1635" w:type="dxa"/>
            <w:tcBorders>
              <w:top w:val="nil"/>
              <w:left w:val="nil"/>
              <w:bottom w:val="nil"/>
              <w:right w:val="single" w:sz="4" w:space="0" w:color="auto"/>
            </w:tcBorders>
            <w:shd w:val="clear" w:color="000000" w:fill="FFFFFF"/>
            <w:noWrap/>
            <w:hideMark/>
          </w:tcPr>
          <w:p w14:paraId="7ECB8CE1"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(0.34)</w:t>
            </w:r>
          </w:p>
        </w:tc>
      </w:tr>
      <w:tr w:rsidR="00994A24" w:rsidRPr="00994A24" w14:paraId="6CE8169D" w14:textId="77777777" w:rsidTr="00994A24">
        <w:trPr>
          <w:trHeight w:val="304"/>
        </w:trPr>
        <w:tc>
          <w:tcPr>
            <w:tcW w:w="2283" w:type="dxa"/>
            <w:tcBorders>
              <w:top w:val="nil"/>
              <w:left w:val="single" w:sz="4" w:space="0" w:color="auto"/>
              <w:bottom w:val="nil"/>
              <w:right w:val="nil"/>
            </w:tcBorders>
            <w:shd w:val="clear" w:color="000000" w:fill="FFFFFF"/>
            <w:noWrap/>
            <w:hideMark/>
          </w:tcPr>
          <w:p w14:paraId="32F07154"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FCI x FCyI</w:t>
            </w:r>
          </w:p>
        </w:tc>
        <w:tc>
          <w:tcPr>
            <w:tcW w:w="1634" w:type="dxa"/>
            <w:tcBorders>
              <w:top w:val="nil"/>
              <w:left w:val="nil"/>
              <w:bottom w:val="nil"/>
              <w:right w:val="nil"/>
            </w:tcBorders>
            <w:shd w:val="clear" w:color="000000" w:fill="FFFFFF"/>
            <w:noWrap/>
            <w:hideMark/>
          </w:tcPr>
          <w:p w14:paraId="4D388393"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-4.05***</w:t>
            </w:r>
          </w:p>
        </w:tc>
        <w:tc>
          <w:tcPr>
            <w:tcW w:w="1635" w:type="dxa"/>
            <w:tcBorders>
              <w:top w:val="nil"/>
              <w:left w:val="nil"/>
              <w:bottom w:val="nil"/>
              <w:right w:val="nil"/>
            </w:tcBorders>
            <w:shd w:val="clear" w:color="000000" w:fill="FFFFFF"/>
            <w:noWrap/>
            <w:hideMark/>
          </w:tcPr>
          <w:p w14:paraId="0C1C730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7.65***</w:t>
            </w:r>
          </w:p>
        </w:tc>
        <w:tc>
          <w:tcPr>
            <w:tcW w:w="1634" w:type="dxa"/>
            <w:tcBorders>
              <w:top w:val="nil"/>
              <w:left w:val="nil"/>
              <w:bottom w:val="nil"/>
              <w:right w:val="nil"/>
            </w:tcBorders>
            <w:shd w:val="clear" w:color="000000" w:fill="FFFFFF"/>
            <w:noWrap/>
            <w:hideMark/>
          </w:tcPr>
          <w:p w14:paraId="3A747D4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-1.50</w:t>
            </w:r>
          </w:p>
        </w:tc>
        <w:tc>
          <w:tcPr>
            <w:tcW w:w="1635" w:type="dxa"/>
            <w:tcBorders>
              <w:top w:val="nil"/>
              <w:left w:val="nil"/>
              <w:bottom w:val="nil"/>
              <w:right w:val="single" w:sz="4" w:space="0" w:color="auto"/>
            </w:tcBorders>
            <w:shd w:val="clear" w:color="000000" w:fill="FFFFFF"/>
            <w:noWrap/>
            <w:hideMark/>
          </w:tcPr>
          <w:p w14:paraId="21F5C736"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1.89**</w:t>
            </w:r>
          </w:p>
        </w:tc>
      </w:tr>
      <w:tr w:rsidR="00994A24" w:rsidRPr="00994A24" w14:paraId="5F1AC90A" w14:textId="77777777" w:rsidTr="00994A24">
        <w:trPr>
          <w:trHeight w:val="304"/>
        </w:trPr>
        <w:tc>
          <w:tcPr>
            <w:tcW w:w="2283" w:type="dxa"/>
            <w:tcBorders>
              <w:top w:val="nil"/>
              <w:left w:val="single" w:sz="4" w:space="0" w:color="auto"/>
              <w:bottom w:val="nil"/>
              <w:right w:val="nil"/>
            </w:tcBorders>
            <w:shd w:val="clear" w:color="000000" w:fill="FFFFFF"/>
            <w:noWrap/>
            <w:hideMark/>
          </w:tcPr>
          <w:p w14:paraId="1EB8877D"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28328307"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(1.47)</w:t>
            </w:r>
          </w:p>
        </w:tc>
        <w:tc>
          <w:tcPr>
            <w:tcW w:w="1635" w:type="dxa"/>
            <w:tcBorders>
              <w:top w:val="nil"/>
              <w:left w:val="nil"/>
              <w:bottom w:val="nil"/>
              <w:right w:val="nil"/>
            </w:tcBorders>
            <w:shd w:val="clear" w:color="000000" w:fill="FFFFFF"/>
            <w:noWrap/>
            <w:hideMark/>
          </w:tcPr>
          <w:p w14:paraId="34D97B5C"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(1.86)</w:t>
            </w:r>
          </w:p>
        </w:tc>
        <w:tc>
          <w:tcPr>
            <w:tcW w:w="1634" w:type="dxa"/>
            <w:tcBorders>
              <w:top w:val="nil"/>
              <w:left w:val="nil"/>
              <w:bottom w:val="nil"/>
              <w:right w:val="nil"/>
            </w:tcBorders>
            <w:shd w:val="clear" w:color="000000" w:fill="FFFFFF"/>
            <w:noWrap/>
            <w:hideMark/>
          </w:tcPr>
          <w:p w14:paraId="165E4DC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(0.95)</w:t>
            </w:r>
          </w:p>
        </w:tc>
        <w:tc>
          <w:tcPr>
            <w:tcW w:w="1635" w:type="dxa"/>
            <w:tcBorders>
              <w:top w:val="nil"/>
              <w:left w:val="nil"/>
              <w:bottom w:val="nil"/>
              <w:right w:val="single" w:sz="4" w:space="0" w:color="auto"/>
            </w:tcBorders>
            <w:shd w:val="clear" w:color="000000" w:fill="FFFFFF"/>
            <w:noWrap/>
            <w:hideMark/>
          </w:tcPr>
          <w:p w14:paraId="3ADA2DC6"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(0.94)</w:t>
            </w:r>
          </w:p>
        </w:tc>
      </w:tr>
      <w:tr w:rsidR="00994A24" w:rsidRPr="00994A24" w14:paraId="71D70078" w14:textId="77777777" w:rsidTr="00994A24">
        <w:trPr>
          <w:trHeight w:val="304"/>
        </w:trPr>
        <w:tc>
          <w:tcPr>
            <w:tcW w:w="2283" w:type="dxa"/>
            <w:tcBorders>
              <w:top w:val="nil"/>
              <w:left w:val="single" w:sz="4" w:space="0" w:color="auto"/>
              <w:bottom w:val="nil"/>
              <w:right w:val="nil"/>
            </w:tcBorders>
            <w:shd w:val="clear" w:color="000000" w:fill="FFFFFF"/>
            <w:noWrap/>
            <w:hideMark/>
          </w:tcPr>
          <w:p w14:paraId="219F62BF"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MPI x FCyI</w:t>
            </w:r>
          </w:p>
        </w:tc>
        <w:tc>
          <w:tcPr>
            <w:tcW w:w="1634" w:type="dxa"/>
            <w:tcBorders>
              <w:top w:val="nil"/>
              <w:left w:val="nil"/>
              <w:bottom w:val="nil"/>
              <w:right w:val="nil"/>
            </w:tcBorders>
            <w:shd w:val="clear" w:color="000000" w:fill="FFFFFF"/>
            <w:noWrap/>
            <w:hideMark/>
          </w:tcPr>
          <w:p w14:paraId="7A9BF241"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-0.86*</w:t>
            </w:r>
          </w:p>
        </w:tc>
        <w:tc>
          <w:tcPr>
            <w:tcW w:w="1635" w:type="dxa"/>
            <w:tcBorders>
              <w:top w:val="nil"/>
              <w:left w:val="nil"/>
              <w:bottom w:val="nil"/>
              <w:right w:val="nil"/>
            </w:tcBorders>
            <w:shd w:val="clear" w:color="000000" w:fill="FFFFFF"/>
            <w:noWrap/>
            <w:hideMark/>
          </w:tcPr>
          <w:p w14:paraId="4BA9A2A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0.01</w:t>
            </w:r>
          </w:p>
        </w:tc>
        <w:tc>
          <w:tcPr>
            <w:tcW w:w="1634" w:type="dxa"/>
            <w:tcBorders>
              <w:top w:val="nil"/>
              <w:left w:val="nil"/>
              <w:bottom w:val="nil"/>
              <w:right w:val="nil"/>
            </w:tcBorders>
            <w:shd w:val="clear" w:color="000000" w:fill="FFFFFF"/>
            <w:noWrap/>
            <w:hideMark/>
          </w:tcPr>
          <w:p w14:paraId="45D177AC"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0.02</w:t>
            </w:r>
          </w:p>
        </w:tc>
        <w:tc>
          <w:tcPr>
            <w:tcW w:w="1635" w:type="dxa"/>
            <w:tcBorders>
              <w:top w:val="nil"/>
              <w:left w:val="nil"/>
              <w:bottom w:val="nil"/>
              <w:right w:val="single" w:sz="4" w:space="0" w:color="auto"/>
            </w:tcBorders>
            <w:shd w:val="clear" w:color="000000" w:fill="FFFFFF"/>
            <w:noWrap/>
            <w:hideMark/>
          </w:tcPr>
          <w:p w14:paraId="0FE8D243"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-1.40***</w:t>
            </w:r>
          </w:p>
        </w:tc>
      </w:tr>
      <w:tr w:rsidR="00994A24" w:rsidRPr="00994A24" w14:paraId="7DD00C84" w14:textId="77777777" w:rsidTr="00994A24">
        <w:trPr>
          <w:trHeight w:val="304"/>
        </w:trPr>
        <w:tc>
          <w:tcPr>
            <w:tcW w:w="2283" w:type="dxa"/>
            <w:tcBorders>
              <w:top w:val="nil"/>
              <w:left w:val="single" w:sz="4" w:space="0" w:color="auto"/>
              <w:bottom w:val="nil"/>
              <w:right w:val="nil"/>
            </w:tcBorders>
            <w:shd w:val="clear" w:color="000000" w:fill="FFFFFF"/>
            <w:noWrap/>
            <w:hideMark/>
          </w:tcPr>
          <w:p w14:paraId="6039FB45"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2B6973B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(0.50)</w:t>
            </w:r>
          </w:p>
        </w:tc>
        <w:tc>
          <w:tcPr>
            <w:tcW w:w="1635" w:type="dxa"/>
            <w:tcBorders>
              <w:top w:val="nil"/>
              <w:left w:val="nil"/>
              <w:bottom w:val="nil"/>
              <w:right w:val="nil"/>
            </w:tcBorders>
            <w:shd w:val="clear" w:color="000000" w:fill="FFFFFF"/>
            <w:noWrap/>
            <w:hideMark/>
          </w:tcPr>
          <w:p w14:paraId="0787F6D1"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(0.83)</w:t>
            </w:r>
          </w:p>
        </w:tc>
        <w:tc>
          <w:tcPr>
            <w:tcW w:w="1634" w:type="dxa"/>
            <w:tcBorders>
              <w:top w:val="nil"/>
              <w:left w:val="nil"/>
              <w:bottom w:val="nil"/>
              <w:right w:val="nil"/>
            </w:tcBorders>
            <w:shd w:val="clear" w:color="000000" w:fill="FFFFFF"/>
            <w:noWrap/>
            <w:hideMark/>
          </w:tcPr>
          <w:p w14:paraId="0614552B"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(0.35)</w:t>
            </w:r>
          </w:p>
        </w:tc>
        <w:tc>
          <w:tcPr>
            <w:tcW w:w="1635" w:type="dxa"/>
            <w:tcBorders>
              <w:top w:val="nil"/>
              <w:left w:val="nil"/>
              <w:bottom w:val="nil"/>
              <w:right w:val="single" w:sz="4" w:space="0" w:color="auto"/>
            </w:tcBorders>
            <w:shd w:val="clear" w:color="000000" w:fill="FFFFFF"/>
            <w:noWrap/>
            <w:hideMark/>
          </w:tcPr>
          <w:p w14:paraId="551410A9"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(0.34)</w:t>
            </w:r>
          </w:p>
        </w:tc>
      </w:tr>
      <w:tr w:rsidR="00994A24" w:rsidRPr="00994A24" w14:paraId="74DD3138" w14:textId="77777777" w:rsidTr="00994A24">
        <w:trPr>
          <w:trHeight w:val="304"/>
        </w:trPr>
        <w:tc>
          <w:tcPr>
            <w:tcW w:w="2283" w:type="dxa"/>
            <w:tcBorders>
              <w:top w:val="nil"/>
              <w:left w:val="single" w:sz="4" w:space="0" w:color="auto"/>
              <w:bottom w:val="nil"/>
              <w:right w:val="nil"/>
            </w:tcBorders>
            <w:shd w:val="clear" w:color="000000" w:fill="FFFFFF"/>
            <w:noWrap/>
            <w:hideMark/>
          </w:tcPr>
          <w:p w14:paraId="317D1E16"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MPI x FCI</w:t>
            </w:r>
          </w:p>
        </w:tc>
        <w:tc>
          <w:tcPr>
            <w:tcW w:w="1634" w:type="dxa"/>
            <w:tcBorders>
              <w:top w:val="nil"/>
              <w:left w:val="nil"/>
              <w:bottom w:val="nil"/>
              <w:right w:val="nil"/>
            </w:tcBorders>
            <w:shd w:val="clear" w:color="000000" w:fill="FFFFFF"/>
            <w:noWrap/>
            <w:hideMark/>
          </w:tcPr>
          <w:p w14:paraId="27F80ED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-1.34</w:t>
            </w:r>
          </w:p>
        </w:tc>
        <w:tc>
          <w:tcPr>
            <w:tcW w:w="1635" w:type="dxa"/>
            <w:tcBorders>
              <w:top w:val="nil"/>
              <w:left w:val="nil"/>
              <w:bottom w:val="nil"/>
              <w:right w:val="nil"/>
            </w:tcBorders>
            <w:shd w:val="clear" w:color="000000" w:fill="FFFFFF"/>
            <w:noWrap/>
            <w:hideMark/>
          </w:tcPr>
          <w:p w14:paraId="725DB6E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-1.34</w:t>
            </w:r>
          </w:p>
        </w:tc>
        <w:tc>
          <w:tcPr>
            <w:tcW w:w="1634" w:type="dxa"/>
            <w:tcBorders>
              <w:top w:val="nil"/>
              <w:left w:val="nil"/>
              <w:bottom w:val="nil"/>
              <w:right w:val="nil"/>
            </w:tcBorders>
            <w:shd w:val="clear" w:color="000000" w:fill="FFFFFF"/>
            <w:noWrap/>
            <w:hideMark/>
          </w:tcPr>
          <w:p w14:paraId="103DA3BE"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-0.52</w:t>
            </w:r>
          </w:p>
        </w:tc>
        <w:tc>
          <w:tcPr>
            <w:tcW w:w="1635" w:type="dxa"/>
            <w:tcBorders>
              <w:top w:val="nil"/>
              <w:left w:val="nil"/>
              <w:bottom w:val="nil"/>
              <w:right w:val="single" w:sz="4" w:space="0" w:color="auto"/>
            </w:tcBorders>
            <w:shd w:val="clear" w:color="000000" w:fill="FFFFFF"/>
            <w:noWrap/>
            <w:hideMark/>
          </w:tcPr>
          <w:p w14:paraId="27BF66F3"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0.10</w:t>
            </w:r>
          </w:p>
        </w:tc>
      </w:tr>
      <w:tr w:rsidR="00994A24" w:rsidRPr="00994A24" w14:paraId="6FCCA09B" w14:textId="77777777" w:rsidTr="00994A24">
        <w:trPr>
          <w:trHeight w:val="304"/>
        </w:trPr>
        <w:tc>
          <w:tcPr>
            <w:tcW w:w="2283" w:type="dxa"/>
            <w:tcBorders>
              <w:top w:val="nil"/>
              <w:left w:val="single" w:sz="4" w:space="0" w:color="auto"/>
              <w:bottom w:val="nil"/>
              <w:right w:val="nil"/>
            </w:tcBorders>
            <w:shd w:val="clear" w:color="000000" w:fill="FFFFFF"/>
            <w:noWrap/>
            <w:hideMark/>
          </w:tcPr>
          <w:p w14:paraId="64B63358"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3CDC9681"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(0.94)</w:t>
            </w:r>
          </w:p>
        </w:tc>
        <w:tc>
          <w:tcPr>
            <w:tcW w:w="1635" w:type="dxa"/>
            <w:tcBorders>
              <w:top w:val="nil"/>
              <w:left w:val="nil"/>
              <w:bottom w:val="nil"/>
              <w:right w:val="nil"/>
            </w:tcBorders>
            <w:shd w:val="clear" w:color="000000" w:fill="FFFFFF"/>
            <w:noWrap/>
            <w:hideMark/>
          </w:tcPr>
          <w:p w14:paraId="75869D0A"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(0.89)</w:t>
            </w:r>
          </w:p>
        </w:tc>
        <w:tc>
          <w:tcPr>
            <w:tcW w:w="1634" w:type="dxa"/>
            <w:tcBorders>
              <w:top w:val="nil"/>
              <w:left w:val="nil"/>
              <w:bottom w:val="nil"/>
              <w:right w:val="nil"/>
            </w:tcBorders>
            <w:shd w:val="clear" w:color="000000" w:fill="FFFFFF"/>
            <w:noWrap/>
            <w:hideMark/>
          </w:tcPr>
          <w:p w14:paraId="48438217"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(0.52)</w:t>
            </w:r>
          </w:p>
        </w:tc>
        <w:tc>
          <w:tcPr>
            <w:tcW w:w="1635" w:type="dxa"/>
            <w:tcBorders>
              <w:top w:val="nil"/>
              <w:left w:val="nil"/>
              <w:bottom w:val="nil"/>
              <w:right w:val="single" w:sz="4" w:space="0" w:color="auto"/>
            </w:tcBorders>
            <w:shd w:val="clear" w:color="000000" w:fill="FFFFFF"/>
            <w:noWrap/>
            <w:hideMark/>
          </w:tcPr>
          <w:p w14:paraId="60E2972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(0.45)</w:t>
            </w:r>
          </w:p>
        </w:tc>
      </w:tr>
      <w:tr w:rsidR="00994A24" w:rsidRPr="00994A24" w14:paraId="19661D80" w14:textId="77777777" w:rsidTr="00994A24">
        <w:trPr>
          <w:trHeight w:val="304"/>
        </w:trPr>
        <w:tc>
          <w:tcPr>
            <w:tcW w:w="2283" w:type="dxa"/>
            <w:tcBorders>
              <w:top w:val="nil"/>
              <w:left w:val="single" w:sz="4" w:space="0" w:color="auto"/>
              <w:bottom w:val="nil"/>
              <w:right w:val="nil"/>
            </w:tcBorders>
            <w:shd w:val="clear" w:color="000000" w:fill="FFFFFF"/>
            <w:noWrap/>
            <w:hideMark/>
          </w:tcPr>
          <w:p w14:paraId="183A4F6D"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Macroeconomic Indicator</w:t>
            </w:r>
          </w:p>
        </w:tc>
        <w:tc>
          <w:tcPr>
            <w:tcW w:w="1634" w:type="dxa"/>
            <w:tcBorders>
              <w:top w:val="nil"/>
              <w:left w:val="nil"/>
              <w:bottom w:val="nil"/>
              <w:right w:val="nil"/>
            </w:tcBorders>
            <w:shd w:val="clear" w:color="000000" w:fill="FFFFFF"/>
            <w:noWrap/>
            <w:hideMark/>
          </w:tcPr>
          <w:p w14:paraId="1005B87B"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21.75***</w:t>
            </w:r>
          </w:p>
        </w:tc>
        <w:tc>
          <w:tcPr>
            <w:tcW w:w="1635" w:type="dxa"/>
            <w:tcBorders>
              <w:top w:val="nil"/>
              <w:left w:val="nil"/>
              <w:bottom w:val="nil"/>
              <w:right w:val="nil"/>
            </w:tcBorders>
            <w:shd w:val="clear" w:color="000000" w:fill="FFFFFF"/>
            <w:noWrap/>
            <w:hideMark/>
          </w:tcPr>
          <w:p w14:paraId="4682FCC8"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8.46*</w:t>
            </w:r>
          </w:p>
        </w:tc>
        <w:tc>
          <w:tcPr>
            <w:tcW w:w="1634" w:type="dxa"/>
            <w:tcBorders>
              <w:top w:val="nil"/>
              <w:left w:val="nil"/>
              <w:bottom w:val="nil"/>
              <w:right w:val="nil"/>
            </w:tcBorders>
            <w:shd w:val="clear" w:color="000000" w:fill="FFFFFF"/>
            <w:noWrap/>
            <w:hideMark/>
          </w:tcPr>
          <w:p w14:paraId="2A28640B"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19.36***</w:t>
            </w:r>
          </w:p>
        </w:tc>
        <w:tc>
          <w:tcPr>
            <w:tcW w:w="1635" w:type="dxa"/>
            <w:tcBorders>
              <w:top w:val="nil"/>
              <w:left w:val="nil"/>
              <w:bottom w:val="nil"/>
              <w:right w:val="single" w:sz="4" w:space="0" w:color="auto"/>
            </w:tcBorders>
            <w:shd w:val="clear" w:color="000000" w:fill="FFFFFF"/>
            <w:noWrap/>
            <w:hideMark/>
          </w:tcPr>
          <w:p w14:paraId="6A92B63C"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11.51***</w:t>
            </w:r>
          </w:p>
        </w:tc>
      </w:tr>
      <w:tr w:rsidR="00994A24" w:rsidRPr="00994A24" w14:paraId="4A77179D" w14:textId="77777777" w:rsidTr="00994A24">
        <w:trPr>
          <w:trHeight w:val="304"/>
        </w:trPr>
        <w:tc>
          <w:tcPr>
            <w:tcW w:w="2283" w:type="dxa"/>
            <w:tcBorders>
              <w:top w:val="nil"/>
              <w:left w:val="single" w:sz="4" w:space="0" w:color="auto"/>
              <w:bottom w:val="nil"/>
              <w:right w:val="nil"/>
            </w:tcBorders>
            <w:shd w:val="clear" w:color="000000" w:fill="FFFFFF"/>
            <w:noWrap/>
            <w:hideMark/>
          </w:tcPr>
          <w:p w14:paraId="7D867B15"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 </w:t>
            </w:r>
          </w:p>
        </w:tc>
        <w:tc>
          <w:tcPr>
            <w:tcW w:w="1634" w:type="dxa"/>
            <w:tcBorders>
              <w:top w:val="nil"/>
              <w:left w:val="nil"/>
              <w:bottom w:val="nil"/>
              <w:right w:val="nil"/>
            </w:tcBorders>
            <w:shd w:val="clear" w:color="000000" w:fill="FFFFFF"/>
            <w:noWrap/>
            <w:hideMark/>
          </w:tcPr>
          <w:p w14:paraId="2B2CCEB0"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(3.97)</w:t>
            </w:r>
          </w:p>
        </w:tc>
        <w:tc>
          <w:tcPr>
            <w:tcW w:w="1635" w:type="dxa"/>
            <w:tcBorders>
              <w:top w:val="nil"/>
              <w:left w:val="nil"/>
              <w:bottom w:val="nil"/>
              <w:right w:val="nil"/>
            </w:tcBorders>
            <w:shd w:val="clear" w:color="000000" w:fill="FFFFFF"/>
            <w:noWrap/>
            <w:hideMark/>
          </w:tcPr>
          <w:p w14:paraId="71020BBA"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(4.33)</w:t>
            </w:r>
          </w:p>
        </w:tc>
        <w:tc>
          <w:tcPr>
            <w:tcW w:w="1634" w:type="dxa"/>
            <w:tcBorders>
              <w:top w:val="nil"/>
              <w:left w:val="nil"/>
              <w:bottom w:val="nil"/>
              <w:right w:val="nil"/>
            </w:tcBorders>
            <w:shd w:val="clear" w:color="000000" w:fill="FFFFFF"/>
            <w:noWrap/>
            <w:hideMark/>
          </w:tcPr>
          <w:p w14:paraId="7688DDF2"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(2.88)</w:t>
            </w:r>
          </w:p>
        </w:tc>
        <w:tc>
          <w:tcPr>
            <w:tcW w:w="1635" w:type="dxa"/>
            <w:tcBorders>
              <w:top w:val="nil"/>
              <w:left w:val="nil"/>
              <w:bottom w:val="nil"/>
              <w:right w:val="single" w:sz="4" w:space="0" w:color="auto"/>
            </w:tcBorders>
            <w:shd w:val="clear" w:color="000000" w:fill="FFFFFF"/>
            <w:noWrap/>
            <w:hideMark/>
          </w:tcPr>
          <w:p w14:paraId="7BB78505"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(3.11)</w:t>
            </w:r>
          </w:p>
        </w:tc>
      </w:tr>
      <w:tr w:rsidR="00994A24" w:rsidRPr="00994A24" w14:paraId="1A69123C" w14:textId="77777777" w:rsidTr="00994A24">
        <w:trPr>
          <w:trHeight w:val="304"/>
        </w:trPr>
        <w:tc>
          <w:tcPr>
            <w:tcW w:w="2283" w:type="dxa"/>
            <w:tcBorders>
              <w:top w:val="nil"/>
              <w:left w:val="single" w:sz="4" w:space="0" w:color="auto"/>
              <w:bottom w:val="nil"/>
              <w:right w:val="nil"/>
            </w:tcBorders>
            <w:shd w:val="clear" w:color="000000" w:fill="FFFFFF"/>
            <w:noWrap/>
            <w:hideMark/>
          </w:tcPr>
          <w:p w14:paraId="55D1B32E"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N</w:t>
            </w:r>
          </w:p>
        </w:tc>
        <w:tc>
          <w:tcPr>
            <w:tcW w:w="1634" w:type="dxa"/>
            <w:tcBorders>
              <w:top w:val="nil"/>
              <w:left w:val="nil"/>
              <w:bottom w:val="nil"/>
              <w:right w:val="nil"/>
            </w:tcBorders>
            <w:shd w:val="clear" w:color="000000" w:fill="FFFFFF"/>
            <w:noWrap/>
            <w:hideMark/>
          </w:tcPr>
          <w:p w14:paraId="68D3E10C"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77</w:t>
            </w:r>
          </w:p>
        </w:tc>
        <w:tc>
          <w:tcPr>
            <w:tcW w:w="1635" w:type="dxa"/>
            <w:tcBorders>
              <w:top w:val="nil"/>
              <w:left w:val="nil"/>
              <w:bottom w:val="nil"/>
              <w:right w:val="nil"/>
            </w:tcBorders>
            <w:shd w:val="clear" w:color="000000" w:fill="FFFFFF"/>
            <w:noWrap/>
            <w:hideMark/>
          </w:tcPr>
          <w:p w14:paraId="236D746F"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73</w:t>
            </w:r>
          </w:p>
        </w:tc>
        <w:tc>
          <w:tcPr>
            <w:tcW w:w="1634" w:type="dxa"/>
            <w:tcBorders>
              <w:top w:val="nil"/>
              <w:left w:val="nil"/>
              <w:bottom w:val="nil"/>
              <w:right w:val="nil"/>
            </w:tcBorders>
            <w:shd w:val="clear" w:color="000000" w:fill="FFFFFF"/>
            <w:noWrap/>
            <w:hideMark/>
          </w:tcPr>
          <w:p w14:paraId="39188F74"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77</w:t>
            </w:r>
          </w:p>
        </w:tc>
        <w:tc>
          <w:tcPr>
            <w:tcW w:w="1635" w:type="dxa"/>
            <w:tcBorders>
              <w:top w:val="nil"/>
              <w:left w:val="nil"/>
              <w:bottom w:val="nil"/>
              <w:right w:val="single" w:sz="4" w:space="0" w:color="auto"/>
            </w:tcBorders>
            <w:shd w:val="clear" w:color="000000" w:fill="FFFFFF"/>
            <w:noWrap/>
            <w:hideMark/>
          </w:tcPr>
          <w:p w14:paraId="7E4439C4"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73</w:t>
            </w:r>
          </w:p>
        </w:tc>
      </w:tr>
      <w:tr w:rsidR="00994A24" w:rsidRPr="00994A24" w14:paraId="3A2547BC" w14:textId="77777777" w:rsidTr="00994A24">
        <w:trPr>
          <w:trHeight w:val="304"/>
        </w:trPr>
        <w:tc>
          <w:tcPr>
            <w:tcW w:w="2283" w:type="dxa"/>
            <w:tcBorders>
              <w:top w:val="nil"/>
              <w:left w:val="single" w:sz="4" w:space="0" w:color="auto"/>
              <w:bottom w:val="single" w:sz="4" w:space="0" w:color="auto"/>
              <w:right w:val="nil"/>
            </w:tcBorders>
            <w:shd w:val="clear" w:color="000000" w:fill="FFFFFF"/>
            <w:noWrap/>
            <w:hideMark/>
          </w:tcPr>
          <w:p w14:paraId="4BED4F5A" w14:textId="77777777" w:rsidR="00994A24" w:rsidRPr="00994A24" w:rsidRDefault="00994A24" w:rsidP="00994A24">
            <w:pPr>
              <w:spacing w:after="0" w:line="240" w:lineRule="auto"/>
              <w:jc w:val="left"/>
              <w:rPr>
                <w:rFonts w:ascii="Calibri" w:hAnsi="Calibri" w:cs="Calibri"/>
                <w:b/>
                <w:bCs/>
                <w:color w:val="000000"/>
                <w:sz w:val="16"/>
                <w:szCs w:val="16"/>
                <w:lang w:val="en-AM" w:eastAsia="en-GB"/>
              </w:rPr>
            </w:pPr>
            <w:r w:rsidRPr="00994A24">
              <w:rPr>
                <w:rFonts w:ascii="Calibri" w:hAnsi="Calibri" w:cs="Calibri"/>
                <w:b/>
                <w:bCs/>
                <w:color w:val="000000"/>
                <w:sz w:val="16"/>
                <w:szCs w:val="16"/>
                <w:lang w:val="en-AM" w:eastAsia="en-GB"/>
              </w:rPr>
              <w:t>Pseudo-R2</w:t>
            </w:r>
          </w:p>
        </w:tc>
        <w:tc>
          <w:tcPr>
            <w:tcW w:w="1634" w:type="dxa"/>
            <w:tcBorders>
              <w:top w:val="nil"/>
              <w:left w:val="nil"/>
              <w:bottom w:val="single" w:sz="4" w:space="0" w:color="auto"/>
              <w:right w:val="nil"/>
            </w:tcBorders>
            <w:shd w:val="clear" w:color="000000" w:fill="FFFFFF"/>
            <w:noWrap/>
            <w:hideMark/>
          </w:tcPr>
          <w:p w14:paraId="6A0A1B71"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0.66</w:t>
            </w:r>
          </w:p>
        </w:tc>
        <w:tc>
          <w:tcPr>
            <w:tcW w:w="1635" w:type="dxa"/>
            <w:tcBorders>
              <w:top w:val="nil"/>
              <w:left w:val="nil"/>
              <w:bottom w:val="single" w:sz="4" w:space="0" w:color="auto"/>
              <w:right w:val="nil"/>
            </w:tcBorders>
            <w:shd w:val="clear" w:color="000000" w:fill="FFFFFF"/>
            <w:noWrap/>
            <w:hideMark/>
          </w:tcPr>
          <w:p w14:paraId="20CB9F89"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0.59</w:t>
            </w:r>
          </w:p>
        </w:tc>
        <w:tc>
          <w:tcPr>
            <w:tcW w:w="1634" w:type="dxa"/>
            <w:tcBorders>
              <w:top w:val="nil"/>
              <w:left w:val="nil"/>
              <w:bottom w:val="single" w:sz="4" w:space="0" w:color="auto"/>
              <w:right w:val="nil"/>
            </w:tcBorders>
            <w:shd w:val="clear" w:color="000000" w:fill="FFFFFF"/>
            <w:noWrap/>
            <w:hideMark/>
          </w:tcPr>
          <w:p w14:paraId="3EB40A4F"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0.50</w:t>
            </w:r>
          </w:p>
        </w:tc>
        <w:tc>
          <w:tcPr>
            <w:tcW w:w="1635" w:type="dxa"/>
            <w:tcBorders>
              <w:top w:val="nil"/>
              <w:left w:val="nil"/>
              <w:bottom w:val="single" w:sz="4" w:space="0" w:color="auto"/>
              <w:right w:val="single" w:sz="4" w:space="0" w:color="auto"/>
            </w:tcBorders>
            <w:shd w:val="clear" w:color="000000" w:fill="FFFFFF"/>
            <w:noWrap/>
            <w:hideMark/>
          </w:tcPr>
          <w:p w14:paraId="1BFC53BD" w14:textId="77777777" w:rsidR="00994A24" w:rsidRPr="00994A24" w:rsidRDefault="00994A24" w:rsidP="00994A24">
            <w:pPr>
              <w:spacing w:after="0" w:line="240" w:lineRule="auto"/>
              <w:jc w:val="center"/>
              <w:rPr>
                <w:rFonts w:ascii="Calibri" w:hAnsi="Calibri" w:cs="Calibri"/>
                <w:color w:val="000000"/>
                <w:sz w:val="16"/>
                <w:szCs w:val="16"/>
                <w:lang w:val="en-AM" w:eastAsia="en-GB"/>
              </w:rPr>
            </w:pPr>
            <w:r w:rsidRPr="00994A24">
              <w:rPr>
                <w:rFonts w:ascii="Calibri" w:hAnsi="Calibri" w:cs="Calibri"/>
                <w:color w:val="000000"/>
                <w:sz w:val="16"/>
                <w:szCs w:val="16"/>
                <w:lang w:val="en-AM" w:eastAsia="en-GB"/>
              </w:rPr>
              <w:t>0.47</w:t>
            </w:r>
          </w:p>
        </w:tc>
      </w:tr>
    </w:tbl>
    <w:p w14:paraId="24634A6E" w14:textId="77777777" w:rsidR="00A74F23" w:rsidRDefault="00A74F23" w:rsidP="00873997">
      <w:pPr>
        <w:spacing w:after="0" w:line="240" w:lineRule="auto"/>
      </w:pPr>
      <w:r>
        <w:rPr>
          <w:noProof/>
        </w:rPr>
        <w:drawing>
          <wp:inline distT="0" distB="0" distL="0" distR="0" wp14:anchorId="6951B29D" wp14:editId="0067AEB9">
            <wp:extent cx="5943600" cy="25825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7"/>
                    <a:stretch>
                      <a:fillRect/>
                    </a:stretch>
                  </pic:blipFill>
                  <pic:spPr>
                    <a:xfrm>
                      <a:off x="0" y="0"/>
                      <a:ext cx="5943600" cy="2582545"/>
                    </a:xfrm>
                    <a:prstGeom prst="rect">
                      <a:avLst/>
                    </a:prstGeom>
                  </pic:spPr>
                </pic:pic>
              </a:graphicData>
            </a:graphic>
          </wp:inline>
        </w:drawing>
      </w:r>
    </w:p>
    <w:p w14:paraId="655767E9" w14:textId="3B00B4B4" w:rsidR="00A74F23" w:rsidRDefault="00A74F23" w:rsidP="00A74F23">
      <w:pPr>
        <w:pStyle w:val="Caption"/>
        <w:jc w:val="both"/>
        <w:rPr>
          <w:bCs/>
        </w:rPr>
      </w:pPr>
      <w:r>
        <w:t xml:space="preserve">Figure </w:t>
      </w:r>
      <w:fldSimple w:instr=" SEQ Figure \* ARABIC ">
        <w:r w:rsidR="00E941CA">
          <w:rPr>
            <w:noProof/>
          </w:rPr>
          <w:t>27</w:t>
        </w:r>
      </w:fldSimple>
      <w:r>
        <w:t xml:space="preserve">. </w:t>
      </w:r>
      <w:r w:rsidR="00116F75">
        <w:rPr>
          <w:b w:val="0"/>
          <w:bCs/>
        </w:rPr>
        <w:t>Local q</w:t>
      </w:r>
      <w:r w:rsidRPr="00A74F23">
        <w:rPr>
          <w:b w:val="0"/>
          <w:bCs/>
        </w:rPr>
        <w:t xml:space="preserve">uantile regression </w:t>
      </w:r>
      <w:r>
        <w:rPr>
          <w:b w:val="0"/>
          <w:bCs/>
        </w:rPr>
        <w:t xml:space="preserve">one year ahead </w:t>
      </w:r>
      <w:r w:rsidRPr="00A74F23">
        <w:rPr>
          <w:b w:val="0"/>
          <w:bCs/>
        </w:rPr>
        <w:t xml:space="preserve">fitted values </w:t>
      </w:r>
      <w:r w:rsidR="00116F75">
        <w:rPr>
          <w:b w:val="0"/>
          <w:bCs/>
        </w:rPr>
        <w:t xml:space="preserve">of Armenia </w:t>
      </w:r>
      <w:r w:rsidRPr="00A74F23">
        <w:rPr>
          <w:b w:val="0"/>
          <w:bCs/>
        </w:rPr>
        <w:t>for different quantiles</w:t>
      </w:r>
      <w:r>
        <w:rPr>
          <w:b w:val="0"/>
          <w:bCs/>
        </w:rPr>
        <w:t>.</w:t>
      </w:r>
    </w:p>
    <w:p w14:paraId="04C393A5" w14:textId="56C0563B" w:rsidR="00A74F23" w:rsidRDefault="009A38F3" w:rsidP="00FB098A">
      <w:pPr>
        <w:rPr>
          <w:bCs/>
        </w:rPr>
      </w:pPr>
      <w:r w:rsidRPr="009A38F3">
        <w:rPr>
          <w:b/>
        </w:rPr>
        <w:fldChar w:fldCharType="begin"/>
      </w:r>
      <w:r w:rsidRPr="009A38F3">
        <w:rPr>
          <w:b/>
        </w:rPr>
        <w:instrText xml:space="preserve"> REF _Ref176970632 \h </w:instrText>
      </w:r>
      <w:r>
        <w:rPr>
          <w:b/>
        </w:rPr>
        <w:instrText xml:space="preserve"> \* MERGEFORMAT </w:instrText>
      </w:r>
      <w:r w:rsidRPr="009A38F3">
        <w:rPr>
          <w:b/>
        </w:rPr>
      </w:r>
      <w:r w:rsidRPr="009A38F3">
        <w:rPr>
          <w:b/>
        </w:rPr>
        <w:fldChar w:fldCharType="separate"/>
      </w:r>
      <w:r w:rsidRPr="009A38F3">
        <w:rPr>
          <w:b/>
        </w:rPr>
        <w:t xml:space="preserve">Figure </w:t>
      </w:r>
      <w:r w:rsidRPr="009A38F3">
        <w:rPr>
          <w:b/>
          <w:noProof/>
        </w:rPr>
        <w:t>28</w:t>
      </w:r>
      <w:r w:rsidRPr="009A38F3">
        <w:rPr>
          <w:b/>
        </w:rPr>
        <w:fldChar w:fldCharType="end"/>
      </w:r>
      <w:r>
        <w:rPr>
          <w:bCs/>
        </w:rPr>
        <w:t xml:space="preserve"> shows the GDP growth distribution of Armenia conditional on systemic risks in 2024Q1. Instead of a using </w:t>
      </w:r>
      <w:r>
        <w:t xml:space="preserve">skewed t-distribution as in </w:t>
      </w:r>
      <w:r w:rsidRPr="009A38F3">
        <w:rPr>
          <w:b/>
          <w:bCs/>
        </w:rPr>
        <w:fldChar w:fldCharType="begin"/>
      </w:r>
      <w:r w:rsidRPr="009A38F3">
        <w:rPr>
          <w:b/>
          <w:bCs/>
        </w:rPr>
        <w:instrText xml:space="preserve"> REF _Ref176970853 \h </w:instrText>
      </w:r>
      <w:r>
        <w:rPr>
          <w:b/>
          <w:bCs/>
        </w:rPr>
        <w:instrText xml:space="preserve"> \* MERGEFORMAT </w:instrText>
      </w:r>
      <w:r w:rsidRPr="009A38F3">
        <w:rPr>
          <w:b/>
          <w:bCs/>
        </w:rPr>
      </w:r>
      <w:r w:rsidRPr="009A38F3">
        <w:rPr>
          <w:b/>
          <w:bCs/>
        </w:rPr>
        <w:fldChar w:fldCharType="separate"/>
      </w:r>
      <w:r w:rsidRPr="009A38F3">
        <w:rPr>
          <w:b/>
          <w:bCs/>
        </w:rPr>
        <w:t xml:space="preserve">Figure </w:t>
      </w:r>
      <w:r w:rsidRPr="009A38F3">
        <w:rPr>
          <w:b/>
          <w:bCs/>
          <w:noProof/>
        </w:rPr>
        <w:t>22</w:t>
      </w:r>
      <w:r w:rsidRPr="009A38F3">
        <w:rPr>
          <w:b/>
          <w:bCs/>
        </w:rPr>
        <w:fldChar w:fldCharType="end"/>
      </w:r>
      <w:r>
        <w:t xml:space="preserve">, a Kernel density-based estimation is used to </w:t>
      </w:r>
      <w:r w:rsidRPr="009A38F3">
        <w:t>interpolat</w:t>
      </w:r>
      <w:r>
        <w:t xml:space="preserve">e the quantiles. </w:t>
      </w:r>
      <w:r w:rsidR="00951F5A">
        <w:t xml:space="preserve">Even though it is more sensitive to the choice of the number of quantiles, it does a better job at </w:t>
      </w:r>
      <w:r w:rsidR="00951F5A" w:rsidRPr="00951F5A">
        <w:t>describing</w:t>
      </w:r>
      <w:r w:rsidR="00951F5A">
        <w:t xml:space="preserve"> the left tail of the </w:t>
      </w:r>
      <w:r w:rsidR="00951F5A" w:rsidRPr="00951F5A">
        <w:t>distribution</w:t>
      </w:r>
      <w:r w:rsidR="00951F5A">
        <w:t>.</w:t>
      </w:r>
    </w:p>
    <w:p w14:paraId="24B9827E" w14:textId="77777777" w:rsidR="00033994" w:rsidRDefault="00033994" w:rsidP="00476FD0">
      <w:pPr>
        <w:spacing w:after="0"/>
      </w:pPr>
      <w:r>
        <w:rPr>
          <w:noProof/>
        </w:rPr>
        <w:lastRenderedPageBreak/>
        <w:drawing>
          <wp:inline distT="0" distB="0" distL="0" distR="0" wp14:anchorId="37114C07" wp14:editId="6957E3B2">
            <wp:extent cx="5943600" cy="235839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8"/>
                    <a:stretch>
                      <a:fillRect/>
                    </a:stretch>
                  </pic:blipFill>
                  <pic:spPr>
                    <a:xfrm>
                      <a:off x="0" y="0"/>
                      <a:ext cx="5943600" cy="2358390"/>
                    </a:xfrm>
                    <a:prstGeom prst="rect">
                      <a:avLst/>
                    </a:prstGeom>
                  </pic:spPr>
                </pic:pic>
              </a:graphicData>
            </a:graphic>
          </wp:inline>
        </w:drawing>
      </w:r>
    </w:p>
    <w:p w14:paraId="0E1D363B" w14:textId="639ED76B" w:rsidR="00033994" w:rsidRPr="00033994" w:rsidRDefault="00033994" w:rsidP="00033994">
      <w:pPr>
        <w:pStyle w:val="Caption"/>
        <w:jc w:val="both"/>
        <w:rPr>
          <w:b w:val="0"/>
          <w:bCs/>
        </w:rPr>
      </w:pPr>
      <w:bookmarkStart w:id="25" w:name="_Ref176970632"/>
      <w:r>
        <w:t xml:space="preserve">Figure </w:t>
      </w:r>
      <w:fldSimple w:instr=" SEQ Figure \* ARABIC ">
        <w:r w:rsidR="00E941CA">
          <w:rPr>
            <w:noProof/>
          </w:rPr>
          <w:t>28</w:t>
        </w:r>
      </w:fldSimple>
      <w:bookmarkEnd w:id="25"/>
      <w:r>
        <w:t xml:space="preserve">. </w:t>
      </w:r>
      <w:r w:rsidR="0046262B">
        <w:rPr>
          <w:b w:val="0"/>
          <w:bCs/>
        </w:rPr>
        <w:t>C</w:t>
      </w:r>
      <w:r w:rsidR="00D41405">
        <w:rPr>
          <w:b w:val="0"/>
          <w:bCs/>
        </w:rPr>
        <w:t>onditional G</w:t>
      </w:r>
      <w:r w:rsidRPr="00033994">
        <w:rPr>
          <w:b w:val="0"/>
          <w:bCs/>
        </w:rPr>
        <w:t>DP</w:t>
      </w:r>
      <w:r w:rsidR="00D41405">
        <w:rPr>
          <w:b w:val="0"/>
          <w:bCs/>
        </w:rPr>
        <w:t xml:space="preserve"> growth distribution using </w:t>
      </w:r>
      <w:r w:rsidR="00D41405" w:rsidRPr="00D41405">
        <w:rPr>
          <w:b w:val="0"/>
          <w:bCs/>
        </w:rPr>
        <w:t>non-parametric</w:t>
      </w:r>
      <w:r w:rsidR="00D41405">
        <w:rPr>
          <w:b w:val="0"/>
          <w:bCs/>
        </w:rPr>
        <w:t xml:space="preserve"> KDE based interpolation</w:t>
      </w:r>
      <w:r w:rsidR="00D27E6B">
        <w:rPr>
          <w:b w:val="0"/>
          <w:bCs/>
        </w:rPr>
        <w:t>.</w:t>
      </w:r>
    </w:p>
    <w:p w14:paraId="64F1C46C" w14:textId="46188EBE" w:rsidR="00FB098A" w:rsidRDefault="00FB098A" w:rsidP="00FB098A">
      <w:pPr>
        <w:rPr>
          <w:b/>
        </w:rPr>
      </w:pPr>
      <w:r w:rsidRPr="00FB098A">
        <w:rPr>
          <w:b/>
        </w:rPr>
        <w:t>Appendix</w:t>
      </w:r>
      <w:r>
        <w:rPr>
          <w:b/>
        </w:rPr>
        <w:t xml:space="preserve"> C: </w:t>
      </w:r>
      <w:r w:rsidRPr="00FB098A">
        <w:rPr>
          <w:b/>
        </w:rPr>
        <w:t>Input data and transformations</w:t>
      </w:r>
    </w:p>
    <w:p w14:paraId="614FBFBB" w14:textId="6632BB31" w:rsidR="00FB098A" w:rsidRDefault="00FB098A" w:rsidP="00FB098A">
      <w:pPr>
        <w:rPr>
          <w:b/>
        </w:rPr>
      </w:pPr>
      <w:r w:rsidRPr="00FB098A">
        <w:rPr>
          <w:b/>
        </w:rPr>
        <w:t>C1. Data for the panel model</w:t>
      </w:r>
    </w:p>
    <w:p w14:paraId="43443851" w14:textId="12D7E301" w:rsidR="00591FCC" w:rsidRPr="00591FCC" w:rsidRDefault="00A515D8" w:rsidP="00FB098A">
      <w:pPr>
        <w:rPr>
          <w:bCs/>
        </w:rPr>
      </w:pPr>
      <w:r w:rsidRPr="00A515D8">
        <w:rPr>
          <w:b/>
        </w:rPr>
        <w:fldChar w:fldCharType="begin"/>
      </w:r>
      <w:r w:rsidRPr="00A515D8">
        <w:rPr>
          <w:b/>
        </w:rPr>
        <w:instrText xml:space="preserve"> REF _Ref176971796 \h </w:instrText>
      </w:r>
      <w:r>
        <w:rPr>
          <w:b/>
        </w:rPr>
        <w:instrText xml:space="preserve"> \* MERGEFORMAT </w:instrText>
      </w:r>
      <w:r w:rsidRPr="00A515D8">
        <w:rPr>
          <w:b/>
        </w:rPr>
      </w:r>
      <w:r w:rsidRPr="00A515D8">
        <w:rPr>
          <w:b/>
        </w:rPr>
        <w:fldChar w:fldCharType="separate"/>
      </w:r>
      <w:r w:rsidRPr="00A515D8">
        <w:rPr>
          <w:b/>
        </w:rPr>
        <w:t xml:space="preserve">Table </w:t>
      </w:r>
      <w:r w:rsidRPr="00A515D8">
        <w:rPr>
          <w:b/>
          <w:noProof/>
        </w:rPr>
        <w:t>3</w:t>
      </w:r>
      <w:r w:rsidRPr="00A515D8">
        <w:rPr>
          <w:b/>
        </w:rPr>
        <w:fldChar w:fldCharType="end"/>
      </w:r>
      <w:r>
        <w:rPr>
          <w:bCs/>
        </w:rPr>
        <w:t xml:space="preserve"> and </w:t>
      </w:r>
      <w:r w:rsidRPr="00A515D8">
        <w:rPr>
          <w:b/>
        </w:rPr>
        <w:fldChar w:fldCharType="begin"/>
      </w:r>
      <w:r w:rsidRPr="00A515D8">
        <w:rPr>
          <w:b/>
        </w:rPr>
        <w:instrText xml:space="preserve"> REF _Ref176971798 \h </w:instrText>
      </w:r>
      <w:r>
        <w:rPr>
          <w:b/>
        </w:rPr>
        <w:instrText xml:space="preserve"> \* MERGEFORMAT </w:instrText>
      </w:r>
      <w:r w:rsidRPr="00A515D8">
        <w:rPr>
          <w:b/>
        </w:rPr>
      </w:r>
      <w:r w:rsidRPr="00A515D8">
        <w:rPr>
          <w:b/>
        </w:rPr>
        <w:fldChar w:fldCharType="separate"/>
      </w:r>
      <w:r w:rsidRPr="00A515D8">
        <w:rPr>
          <w:b/>
        </w:rPr>
        <w:t xml:space="preserve">Table </w:t>
      </w:r>
      <w:r w:rsidRPr="00A515D8">
        <w:rPr>
          <w:b/>
          <w:noProof/>
        </w:rPr>
        <w:t>4</w:t>
      </w:r>
      <w:r w:rsidRPr="00A515D8">
        <w:rPr>
          <w:b/>
        </w:rPr>
        <w:fldChar w:fldCharType="end"/>
      </w:r>
      <w:r>
        <w:rPr>
          <w:bCs/>
        </w:rPr>
        <w:t xml:space="preserve"> </w:t>
      </w:r>
      <w:r w:rsidRPr="00A515D8">
        <w:rPr>
          <w:bCs/>
        </w:rPr>
        <w:t>illustrate</w:t>
      </w:r>
      <w:r>
        <w:rPr>
          <w:bCs/>
        </w:rPr>
        <w:t xml:space="preserve"> summary statistics related to the panel data before and after the </w:t>
      </w:r>
      <w:r w:rsidRPr="00A515D8">
        <w:rPr>
          <w:bCs/>
        </w:rPr>
        <w:t>transformation</w:t>
      </w:r>
      <w:r>
        <w:rPr>
          <w:bCs/>
        </w:rPr>
        <w:t xml:space="preserve">s. Variables with </w:t>
      </w:r>
      <w:r w:rsidR="003B7829">
        <w:rPr>
          <w:bCs/>
        </w:rPr>
        <w:t>the</w:t>
      </w:r>
      <w:r>
        <w:rPr>
          <w:bCs/>
        </w:rPr>
        <w:t xml:space="preserve"> </w:t>
      </w:r>
      <w:r w:rsidRPr="00A515D8">
        <w:rPr>
          <w:bCs/>
        </w:rPr>
        <w:t>prefix</w:t>
      </w:r>
      <w:r>
        <w:rPr>
          <w:bCs/>
        </w:rPr>
        <w:t xml:space="preserve"> “_C” and “_PctC” describe </w:t>
      </w:r>
      <w:r w:rsidR="003B7829">
        <w:rPr>
          <w:bCs/>
        </w:rPr>
        <w:t xml:space="preserve">the </w:t>
      </w:r>
      <w:r>
        <w:rPr>
          <w:bCs/>
        </w:rPr>
        <w:t xml:space="preserve">simple difference and </w:t>
      </w:r>
      <w:r w:rsidRPr="00A515D8">
        <w:rPr>
          <w:bCs/>
        </w:rPr>
        <w:t>percentage change difference</w:t>
      </w:r>
      <w:r>
        <w:rPr>
          <w:bCs/>
        </w:rPr>
        <w:t xml:space="preserve"> </w:t>
      </w:r>
      <w:r w:rsidRPr="00A515D8">
        <w:rPr>
          <w:bCs/>
        </w:rPr>
        <w:t>transformations respectively</w:t>
      </w:r>
      <w:r>
        <w:rPr>
          <w:bCs/>
        </w:rPr>
        <w:t xml:space="preserve">. Variables with </w:t>
      </w:r>
      <w:r w:rsidR="003B7829">
        <w:rPr>
          <w:bCs/>
        </w:rPr>
        <w:t>the</w:t>
      </w:r>
      <w:r>
        <w:rPr>
          <w:bCs/>
        </w:rPr>
        <w:t xml:space="preserve"> prefix “_lag_</w:t>
      </w:r>
      <m:oMath>
        <m:r>
          <w:rPr>
            <w:rFonts w:ascii="Cambria Math" w:hAnsi="Cambria Math"/>
          </w:rPr>
          <m:t>i</m:t>
        </m:r>
      </m:oMath>
      <w:r>
        <w:rPr>
          <w:bCs/>
        </w:rPr>
        <w:t xml:space="preserve">” indicate that the series has been shifted backward by </w:t>
      </w:r>
      <m:oMath>
        <m:r>
          <w:rPr>
            <w:rFonts w:ascii="Cambria Math" w:hAnsi="Cambria Math"/>
          </w:rPr>
          <m:t>i</m:t>
        </m:r>
      </m:oMath>
      <w:r>
        <w:rPr>
          <w:bCs/>
        </w:rPr>
        <w:t xml:space="preserve"> quarters.</w:t>
      </w:r>
    </w:p>
    <w:p w14:paraId="5D03EFDA" w14:textId="70C9AD5A" w:rsidR="00591FCC" w:rsidRPr="00C33AAC" w:rsidRDefault="00591FCC" w:rsidP="00591FCC">
      <w:pPr>
        <w:pStyle w:val="Caption"/>
        <w:keepNext/>
        <w:spacing w:after="0"/>
        <w:jc w:val="left"/>
        <w:rPr>
          <w:b w:val="0"/>
          <w:bCs/>
        </w:rPr>
      </w:pPr>
      <w:bookmarkStart w:id="26" w:name="_Ref176971796"/>
      <w:r>
        <w:t xml:space="preserve">Table </w:t>
      </w:r>
      <w:fldSimple w:instr=" SEQ Table \* ARABIC ">
        <w:r w:rsidR="002A6D9E">
          <w:rPr>
            <w:noProof/>
          </w:rPr>
          <w:t>3</w:t>
        </w:r>
      </w:fldSimple>
      <w:bookmarkEnd w:id="26"/>
      <w:r>
        <w:t xml:space="preserve">. </w:t>
      </w:r>
      <w:r w:rsidRPr="004D4534">
        <w:t>Panel summary statistics</w:t>
      </w:r>
    </w:p>
    <w:tbl>
      <w:tblPr>
        <w:tblpPr w:leftFromText="567" w:rightFromText="567" w:bottomFromText="284" w:vertAnchor="text" w:tblpY="1"/>
        <w:tblOverlap w:val="never"/>
        <w:tblW w:w="9250" w:type="dxa"/>
        <w:tblLook w:val="04A0" w:firstRow="1" w:lastRow="0" w:firstColumn="1" w:lastColumn="0" w:noHBand="0" w:noVBand="1"/>
      </w:tblPr>
      <w:tblGrid>
        <w:gridCol w:w="2263"/>
        <w:gridCol w:w="854"/>
        <w:gridCol w:w="1360"/>
        <w:gridCol w:w="1360"/>
        <w:gridCol w:w="740"/>
        <w:gridCol w:w="1173"/>
        <w:gridCol w:w="1500"/>
      </w:tblGrid>
      <w:tr w:rsidR="00591FCC" w:rsidRPr="00591FCC" w14:paraId="630BF465" w14:textId="77777777" w:rsidTr="00591FCC">
        <w:trPr>
          <w:trHeight w:val="300"/>
        </w:trPr>
        <w:tc>
          <w:tcPr>
            <w:tcW w:w="2263" w:type="dxa"/>
            <w:tcBorders>
              <w:top w:val="single" w:sz="4" w:space="0" w:color="auto"/>
              <w:left w:val="single" w:sz="4" w:space="0" w:color="auto"/>
              <w:bottom w:val="single" w:sz="4" w:space="0" w:color="auto"/>
              <w:right w:val="nil"/>
            </w:tcBorders>
            <w:shd w:val="clear" w:color="000000" w:fill="FFFFFF"/>
            <w:noWrap/>
            <w:hideMark/>
          </w:tcPr>
          <w:p w14:paraId="3EF61AAF"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Variables</w:t>
            </w:r>
          </w:p>
        </w:tc>
        <w:tc>
          <w:tcPr>
            <w:tcW w:w="854" w:type="dxa"/>
            <w:tcBorders>
              <w:top w:val="single" w:sz="4" w:space="0" w:color="auto"/>
              <w:left w:val="nil"/>
              <w:bottom w:val="single" w:sz="4" w:space="0" w:color="auto"/>
              <w:right w:val="nil"/>
            </w:tcBorders>
            <w:shd w:val="clear" w:color="000000" w:fill="FFFFFF"/>
            <w:noWrap/>
            <w:hideMark/>
          </w:tcPr>
          <w:p w14:paraId="026A905B" w14:textId="77777777" w:rsidR="00591FCC" w:rsidRPr="00591FCC" w:rsidRDefault="00591FCC" w:rsidP="00591FCC">
            <w:pPr>
              <w:spacing w:after="0" w:line="240" w:lineRule="auto"/>
              <w:jc w:val="center"/>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count</w:t>
            </w:r>
          </w:p>
        </w:tc>
        <w:tc>
          <w:tcPr>
            <w:tcW w:w="1360" w:type="dxa"/>
            <w:tcBorders>
              <w:top w:val="single" w:sz="4" w:space="0" w:color="auto"/>
              <w:left w:val="nil"/>
              <w:bottom w:val="single" w:sz="4" w:space="0" w:color="auto"/>
              <w:right w:val="nil"/>
            </w:tcBorders>
            <w:shd w:val="clear" w:color="000000" w:fill="FFFFFF"/>
            <w:noWrap/>
            <w:hideMark/>
          </w:tcPr>
          <w:p w14:paraId="4D30B24C" w14:textId="77777777" w:rsidR="00591FCC" w:rsidRPr="00591FCC" w:rsidRDefault="00591FCC" w:rsidP="00591FCC">
            <w:pPr>
              <w:spacing w:after="0" w:line="240" w:lineRule="auto"/>
              <w:jc w:val="center"/>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mean</w:t>
            </w:r>
          </w:p>
        </w:tc>
        <w:tc>
          <w:tcPr>
            <w:tcW w:w="1360" w:type="dxa"/>
            <w:tcBorders>
              <w:top w:val="single" w:sz="4" w:space="0" w:color="auto"/>
              <w:left w:val="nil"/>
              <w:bottom w:val="single" w:sz="4" w:space="0" w:color="auto"/>
              <w:right w:val="nil"/>
            </w:tcBorders>
            <w:shd w:val="clear" w:color="000000" w:fill="FFFFFF"/>
            <w:noWrap/>
            <w:hideMark/>
          </w:tcPr>
          <w:p w14:paraId="6034F323" w14:textId="77777777" w:rsidR="00591FCC" w:rsidRPr="00591FCC" w:rsidRDefault="00591FCC" w:rsidP="00591FCC">
            <w:pPr>
              <w:spacing w:after="0" w:line="240" w:lineRule="auto"/>
              <w:jc w:val="center"/>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std</w:t>
            </w:r>
          </w:p>
        </w:tc>
        <w:tc>
          <w:tcPr>
            <w:tcW w:w="740" w:type="dxa"/>
            <w:tcBorders>
              <w:top w:val="single" w:sz="4" w:space="0" w:color="auto"/>
              <w:left w:val="nil"/>
              <w:bottom w:val="single" w:sz="4" w:space="0" w:color="auto"/>
              <w:right w:val="nil"/>
            </w:tcBorders>
            <w:shd w:val="clear" w:color="000000" w:fill="FFFFFF"/>
            <w:noWrap/>
            <w:hideMark/>
          </w:tcPr>
          <w:p w14:paraId="6A607B46" w14:textId="77777777" w:rsidR="00591FCC" w:rsidRPr="00591FCC" w:rsidRDefault="00591FCC" w:rsidP="00591FCC">
            <w:pPr>
              <w:spacing w:after="0" w:line="240" w:lineRule="auto"/>
              <w:jc w:val="center"/>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min</w:t>
            </w:r>
          </w:p>
        </w:tc>
        <w:tc>
          <w:tcPr>
            <w:tcW w:w="1173" w:type="dxa"/>
            <w:tcBorders>
              <w:top w:val="single" w:sz="4" w:space="0" w:color="auto"/>
              <w:left w:val="nil"/>
              <w:bottom w:val="single" w:sz="4" w:space="0" w:color="auto"/>
              <w:right w:val="nil"/>
            </w:tcBorders>
            <w:shd w:val="clear" w:color="000000" w:fill="FFFFFF"/>
            <w:noWrap/>
            <w:hideMark/>
          </w:tcPr>
          <w:p w14:paraId="12662C69" w14:textId="77777777" w:rsidR="00591FCC" w:rsidRPr="00591FCC" w:rsidRDefault="00591FCC" w:rsidP="00591FCC">
            <w:pPr>
              <w:spacing w:after="0" w:line="240" w:lineRule="auto"/>
              <w:jc w:val="center"/>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50%</w:t>
            </w:r>
          </w:p>
        </w:tc>
        <w:tc>
          <w:tcPr>
            <w:tcW w:w="1500" w:type="dxa"/>
            <w:tcBorders>
              <w:top w:val="single" w:sz="4" w:space="0" w:color="auto"/>
              <w:left w:val="nil"/>
              <w:bottom w:val="single" w:sz="4" w:space="0" w:color="auto"/>
              <w:right w:val="single" w:sz="4" w:space="0" w:color="auto"/>
            </w:tcBorders>
            <w:shd w:val="clear" w:color="000000" w:fill="FFFFFF"/>
            <w:noWrap/>
            <w:hideMark/>
          </w:tcPr>
          <w:p w14:paraId="74C274E9" w14:textId="77777777" w:rsidR="00591FCC" w:rsidRPr="00591FCC" w:rsidRDefault="00591FCC" w:rsidP="00591FCC">
            <w:pPr>
              <w:spacing w:after="0" w:line="240" w:lineRule="auto"/>
              <w:jc w:val="center"/>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max</w:t>
            </w:r>
          </w:p>
        </w:tc>
      </w:tr>
      <w:tr w:rsidR="00591FCC" w:rsidRPr="00591FCC" w14:paraId="539EAE1C" w14:textId="77777777" w:rsidTr="00591FCC">
        <w:trPr>
          <w:trHeight w:val="300"/>
        </w:trPr>
        <w:tc>
          <w:tcPr>
            <w:tcW w:w="2263" w:type="dxa"/>
            <w:tcBorders>
              <w:top w:val="nil"/>
              <w:left w:val="single" w:sz="4" w:space="0" w:color="auto"/>
              <w:bottom w:val="nil"/>
              <w:right w:val="nil"/>
            </w:tcBorders>
            <w:shd w:val="clear" w:color="000000" w:fill="FFFFFF"/>
            <w:noWrap/>
            <w:hideMark/>
          </w:tcPr>
          <w:p w14:paraId="5CABBA4E"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GDP_real_growth_1.0y</w:t>
            </w:r>
          </w:p>
        </w:tc>
        <w:tc>
          <w:tcPr>
            <w:tcW w:w="854" w:type="dxa"/>
            <w:tcBorders>
              <w:top w:val="nil"/>
              <w:left w:val="nil"/>
              <w:bottom w:val="nil"/>
              <w:right w:val="nil"/>
            </w:tcBorders>
            <w:shd w:val="clear" w:color="000000" w:fill="FFFFFF"/>
            <w:noWrap/>
            <w:hideMark/>
          </w:tcPr>
          <w:p w14:paraId="43172697"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5,084.00</w:t>
            </w:r>
          </w:p>
        </w:tc>
        <w:tc>
          <w:tcPr>
            <w:tcW w:w="1360" w:type="dxa"/>
            <w:tcBorders>
              <w:top w:val="nil"/>
              <w:left w:val="nil"/>
              <w:bottom w:val="nil"/>
              <w:right w:val="nil"/>
            </w:tcBorders>
            <w:shd w:val="clear" w:color="000000" w:fill="FFFFFF"/>
            <w:noWrap/>
            <w:hideMark/>
          </w:tcPr>
          <w:p w14:paraId="6A304A0A"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3.22</w:t>
            </w:r>
          </w:p>
        </w:tc>
        <w:tc>
          <w:tcPr>
            <w:tcW w:w="1360" w:type="dxa"/>
            <w:tcBorders>
              <w:top w:val="nil"/>
              <w:left w:val="nil"/>
              <w:bottom w:val="nil"/>
              <w:right w:val="nil"/>
            </w:tcBorders>
            <w:shd w:val="clear" w:color="000000" w:fill="FFFFFF"/>
            <w:noWrap/>
            <w:hideMark/>
          </w:tcPr>
          <w:p w14:paraId="5995640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4.52</w:t>
            </w:r>
          </w:p>
        </w:tc>
        <w:tc>
          <w:tcPr>
            <w:tcW w:w="740" w:type="dxa"/>
            <w:tcBorders>
              <w:top w:val="nil"/>
              <w:left w:val="nil"/>
              <w:bottom w:val="nil"/>
              <w:right w:val="nil"/>
            </w:tcBorders>
            <w:shd w:val="clear" w:color="000000" w:fill="FFFFFF"/>
            <w:noWrap/>
            <w:hideMark/>
          </w:tcPr>
          <w:p w14:paraId="532A7CAA"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-23.37</w:t>
            </w:r>
          </w:p>
        </w:tc>
        <w:tc>
          <w:tcPr>
            <w:tcW w:w="1173" w:type="dxa"/>
            <w:tcBorders>
              <w:top w:val="nil"/>
              <w:left w:val="nil"/>
              <w:bottom w:val="nil"/>
              <w:right w:val="nil"/>
            </w:tcBorders>
            <w:shd w:val="clear" w:color="000000" w:fill="FFFFFF"/>
            <w:noWrap/>
            <w:hideMark/>
          </w:tcPr>
          <w:p w14:paraId="1FFD5ABB"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2.98</w:t>
            </w:r>
          </w:p>
        </w:tc>
        <w:tc>
          <w:tcPr>
            <w:tcW w:w="1500" w:type="dxa"/>
            <w:tcBorders>
              <w:top w:val="nil"/>
              <w:left w:val="nil"/>
              <w:bottom w:val="nil"/>
              <w:right w:val="single" w:sz="4" w:space="0" w:color="auto"/>
            </w:tcBorders>
            <w:shd w:val="clear" w:color="000000" w:fill="FFFFFF"/>
            <w:noWrap/>
            <w:hideMark/>
          </w:tcPr>
          <w:p w14:paraId="558E6AA9"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45.60</w:t>
            </w:r>
          </w:p>
        </w:tc>
      </w:tr>
      <w:tr w:rsidR="00591FCC" w:rsidRPr="00591FCC" w14:paraId="19628C16" w14:textId="77777777" w:rsidTr="00591FCC">
        <w:trPr>
          <w:trHeight w:val="300"/>
        </w:trPr>
        <w:tc>
          <w:tcPr>
            <w:tcW w:w="2263" w:type="dxa"/>
            <w:tcBorders>
              <w:top w:val="nil"/>
              <w:left w:val="single" w:sz="4" w:space="0" w:color="auto"/>
              <w:bottom w:val="nil"/>
              <w:right w:val="nil"/>
            </w:tcBorders>
            <w:shd w:val="clear" w:color="000000" w:fill="FFFFFF"/>
            <w:noWrap/>
            <w:hideMark/>
          </w:tcPr>
          <w:p w14:paraId="098A446A"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REER</w:t>
            </w:r>
          </w:p>
        </w:tc>
        <w:tc>
          <w:tcPr>
            <w:tcW w:w="854" w:type="dxa"/>
            <w:tcBorders>
              <w:top w:val="nil"/>
              <w:left w:val="nil"/>
              <w:bottom w:val="nil"/>
              <w:right w:val="nil"/>
            </w:tcBorders>
            <w:shd w:val="clear" w:color="000000" w:fill="FFFFFF"/>
            <w:noWrap/>
            <w:hideMark/>
          </w:tcPr>
          <w:p w14:paraId="186F3AA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7E28D4BA"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96.60</w:t>
            </w:r>
          </w:p>
        </w:tc>
        <w:tc>
          <w:tcPr>
            <w:tcW w:w="1360" w:type="dxa"/>
            <w:tcBorders>
              <w:top w:val="nil"/>
              <w:left w:val="nil"/>
              <w:bottom w:val="nil"/>
              <w:right w:val="nil"/>
            </w:tcBorders>
            <w:shd w:val="clear" w:color="000000" w:fill="FFFFFF"/>
            <w:noWrap/>
            <w:hideMark/>
          </w:tcPr>
          <w:p w14:paraId="7F75E425"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14.51</w:t>
            </w:r>
          </w:p>
        </w:tc>
        <w:tc>
          <w:tcPr>
            <w:tcW w:w="740" w:type="dxa"/>
            <w:tcBorders>
              <w:top w:val="nil"/>
              <w:left w:val="nil"/>
              <w:bottom w:val="nil"/>
              <w:right w:val="nil"/>
            </w:tcBorders>
            <w:shd w:val="clear" w:color="000000" w:fill="FFFFFF"/>
            <w:noWrap/>
            <w:hideMark/>
          </w:tcPr>
          <w:p w14:paraId="68BE53F4"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19.09</w:t>
            </w:r>
          </w:p>
        </w:tc>
        <w:tc>
          <w:tcPr>
            <w:tcW w:w="1173" w:type="dxa"/>
            <w:tcBorders>
              <w:top w:val="nil"/>
              <w:left w:val="nil"/>
              <w:bottom w:val="nil"/>
              <w:right w:val="nil"/>
            </w:tcBorders>
            <w:shd w:val="clear" w:color="000000" w:fill="FFFFFF"/>
            <w:noWrap/>
            <w:hideMark/>
          </w:tcPr>
          <w:p w14:paraId="68A7A2D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97.92</w:t>
            </w:r>
          </w:p>
        </w:tc>
        <w:tc>
          <w:tcPr>
            <w:tcW w:w="1500" w:type="dxa"/>
            <w:tcBorders>
              <w:top w:val="nil"/>
              <w:left w:val="nil"/>
              <w:bottom w:val="nil"/>
              <w:right w:val="single" w:sz="4" w:space="0" w:color="auto"/>
            </w:tcBorders>
            <w:shd w:val="clear" w:color="000000" w:fill="FFFFFF"/>
            <w:noWrap/>
            <w:hideMark/>
          </w:tcPr>
          <w:p w14:paraId="021FCF5B"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163.71</w:t>
            </w:r>
          </w:p>
        </w:tc>
      </w:tr>
      <w:tr w:rsidR="00591FCC" w:rsidRPr="00591FCC" w14:paraId="3AE5E0F7" w14:textId="77777777" w:rsidTr="00591FCC">
        <w:trPr>
          <w:trHeight w:val="300"/>
        </w:trPr>
        <w:tc>
          <w:tcPr>
            <w:tcW w:w="2263" w:type="dxa"/>
            <w:tcBorders>
              <w:top w:val="nil"/>
              <w:left w:val="single" w:sz="4" w:space="0" w:color="auto"/>
              <w:bottom w:val="nil"/>
              <w:right w:val="nil"/>
            </w:tcBorders>
            <w:shd w:val="clear" w:color="000000" w:fill="FFFFFF"/>
            <w:noWrap/>
            <w:hideMark/>
          </w:tcPr>
          <w:p w14:paraId="74A4DA0B"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Bond_yield_5Y</w:t>
            </w:r>
          </w:p>
        </w:tc>
        <w:tc>
          <w:tcPr>
            <w:tcW w:w="854" w:type="dxa"/>
            <w:tcBorders>
              <w:top w:val="nil"/>
              <w:left w:val="nil"/>
              <w:bottom w:val="nil"/>
              <w:right w:val="nil"/>
            </w:tcBorders>
            <w:shd w:val="clear" w:color="000000" w:fill="FFFFFF"/>
            <w:noWrap/>
            <w:hideMark/>
          </w:tcPr>
          <w:p w14:paraId="734DD5B9"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0C0D129F"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6.47</w:t>
            </w:r>
          </w:p>
        </w:tc>
        <w:tc>
          <w:tcPr>
            <w:tcW w:w="1360" w:type="dxa"/>
            <w:tcBorders>
              <w:top w:val="nil"/>
              <w:left w:val="nil"/>
              <w:bottom w:val="nil"/>
              <w:right w:val="nil"/>
            </w:tcBorders>
            <w:shd w:val="clear" w:color="000000" w:fill="FFFFFF"/>
            <w:noWrap/>
            <w:hideMark/>
          </w:tcPr>
          <w:p w14:paraId="6C900D57"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5.63</w:t>
            </w:r>
          </w:p>
        </w:tc>
        <w:tc>
          <w:tcPr>
            <w:tcW w:w="740" w:type="dxa"/>
            <w:tcBorders>
              <w:top w:val="nil"/>
              <w:left w:val="nil"/>
              <w:bottom w:val="nil"/>
              <w:right w:val="nil"/>
            </w:tcBorders>
            <w:shd w:val="clear" w:color="000000" w:fill="FFFFFF"/>
            <w:noWrap/>
            <w:hideMark/>
          </w:tcPr>
          <w:p w14:paraId="6D5CA98E"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-0.99</w:t>
            </w:r>
          </w:p>
        </w:tc>
        <w:tc>
          <w:tcPr>
            <w:tcW w:w="1173" w:type="dxa"/>
            <w:tcBorders>
              <w:top w:val="nil"/>
              <w:left w:val="nil"/>
              <w:bottom w:val="nil"/>
              <w:right w:val="nil"/>
            </w:tcBorders>
            <w:shd w:val="clear" w:color="000000" w:fill="FFFFFF"/>
            <w:noWrap/>
            <w:hideMark/>
          </w:tcPr>
          <w:p w14:paraId="16E19C9B"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5.33</w:t>
            </w:r>
          </w:p>
        </w:tc>
        <w:tc>
          <w:tcPr>
            <w:tcW w:w="1500" w:type="dxa"/>
            <w:tcBorders>
              <w:top w:val="nil"/>
              <w:left w:val="nil"/>
              <w:bottom w:val="nil"/>
              <w:right w:val="single" w:sz="4" w:space="0" w:color="auto"/>
            </w:tcBorders>
            <w:shd w:val="clear" w:color="000000" w:fill="FFFFFF"/>
            <w:noWrap/>
            <w:hideMark/>
          </w:tcPr>
          <w:p w14:paraId="6841AF1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61.15</w:t>
            </w:r>
          </w:p>
        </w:tc>
      </w:tr>
      <w:tr w:rsidR="00591FCC" w:rsidRPr="00591FCC" w14:paraId="7CE32C72" w14:textId="77777777" w:rsidTr="00591FCC">
        <w:trPr>
          <w:trHeight w:val="300"/>
        </w:trPr>
        <w:tc>
          <w:tcPr>
            <w:tcW w:w="2263" w:type="dxa"/>
            <w:tcBorders>
              <w:top w:val="nil"/>
              <w:left w:val="single" w:sz="4" w:space="0" w:color="auto"/>
              <w:bottom w:val="nil"/>
              <w:right w:val="nil"/>
            </w:tcBorders>
            <w:shd w:val="clear" w:color="000000" w:fill="FFFFFF"/>
            <w:noWrap/>
            <w:hideMark/>
          </w:tcPr>
          <w:p w14:paraId="1FF429A4"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Bond_yield_1Y</w:t>
            </w:r>
          </w:p>
        </w:tc>
        <w:tc>
          <w:tcPr>
            <w:tcW w:w="854" w:type="dxa"/>
            <w:tcBorders>
              <w:top w:val="nil"/>
              <w:left w:val="nil"/>
              <w:bottom w:val="nil"/>
              <w:right w:val="nil"/>
            </w:tcBorders>
            <w:shd w:val="clear" w:color="000000" w:fill="FFFFFF"/>
            <w:noWrap/>
            <w:hideMark/>
          </w:tcPr>
          <w:p w14:paraId="74EE3E1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72D1A796"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5.60</w:t>
            </w:r>
          </w:p>
        </w:tc>
        <w:tc>
          <w:tcPr>
            <w:tcW w:w="1360" w:type="dxa"/>
            <w:tcBorders>
              <w:top w:val="nil"/>
              <w:left w:val="nil"/>
              <w:bottom w:val="nil"/>
              <w:right w:val="nil"/>
            </w:tcBorders>
            <w:shd w:val="clear" w:color="000000" w:fill="FFFFFF"/>
            <w:noWrap/>
            <w:hideMark/>
          </w:tcPr>
          <w:p w14:paraId="70172997"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5.09</w:t>
            </w:r>
          </w:p>
        </w:tc>
        <w:tc>
          <w:tcPr>
            <w:tcW w:w="740" w:type="dxa"/>
            <w:tcBorders>
              <w:top w:val="nil"/>
              <w:left w:val="nil"/>
              <w:bottom w:val="nil"/>
              <w:right w:val="nil"/>
            </w:tcBorders>
            <w:shd w:val="clear" w:color="000000" w:fill="FFFFFF"/>
            <w:noWrap/>
            <w:hideMark/>
          </w:tcPr>
          <w:p w14:paraId="43A368B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-0.77</w:t>
            </w:r>
          </w:p>
        </w:tc>
        <w:tc>
          <w:tcPr>
            <w:tcW w:w="1173" w:type="dxa"/>
            <w:tcBorders>
              <w:top w:val="nil"/>
              <w:left w:val="nil"/>
              <w:bottom w:val="nil"/>
              <w:right w:val="nil"/>
            </w:tcBorders>
            <w:shd w:val="clear" w:color="000000" w:fill="FFFFFF"/>
            <w:noWrap/>
            <w:hideMark/>
          </w:tcPr>
          <w:p w14:paraId="6EF3F1E4"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4.62</w:t>
            </w:r>
          </w:p>
        </w:tc>
        <w:tc>
          <w:tcPr>
            <w:tcW w:w="1500" w:type="dxa"/>
            <w:tcBorders>
              <w:top w:val="nil"/>
              <w:left w:val="nil"/>
              <w:bottom w:val="nil"/>
              <w:right w:val="single" w:sz="4" w:space="0" w:color="auto"/>
            </w:tcBorders>
            <w:shd w:val="clear" w:color="000000" w:fill="FFFFFF"/>
            <w:noWrap/>
            <w:hideMark/>
          </w:tcPr>
          <w:p w14:paraId="1F939C6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35.50</w:t>
            </w:r>
          </w:p>
        </w:tc>
      </w:tr>
      <w:tr w:rsidR="00591FCC" w:rsidRPr="00591FCC" w14:paraId="7BF060ED" w14:textId="77777777" w:rsidTr="00591FCC">
        <w:trPr>
          <w:trHeight w:val="300"/>
        </w:trPr>
        <w:tc>
          <w:tcPr>
            <w:tcW w:w="2263" w:type="dxa"/>
            <w:tcBorders>
              <w:top w:val="nil"/>
              <w:left w:val="single" w:sz="4" w:space="0" w:color="auto"/>
              <w:bottom w:val="nil"/>
              <w:right w:val="nil"/>
            </w:tcBorders>
            <w:shd w:val="clear" w:color="000000" w:fill="FFFFFF"/>
            <w:noWrap/>
            <w:hideMark/>
          </w:tcPr>
          <w:p w14:paraId="322D113E"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Unemployment</w:t>
            </w:r>
          </w:p>
        </w:tc>
        <w:tc>
          <w:tcPr>
            <w:tcW w:w="854" w:type="dxa"/>
            <w:tcBorders>
              <w:top w:val="nil"/>
              <w:left w:val="nil"/>
              <w:bottom w:val="nil"/>
              <w:right w:val="nil"/>
            </w:tcBorders>
            <w:shd w:val="clear" w:color="000000" w:fill="FFFFFF"/>
            <w:noWrap/>
            <w:hideMark/>
          </w:tcPr>
          <w:p w14:paraId="05FB4CDF"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14C0B638"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7.64</w:t>
            </w:r>
          </w:p>
        </w:tc>
        <w:tc>
          <w:tcPr>
            <w:tcW w:w="1360" w:type="dxa"/>
            <w:tcBorders>
              <w:top w:val="nil"/>
              <w:left w:val="nil"/>
              <w:bottom w:val="nil"/>
              <w:right w:val="nil"/>
            </w:tcBorders>
            <w:shd w:val="clear" w:color="000000" w:fill="FFFFFF"/>
            <w:noWrap/>
            <w:hideMark/>
          </w:tcPr>
          <w:p w14:paraId="401B4674"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4.21</w:t>
            </w:r>
          </w:p>
        </w:tc>
        <w:tc>
          <w:tcPr>
            <w:tcW w:w="740" w:type="dxa"/>
            <w:tcBorders>
              <w:top w:val="nil"/>
              <w:left w:val="nil"/>
              <w:bottom w:val="nil"/>
              <w:right w:val="nil"/>
            </w:tcBorders>
            <w:shd w:val="clear" w:color="000000" w:fill="FFFFFF"/>
            <w:noWrap/>
            <w:hideMark/>
          </w:tcPr>
          <w:p w14:paraId="716AAE3F"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0.48</w:t>
            </w:r>
          </w:p>
        </w:tc>
        <w:tc>
          <w:tcPr>
            <w:tcW w:w="1173" w:type="dxa"/>
            <w:tcBorders>
              <w:top w:val="nil"/>
              <w:left w:val="nil"/>
              <w:bottom w:val="nil"/>
              <w:right w:val="nil"/>
            </w:tcBorders>
            <w:shd w:val="clear" w:color="000000" w:fill="FFFFFF"/>
            <w:noWrap/>
            <w:hideMark/>
          </w:tcPr>
          <w:p w14:paraId="24ABAC7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6.90</w:t>
            </w:r>
          </w:p>
        </w:tc>
        <w:tc>
          <w:tcPr>
            <w:tcW w:w="1500" w:type="dxa"/>
            <w:tcBorders>
              <w:top w:val="nil"/>
              <w:left w:val="nil"/>
              <w:bottom w:val="nil"/>
              <w:right w:val="single" w:sz="4" w:space="0" w:color="auto"/>
            </w:tcBorders>
            <w:shd w:val="clear" w:color="000000" w:fill="FFFFFF"/>
            <w:noWrap/>
            <w:hideMark/>
          </w:tcPr>
          <w:p w14:paraId="6904E5CA"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28.20</w:t>
            </w:r>
          </w:p>
        </w:tc>
      </w:tr>
      <w:tr w:rsidR="00591FCC" w:rsidRPr="00591FCC" w14:paraId="22AF3D58" w14:textId="77777777" w:rsidTr="00591FCC">
        <w:trPr>
          <w:trHeight w:val="300"/>
        </w:trPr>
        <w:tc>
          <w:tcPr>
            <w:tcW w:w="2263" w:type="dxa"/>
            <w:tcBorders>
              <w:top w:val="nil"/>
              <w:left w:val="single" w:sz="4" w:space="0" w:color="auto"/>
              <w:bottom w:val="nil"/>
              <w:right w:val="nil"/>
            </w:tcBorders>
            <w:shd w:val="clear" w:color="000000" w:fill="FFFFFF"/>
            <w:noWrap/>
            <w:hideMark/>
          </w:tcPr>
          <w:p w14:paraId="4FC36F8A"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CPI</w:t>
            </w:r>
          </w:p>
        </w:tc>
        <w:tc>
          <w:tcPr>
            <w:tcW w:w="854" w:type="dxa"/>
            <w:tcBorders>
              <w:top w:val="nil"/>
              <w:left w:val="nil"/>
              <w:bottom w:val="nil"/>
              <w:right w:val="nil"/>
            </w:tcBorders>
            <w:shd w:val="clear" w:color="000000" w:fill="FFFFFF"/>
            <w:noWrap/>
            <w:hideMark/>
          </w:tcPr>
          <w:p w14:paraId="179ADC53"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2B0311CD"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87.32</w:t>
            </w:r>
          </w:p>
        </w:tc>
        <w:tc>
          <w:tcPr>
            <w:tcW w:w="1360" w:type="dxa"/>
            <w:tcBorders>
              <w:top w:val="nil"/>
              <w:left w:val="nil"/>
              <w:bottom w:val="nil"/>
              <w:right w:val="nil"/>
            </w:tcBorders>
            <w:shd w:val="clear" w:color="000000" w:fill="FFFFFF"/>
            <w:noWrap/>
            <w:hideMark/>
          </w:tcPr>
          <w:p w14:paraId="2FCEC169"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31.82</w:t>
            </w:r>
          </w:p>
        </w:tc>
        <w:tc>
          <w:tcPr>
            <w:tcW w:w="740" w:type="dxa"/>
            <w:tcBorders>
              <w:top w:val="nil"/>
              <w:left w:val="nil"/>
              <w:bottom w:val="nil"/>
              <w:right w:val="nil"/>
            </w:tcBorders>
            <w:shd w:val="clear" w:color="000000" w:fill="FFFFFF"/>
            <w:noWrap/>
            <w:hideMark/>
          </w:tcPr>
          <w:p w14:paraId="29DEAE1D"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0.00</w:t>
            </w:r>
          </w:p>
        </w:tc>
        <w:tc>
          <w:tcPr>
            <w:tcW w:w="1173" w:type="dxa"/>
            <w:tcBorders>
              <w:top w:val="nil"/>
              <w:left w:val="nil"/>
              <w:bottom w:val="nil"/>
              <w:right w:val="nil"/>
            </w:tcBorders>
            <w:shd w:val="clear" w:color="000000" w:fill="FFFFFF"/>
            <w:noWrap/>
            <w:hideMark/>
          </w:tcPr>
          <w:p w14:paraId="5ECA67A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90.46</w:t>
            </w:r>
          </w:p>
        </w:tc>
        <w:tc>
          <w:tcPr>
            <w:tcW w:w="1500" w:type="dxa"/>
            <w:tcBorders>
              <w:top w:val="nil"/>
              <w:left w:val="nil"/>
              <w:bottom w:val="nil"/>
              <w:right w:val="single" w:sz="4" w:space="0" w:color="auto"/>
            </w:tcBorders>
            <w:shd w:val="clear" w:color="000000" w:fill="FFFFFF"/>
            <w:noWrap/>
            <w:hideMark/>
          </w:tcPr>
          <w:p w14:paraId="15F63DD8"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350.54</w:t>
            </w:r>
          </w:p>
        </w:tc>
      </w:tr>
      <w:tr w:rsidR="00591FCC" w:rsidRPr="00591FCC" w14:paraId="6FB9C026" w14:textId="77777777" w:rsidTr="00591FCC">
        <w:trPr>
          <w:trHeight w:val="300"/>
        </w:trPr>
        <w:tc>
          <w:tcPr>
            <w:tcW w:w="2263" w:type="dxa"/>
            <w:tcBorders>
              <w:top w:val="nil"/>
              <w:left w:val="single" w:sz="4" w:space="0" w:color="auto"/>
              <w:bottom w:val="nil"/>
              <w:right w:val="nil"/>
            </w:tcBorders>
            <w:shd w:val="clear" w:color="000000" w:fill="FFFFFF"/>
            <w:noWrap/>
            <w:hideMark/>
          </w:tcPr>
          <w:p w14:paraId="37D12373"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Credit_GDP_ratio</w:t>
            </w:r>
          </w:p>
        </w:tc>
        <w:tc>
          <w:tcPr>
            <w:tcW w:w="854" w:type="dxa"/>
            <w:tcBorders>
              <w:top w:val="nil"/>
              <w:left w:val="nil"/>
              <w:bottom w:val="nil"/>
              <w:right w:val="nil"/>
            </w:tcBorders>
            <w:shd w:val="clear" w:color="000000" w:fill="FFFFFF"/>
            <w:noWrap/>
            <w:hideMark/>
          </w:tcPr>
          <w:p w14:paraId="6D49BB61"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40A678D1"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134.63</w:t>
            </w:r>
          </w:p>
        </w:tc>
        <w:tc>
          <w:tcPr>
            <w:tcW w:w="1360" w:type="dxa"/>
            <w:tcBorders>
              <w:top w:val="nil"/>
              <w:left w:val="nil"/>
              <w:bottom w:val="nil"/>
              <w:right w:val="nil"/>
            </w:tcBorders>
            <w:shd w:val="clear" w:color="000000" w:fill="FFFFFF"/>
            <w:noWrap/>
            <w:hideMark/>
          </w:tcPr>
          <w:p w14:paraId="4D75B813"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68.67</w:t>
            </w:r>
          </w:p>
        </w:tc>
        <w:tc>
          <w:tcPr>
            <w:tcW w:w="740" w:type="dxa"/>
            <w:tcBorders>
              <w:top w:val="nil"/>
              <w:left w:val="nil"/>
              <w:bottom w:val="nil"/>
              <w:right w:val="nil"/>
            </w:tcBorders>
            <w:shd w:val="clear" w:color="000000" w:fill="FFFFFF"/>
            <w:noWrap/>
            <w:hideMark/>
          </w:tcPr>
          <w:p w14:paraId="38239C0D"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6.03</w:t>
            </w:r>
          </w:p>
        </w:tc>
        <w:tc>
          <w:tcPr>
            <w:tcW w:w="1173" w:type="dxa"/>
            <w:tcBorders>
              <w:top w:val="nil"/>
              <w:left w:val="nil"/>
              <w:bottom w:val="nil"/>
              <w:right w:val="nil"/>
            </w:tcBorders>
            <w:shd w:val="clear" w:color="000000" w:fill="FFFFFF"/>
            <w:noWrap/>
            <w:hideMark/>
          </w:tcPr>
          <w:p w14:paraId="49266ED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133.60</w:t>
            </w:r>
          </w:p>
        </w:tc>
        <w:tc>
          <w:tcPr>
            <w:tcW w:w="1500" w:type="dxa"/>
            <w:tcBorders>
              <w:top w:val="nil"/>
              <w:left w:val="nil"/>
              <w:bottom w:val="nil"/>
              <w:right w:val="single" w:sz="4" w:space="0" w:color="auto"/>
            </w:tcBorders>
            <w:shd w:val="clear" w:color="000000" w:fill="FFFFFF"/>
            <w:noWrap/>
            <w:hideMark/>
          </w:tcPr>
          <w:p w14:paraId="62764EC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400.60</w:t>
            </w:r>
          </w:p>
        </w:tc>
      </w:tr>
      <w:tr w:rsidR="00591FCC" w:rsidRPr="00591FCC" w14:paraId="75749B5A" w14:textId="77777777" w:rsidTr="00591FCC">
        <w:trPr>
          <w:trHeight w:val="300"/>
        </w:trPr>
        <w:tc>
          <w:tcPr>
            <w:tcW w:w="2263" w:type="dxa"/>
            <w:tcBorders>
              <w:top w:val="nil"/>
              <w:left w:val="single" w:sz="4" w:space="0" w:color="auto"/>
              <w:bottom w:val="nil"/>
              <w:right w:val="nil"/>
            </w:tcBorders>
            <w:shd w:val="clear" w:color="000000" w:fill="FFFFFF"/>
            <w:noWrap/>
            <w:hideMark/>
          </w:tcPr>
          <w:p w14:paraId="440D5C0E"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Credit_GDP_gap</w:t>
            </w:r>
          </w:p>
        </w:tc>
        <w:tc>
          <w:tcPr>
            <w:tcW w:w="854" w:type="dxa"/>
            <w:tcBorders>
              <w:top w:val="nil"/>
              <w:left w:val="nil"/>
              <w:bottom w:val="nil"/>
              <w:right w:val="nil"/>
            </w:tcBorders>
            <w:shd w:val="clear" w:color="000000" w:fill="FFFFFF"/>
            <w:noWrap/>
            <w:hideMark/>
          </w:tcPr>
          <w:p w14:paraId="4F914E71"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147B1839"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0.89</w:t>
            </w:r>
          </w:p>
        </w:tc>
        <w:tc>
          <w:tcPr>
            <w:tcW w:w="1360" w:type="dxa"/>
            <w:tcBorders>
              <w:top w:val="nil"/>
              <w:left w:val="nil"/>
              <w:bottom w:val="nil"/>
              <w:right w:val="nil"/>
            </w:tcBorders>
            <w:shd w:val="clear" w:color="000000" w:fill="FFFFFF"/>
            <w:noWrap/>
            <w:hideMark/>
          </w:tcPr>
          <w:p w14:paraId="515D0E0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14.49</w:t>
            </w:r>
          </w:p>
        </w:tc>
        <w:tc>
          <w:tcPr>
            <w:tcW w:w="740" w:type="dxa"/>
            <w:tcBorders>
              <w:top w:val="nil"/>
              <w:left w:val="nil"/>
              <w:bottom w:val="nil"/>
              <w:right w:val="nil"/>
            </w:tcBorders>
            <w:shd w:val="clear" w:color="000000" w:fill="FFFFFF"/>
            <w:noWrap/>
            <w:hideMark/>
          </w:tcPr>
          <w:p w14:paraId="79EF519E"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-107.20</w:t>
            </w:r>
          </w:p>
        </w:tc>
        <w:tc>
          <w:tcPr>
            <w:tcW w:w="1173" w:type="dxa"/>
            <w:tcBorders>
              <w:top w:val="nil"/>
              <w:left w:val="nil"/>
              <w:bottom w:val="nil"/>
              <w:right w:val="nil"/>
            </w:tcBorders>
            <w:shd w:val="clear" w:color="000000" w:fill="FFFFFF"/>
            <w:noWrap/>
            <w:hideMark/>
          </w:tcPr>
          <w:p w14:paraId="6D1B1401"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0.87</w:t>
            </w:r>
          </w:p>
        </w:tc>
        <w:tc>
          <w:tcPr>
            <w:tcW w:w="1500" w:type="dxa"/>
            <w:tcBorders>
              <w:top w:val="nil"/>
              <w:left w:val="nil"/>
              <w:bottom w:val="nil"/>
              <w:right w:val="single" w:sz="4" w:space="0" w:color="auto"/>
            </w:tcBorders>
            <w:shd w:val="clear" w:color="000000" w:fill="FFFFFF"/>
            <w:noWrap/>
            <w:hideMark/>
          </w:tcPr>
          <w:p w14:paraId="42DB6313"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80.00</w:t>
            </w:r>
          </w:p>
        </w:tc>
      </w:tr>
      <w:tr w:rsidR="00591FCC" w:rsidRPr="00591FCC" w14:paraId="712CFC0A" w14:textId="77777777" w:rsidTr="00591FCC">
        <w:trPr>
          <w:trHeight w:val="300"/>
        </w:trPr>
        <w:tc>
          <w:tcPr>
            <w:tcW w:w="2263" w:type="dxa"/>
            <w:tcBorders>
              <w:top w:val="nil"/>
              <w:left w:val="single" w:sz="4" w:space="0" w:color="auto"/>
              <w:bottom w:val="nil"/>
              <w:right w:val="nil"/>
            </w:tcBorders>
            <w:shd w:val="clear" w:color="000000" w:fill="FFFFFF"/>
            <w:noWrap/>
            <w:hideMark/>
          </w:tcPr>
          <w:p w14:paraId="1578C887"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Liquid_asset_ratio</w:t>
            </w:r>
          </w:p>
        </w:tc>
        <w:tc>
          <w:tcPr>
            <w:tcW w:w="854" w:type="dxa"/>
            <w:tcBorders>
              <w:top w:val="nil"/>
              <w:left w:val="nil"/>
              <w:bottom w:val="nil"/>
              <w:right w:val="nil"/>
            </w:tcBorders>
            <w:shd w:val="clear" w:color="000000" w:fill="FFFFFF"/>
            <w:noWrap/>
            <w:hideMark/>
          </w:tcPr>
          <w:p w14:paraId="55B1AE3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1C74952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27.76</w:t>
            </w:r>
          </w:p>
        </w:tc>
        <w:tc>
          <w:tcPr>
            <w:tcW w:w="1360" w:type="dxa"/>
            <w:tcBorders>
              <w:top w:val="nil"/>
              <w:left w:val="nil"/>
              <w:bottom w:val="nil"/>
              <w:right w:val="nil"/>
            </w:tcBorders>
            <w:shd w:val="clear" w:color="000000" w:fill="FFFFFF"/>
            <w:noWrap/>
            <w:hideMark/>
          </w:tcPr>
          <w:p w14:paraId="3F89A1C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23.50</w:t>
            </w:r>
          </w:p>
        </w:tc>
        <w:tc>
          <w:tcPr>
            <w:tcW w:w="740" w:type="dxa"/>
            <w:tcBorders>
              <w:top w:val="nil"/>
              <w:left w:val="nil"/>
              <w:bottom w:val="nil"/>
              <w:right w:val="nil"/>
            </w:tcBorders>
            <w:shd w:val="clear" w:color="000000" w:fill="FFFFFF"/>
            <w:noWrap/>
            <w:hideMark/>
          </w:tcPr>
          <w:p w14:paraId="1E0F1446"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3.46</w:t>
            </w:r>
          </w:p>
        </w:tc>
        <w:tc>
          <w:tcPr>
            <w:tcW w:w="1173" w:type="dxa"/>
            <w:tcBorders>
              <w:top w:val="nil"/>
              <w:left w:val="nil"/>
              <w:bottom w:val="nil"/>
              <w:right w:val="nil"/>
            </w:tcBorders>
            <w:shd w:val="clear" w:color="000000" w:fill="FFFFFF"/>
            <w:noWrap/>
            <w:hideMark/>
          </w:tcPr>
          <w:p w14:paraId="43898CE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23.94</w:t>
            </w:r>
          </w:p>
        </w:tc>
        <w:tc>
          <w:tcPr>
            <w:tcW w:w="1500" w:type="dxa"/>
            <w:tcBorders>
              <w:top w:val="nil"/>
              <w:left w:val="nil"/>
              <w:bottom w:val="nil"/>
              <w:right w:val="single" w:sz="4" w:space="0" w:color="auto"/>
            </w:tcBorders>
            <w:shd w:val="clear" w:color="000000" w:fill="FFFFFF"/>
            <w:noWrap/>
            <w:hideMark/>
          </w:tcPr>
          <w:p w14:paraId="0EEE909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211.54</w:t>
            </w:r>
          </w:p>
        </w:tc>
      </w:tr>
      <w:tr w:rsidR="00591FCC" w:rsidRPr="00591FCC" w14:paraId="4BEBB7F5" w14:textId="77777777" w:rsidTr="00591FCC">
        <w:trPr>
          <w:trHeight w:val="300"/>
        </w:trPr>
        <w:tc>
          <w:tcPr>
            <w:tcW w:w="2263" w:type="dxa"/>
            <w:tcBorders>
              <w:top w:val="nil"/>
              <w:left w:val="single" w:sz="4" w:space="0" w:color="auto"/>
              <w:bottom w:val="nil"/>
              <w:right w:val="nil"/>
            </w:tcBorders>
            <w:shd w:val="clear" w:color="000000" w:fill="FFFFFF"/>
            <w:noWrap/>
            <w:hideMark/>
          </w:tcPr>
          <w:p w14:paraId="65CE0504"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RPP_Real</w:t>
            </w:r>
          </w:p>
        </w:tc>
        <w:tc>
          <w:tcPr>
            <w:tcW w:w="854" w:type="dxa"/>
            <w:tcBorders>
              <w:top w:val="nil"/>
              <w:left w:val="nil"/>
              <w:bottom w:val="nil"/>
              <w:right w:val="nil"/>
            </w:tcBorders>
            <w:shd w:val="clear" w:color="000000" w:fill="FFFFFF"/>
            <w:noWrap/>
            <w:hideMark/>
          </w:tcPr>
          <w:p w14:paraId="2BA34E2F"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32FB31D9"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95.07</w:t>
            </w:r>
          </w:p>
        </w:tc>
        <w:tc>
          <w:tcPr>
            <w:tcW w:w="1360" w:type="dxa"/>
            <w:tcBorders>
              <w:top w:val="nil"/>
              <w:left w:val="nil"/>
              <w:bottom w:val="nil"/>
              <w:right w:val="nil"/>
            </w:tcBorders>
            <w:shd w:val="clear" w:color="000000" w:fill="FFFFFF"/>
            <w:noWrap/>
            <w:hideMark/>
          </w:tcPr>
          <w:p w14:paraId="69B42453"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34.67</w:t>
            </w:r>
          </w:p>
        </w:tc>
        <w:tc>
          <w:tcPr>
            <w:tcW w:w="740" w:type="dxa"/>
            <w:tcBorders>
              <w:top w:val="nil"/>
              <w:left w:val="nil"/>
              <w:bottom w:val="nil"/>
              <w:right w:val="nil"/>
            </w:tcBorders>
            <w:shd w:val="clear" w:color="000000" w:fill="FFFFFF"/>
            <w:noWrap/>
            <w:hideMark/>
          </w:tcPr>
          <w:p w14:paraId="3EE283D5"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33.32</w:t>
            </w:r>
          </w:p>
        </w:tc>
        <w:tc>
          <w:tcPr>
            <w:tcW w:w="1173" w:type="dxa"/>
            <w:tcBorders>
              <w:top w:val="nil"/>
              <w:left w:val="nil"/>
              <w:bottom w:val="nil"/>
              <w:right w:val="nil"/>
            </w:tcBorders>
            <w:shd w:val="clear" w:color="000000" w:fill="FFFFFF"/>
            <w:noWrap/>
            <w:hideMark/>
          </w:tcPr>
          <w:p w14:paraId="12E849A4"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96.13</w:t>
            </w:r>
          </w:p>
        </w:tc>
        <w:tc>
          <w:tcPr>
            <w:tcW w:w="1500" w:type="dxa"/>
            <w:tcBorders>
              <w:top w:val="nil"/>
              <w:left w:val="nil"/>
              <w:bottom w:val="nil"/>
              <w:right w:val="single" w:sz="4" w:space="0" w:color="auto"/>
            </w:tcBorders>
            <w:shd w:val="clear" w:color="000000" w:fill="FFFFFF"/>
            <w:noWrap/>
            <w:hideMark/>
          </w:tcPr>
          <w:p w14:paraId="745DC216"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237.65</w:t>
            </w:r>
          </w:p>
        </w:tc>
      </w:tr>
      <w:tr w:rsidR="00591FCC" w:rsidRPr="00591FCC" w14:paraId="480BB935" w14:textId="77777777" w:rsidTr="00591FCC">
        <w:trPr>
          <w:trHeight w:val="300"/>
        </w:trPr>
        <w:tc>
          <w:tcPr>
            <w:tcW w:w="2263" w:type="dxa"/>
            <w:tcBorders>
              <w:top w:val="nil"/>
              <w:left w:val="single" w:sz="4" w:space="0" w:color="auto"/>
              <w:bottom w:val="nil"/>
              <w:right w:val="nil"/>
            </w:tcBorders>
            <w:shd w:val="clear" w:color="000000" w:fill="FFFFFF"/>
            <w:noWrap/>
            <w:hideMark/>
          </w:tcPr>
          <w:p w14:paraId="2CFD167C"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Provisions/NPL</w:t>
            </w:r>
          </w:p>
        </w:tc>
        <w:tc>
          <w:tcPr>
            <w:tcW w:w="854" w:type="dxa"/>
            <w:tcBorders>
              <w:top w:val="nil"/>
              <w:left w:val="nil"/>
              <w:bottom w:val="nil"/>
              <w:right w:val="nil"/>
            </w:tcBorders>
            <w:shd w:val="clear" w:color="000000" w:fill="FFFFFF"/>
            <w:noWrap/>
            <w:hideMark/>
          </w:tcPr>
          <w:p w14:paraId="04545CC8"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33780DF1"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60.56</w:t>
            </w:r>
          </w:p>
        </w:tc>
        <w:tc>
          <w:tcPr>
            <w:tcW w:w="1360" w:type="dxa"/>
            <w:tcBorders>
              <w:top w:val="nil"/>
              <w:left w:val="nil"/>
              <w:bottom w:val="nil"/>
              <w:right w:val="nil"/>
            </w:tcBorders>
            <w:shd w:val="clear" w:color="000000" w:fill="FFFFFF"/>
            <w:noWrap/>
            <w:hideMark/>
          </w:tcPr>
          <w:p w14:paraId="1FBBB39D"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43.70</w:t>
            </w:r>
          </w:p>
        </w:tc>
        <w:tc>
          <w:tcPr>
            <w:tcW w:w="740" w:type="dxa"/>
            <w:tcBorders>
              <w:top w:val="nil"/>
              <w:left w:val="nil"/>
              <w:bottom w:val="nil"/>
              <w:right w:val="nil"/>
            </w:tcBorders>
            <w:shd w:val="clear" w:color="000000" w:fill="FFFFFF"/>
            <w:noWrap/>
            <w:hideMark/>
          </w:tcPr>
          <w:p w14:paraId="7EE6586F"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-94.42</w:t>
            </w:r>
          </w:p>
        </w:tc>
        <w:tc>
          <w:tcPr>
            <w:tcW w:w="1173" w:type="dxa"/>
            <w:tcBorders>
              <w:top w:val="nil"/>
              <w:left w:val="nil"/>
              <w:bottom w:val="nil"/>
              <w:right w:val="nil"/>
            </w:tcBorders>
            <w:shd w:val="clear" w:color="000000" w:fill="FFFFFF"/>
            <w:noWrap/>
            <w:hideMark/>
          </w:tcPr>
          <w:p w14:paraId="65DBA8B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52.65</w:t>
            </w:r>
          </w:p>
        </w:tc>
        <w:tc>
          <w:tcPr>
            <w:tcW w:w="1500" w:type="dxa"/>
            <w:tcBorders>
              <w:top w:val="nil"/>
              <w:left w:val="nil"/>
              <w:bottom w:val="nil"/>
              <w:right w:val="single" w:sz="4" w:space="0" w:color="auto"/>
            </w:tcBorders>
            <w:shd w:val="clear" w:color="000000" w:fill="FFFFFF"/>
            <w:noWrap/>
            <w:hideMark/>
          </w:tcPr>
          <w:p w14:paraId="36E34646"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314.02</w:t>
            </w:r>
          </w:p>
        </w:tc>
      </w:tr>
      <w:tr w:rsidR="00591FCC" w:rsidRPr="00591FCC" w14:paraId="4974875E" w14:textId="77777777" w:rsidTr="00591FCC">
        <w:trPr>
          <w:trHeight w:val="300"/>
        </w:trPr>
        <w:tc>
          <w:tcPr>
            <w:tcW w:w="2263" w:type="dxa"/>
            <w:tcBorders>
              <w:top w:val="nil"/>
              <w:left w:val="single" w:sz="4" w:space="0" w:color="auto"/>
              <w:bottom w:val="nil"/>
              <w:right w:val="nil"/>
            </w:tcBorders>
            <w:shd w:val="clear" w:color="000000" w:fill="FFFFFF"/>
            <w:noWrap/>
            <w:hideMark/>
          </w:tcPr>
          <w:p w14:paraId="04CCEE90"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Bank_liabilities_MC</w:t>
            </w:r>
          </w:p>
        </w:tc>
        <w:tc>
          <w:tcPr>
            <w:tcW w:w="854" w:type="dxa"/>
            <w:tcBorders>
              <w:top w:val="nil"/>
              <w:left w:val="nil"/>
              <w:bottom w:val="nil"/>
              <w:right w:val="nil"/>
            </w:tcBorders>
            <w:shd w:val="clear" w:color="000000" w:fill="FFFFFF"/>
            <w:noWrap/>
            <w:hideMark/>
          </w:tcPr>
          <w:p w14:paraId="44E8C8A7"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31668D4E"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336,897,733.54</w:t>
            </w:r>
          </w:p>
        </w:tc>
        <w:tc>
          <w:tcPr>
            <w:tcW w:w="1360" w:type="dxa"/>
            <w:tcBorders>
              <w:top w:val="nil"/>
              <w:left w:val="nil"/>
              <w:bottom w:val="nil"/>
              <w:right w:val="nil"/>
            </w:tcBorders>
            <w:shd w:val="clear" w:color="000000" w:fill="FFFFFF"/>
            <w:noWrap/>
            <w:hideMark/>
          </w:tcPr>
          <w:p w14:paraId="4647AC9F"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935,041,903.27</w:t>
            </w:r>
          </w:p>
        </w:tc>
        <w:tc>
          <w:tcPr>
            <w:tcW w:w="740" w:type="dxa"/>
            <w:tcBorders>
              <w:top w:val="nil"/>
              <w:left w:val="nil"/>
              <w:bottom w:val="nil"/>
              <w:right w:val="nil"/>
            </w:tcBorders>
            <w:shd w:val="clear" w:color="000000" w:fill="FFFFFF"/>
            <w:noWrap/>
            <w:hideMark/>
          </w:tcPr>
          <w:p w14:paraId="46B62DF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515.90</w:t>
            </w:r>
          </w:p>
        </w:tc>
        <w:tc>
          <w:tcPr>
            <w:tcW w:w="1173" w:type="dxa"/>
            <w:tcBorders>
              <w:top w:val="nil"/>
              <w:left w:val="nil"/>
              <w:bottom w:val="nil"/>
              <w:right w:val="nil"/>
            </w:tcBorders>
            <w:shd w:val="clear" w:color="000000" w:fill="FFFFFF"/>
            <w:noWrap/>
            <w:hideMark/>
          </w:tcPr>
          <w:p w14:paraId="560D831D"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6,667,702.39</w:t>
            </w:r>
          </w:p>
        </w:tc>
        <w:tc>
          <w:tcPr>
            <w:tcW w:w="1500" w:type="dxa"/>
            <w:tcBorders>
              <w:top w:val="nil"/>
              <w:left w:val="nil"/>
              <w:bottom w:val="nil"/>
              <w:right w:val="single" w:sz="4" w:space="0" w:color="auto"/>
            </w:tcBorders>
            <w:shd w:val="clear" w:color="000000" w:fill="FFFFFF"/>
            <w:noWrap/>
            <w:hideMark/>
          </w:tcPr>
          <w:p w14:paraId="5F6BE67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3,633,974,000.00</w:t>
            </w:r>
          </w:p>
        </w:tc>
      </w:tr>
      <w:tr w:rsidR="00591FCC" w:rsidRPr="00591FCC" w14:paraId="2D929103" w14:textId="77777777" w:rsidTr="00591FCC">
        <w:trPr>
          <w:trHeight w:val="300"/>
        </w:trPr>
        <w:tc>
          <w:tcPr>
            <w:tcW w:w="2263" w:type="dxa"/>
            <w:tcBorders>
              <w:top w:val="nil"/>
              <w:left w:val="single" w:sz="4" w:space="0" w:color="auto"/>
              <w:bottom w:val="nil"/>
              <w:right w:val="nil"/>
            </w:tcBorders>
            <w:shd w:val="clear" w:color="000000" w:fill="FFFFFF"/>
            <w:noWrap/>
            <w:hideMark/>
          </w:tcPr>
          <w:p w14:paraId="167A06D4"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RRE/Loans</w:t>
            </w:r>
          </w:p>
        </w:tc>
        <w:tc>
          <w:tcPr>
            <w:tcW w:w="854" w:type="dxa"/>
            <w:tcBorders>
              <w:top w:val="nil"/>
              <w:left w:val="nil"/>
              <w:bottom w:val="nil"/>
              <w:right w:val="nil"/>
            </w:tcBorders>
            <w:shd w:val="clear" w:color="000000" w:fill="FFFFFF"/>
            <w:noWrap/>
            <w:hideMark/>
          </w:tcPr>
          <w:p w14:paraId="6264B926"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4D1FC13E"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21.56</w:t>
            </w:r>
          </w:p>
        </w:tc>
        <w:tc>
          <w:tcPr>
            <w:tcW w:w="1360" w:type="dxa"/>
            <w:tcBorders>
              <w:top w:val="nil"/>
              <w:left w:val="nil"/>
              <w:bottom w:val="nil"/>
              <w:right w:val="nil"/>
            </w:tcBorders>
            <w:shd w:val="clear" w:color="000000" w:fill="FFFFFF"/>
            <w:noWrap/>
            <w:hideMark/>
          </w:tcPr>
          <w:p w14:paraId="56454A94"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17.09</w:t>
            </w:r>
          </w:p>
        </w:tc>
        <w:tc>
          <w:tcPr>
            <w:tcW w:w="740" w:type="dxa"/>
            <w:tcBorders>
              <w:top w:val="nil"/>
              <w:left w:val="nil"/>
              <w:bottom w:val="nil"/>
              <w:right w:val="nil"/>
            </w:tcBorders>
            <w:shd w:val="clear" w:color="000000" w:fill="FFFFFF"/>
            <w:noWrap/>
            <w:hideMark/>
          </w:tcPr>
          <w:p w14:paraId="3B4AEE8D"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0.12</w:t>
            </w:r>
          </w:p>
        </w:tc>
        <w:tc>
          <w:tcPr>
            <w:tcW w:w="1173" w:type="dxa"/>
            <w:tcBorders>
              <w:top w:val="nil"/>
              <w:left w:val="nil"/>
              <w:bottom w:val="nil"/>
              <w:right w:val="nil"/>
            </w:tcBorders>
            <w:shd w:val="clear" w:color="000000" w:fill="FFFFFF"/>
            <w:noWrap/>
            <w:hideMark/>
          </w:tcPr>
          <w:p w14:paraId="44AE687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18.57</w:t>
            </w:r>
          </w:p>
        </w:tc>
        <w:tc>
          <w:tcPr>
            <w:tcW w:w="1500" w:type="dxa"/>
            <w:tcBorders>
              <w:top w:val="nil"/>
              <w:left w:val="nil"/>
              <w:bottom w:val="nil"/>
              <w:right w:val="single" w:sz="4" w:space="0" w:color="auto"/>
            </w:tcBorders>
            <w:shd w:val="clear" w:color="000000" w:fill="FFFFFF"/>
            <w:noWrap/>
            <w:hideMark/>
          </w:tcPr>
          <w:p w14:paraId="71E9B35B"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84.34</w:t>
            </w:r>
          </w:p>
        </w:tc>
      </w:tr>
      <w:tr w:rsidR="00591FCC" w:rsidRPr="00591FCC" w14:paraId="39DCBE5A" w14:textId="77777777" w:rsidTr="00591FCC">
        <w:trPr>
          <w:trHeight w:val="300"/>
        </w:trPr>
        <w:tc>
          <w:tcPr>
            <w:tcW w:w="2263" w:type="dxa"/>
            <w:tcBorders>
              <w:top w:val="nil"/>
              <w:left w:val="single" w:sz="4" w:space="0" w:color="auto"/>
              <w:bottom w:val="nil"/>
              <w:right w:val="nil"/>
            </w:tcBorders>
            <w:shd w:val="clear" w:color="000000" w:fill="FFFFFF"/>
            <w:noWrap/>
            <w:hideMark/>
          </w:tcPr>
          <w:p w14:paraId="6AD1E9BE"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Interest_margin/Income</w:t>
            </w:r>
          </w:p>
        </w:tc>
        <w:tc>
          <w:tcPr>
            <w:tcW w:w="854" w:type="dxa"/>
            <w:tcBorders>
              <w:top w:val="nil"/>
              <w:left w:val="nil"/>
              <w:bottom w:val="nil"/>
              <w:right w:val="nil"/>
            </w:tcBorders>
            <w:shd w:val="clear" w:color="000000" w:fill="FFFFFF"/>
            <w:noWrap/>
            <w:hideMark/>
          </w:tcPr>
          <w:p w14:paraId="12010D1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4D5F268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58.42</w:t>
            </w:r>
          </w:p>
        </w:tc>
        <w:tc>
          <w:tcPr>
            <w:tcW w:w="1360" w:type="dxa"/>
            <w:tcBorders>
              <w:top w:val="nil"/>
              <w:left w:val="nil"/>
              <w:bottom w:val="nil"/>
              <w:right w:val="nil"/>
            </w:tcBorders>
            <w:shd w:val="clear" w:color="000000" w:fill="FFFFFF"/>
            <w:noWrap/>
            <w:hideMark/>
          </w:tcPr>
          <w:p w14:paraId="56552131"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16.15</w:t>
            </w:r>
          </w:p>
        </w:tc>
        <w:tc>
          <w:tcPr>
            <w:tcW w:w="740" w:type="dxa"/>
            <w:tcBorders>
              <w:top w:val="nil"/>
              <w:left w:val="nil"/>
              <w:bottom w:val="nil"/>
              <w:right w:val="nil"/>
            </w:tcBorders>
            <w:shd w:val="clear" w:color="000000" w:fill="FFFFFF"/>
            <w:noWrap/>
            <w:hideMark/>
          </w:tcPr>
          <w:p w14:paraId="1AE73815"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-294.33</w:t>
            </w:r>
          </w:p>
        </w:tc>
        <w:tc>
          <w:tcPr>
            <w:tcW w:w="1173" w:type="dxa"/>
            <w:tcBorders>
              <w:top w:val="nil"/>
              <w:left w:val="nil"/>
              <w:bottom w:val="nil"/>
              <w:right w:val="nil"/>
            </w:tcBorders>
            <w:shd w:val="clear" w:color="000000" w:fill="FFFFFF"/>
            <w:noWrap/>
            <w:hideMark/>
          </w:tcPr>
          <w:p w14:paraId="335F4AF5"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59.07</w:t>
            </w:r>
          </w:p>
        </w:tc>
        <w:tc>
          <w:tcPr>
            <w:tcW w:w="1500" w:type="dxa"/>
            <w:tcBorders>
              <w:top w:val="nil"/>
              <w:left w:val="nil"/>
              <w:bottom w:val="nil"/>
              <w:right w:val="single" w:sz="4" w:space="0" w:color="auto"/>
            </w:tcBorders>
            <w:shd w:val="clear" w:color="000000" w:fill="FFFFFF"/>
            <w:noWrap/>
            <w:hideMark/>
          </w:tcPr>
          <w:p w14:paraId="69CB5DD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498.61</w:t>
            </w:r>
          </w:p>
        </w:tc>
      </w:tr>
      <w:tr w:rsidR="00591FCC" w:rsidRPr="00591FCC" w14:paraId="01CF4CCC" w14:textId="77777777" w:rsidTr="00591FCC">
        <w:trPr>
          <w:trHeight w:val="300"/>
        </w:trPr>
        <w:tc>
          <w:tcPr>
            <w:tcW w:w="2263" w:type="dxa"/>
            <w:tcBorders>
              <w:top w:val="nil"/>
              <w:left w:val="single" w:sz="4" w:space="0" w:color="auto"/>
              <w:bottom w:val="nil"/>
              <w:right w:val="nil"/>
            </w:tcBorders>
            <w:shd w:val="clear" w:color="000000" w:fill="FFFFFF"/>
            <w:noWrap/>
            <w:hideMark/>
          </w:tcPr>
          <w:p w14:paraId="647F5F14"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CAR_T1</w:t>
            </w:r>
          </w:p>
        </w:tc>
        <w:tc>
          <w:tcPr>
            <w:tcW w:w="854" w:type="dxa"/>
            <w:tcBorders>
              <w:top w:val="nil"/>
              <w:left w:val="nil"/>
              <w:bottom w:val="nil"/>
              <w:right w:val="nil"/>
            </w:tcBorders>
            <w:shd w:val="clear" w:color="000000" w:fill="FFFFFF"/>
            <w:noWrap/>
            <w:hideMark/>
          </w:tcPr>
          <w:p w14:paraId="056F810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21B669BA"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12.83</w:t>
            </w:r>
          </w:p>
        </w:tc>
        <w:tc>
          <w:tcPr>
            <w:tcW w:w="1360" w:type="dxa"/>
            <w:tcBorders>
              <w:top w:val="nil"/>
              <w:left w:val="nil"/>
              <w:bottom w:val="nil"/>
              <w:right w:val="nil"/>
            </w:tcBorders>
            <w:shd w:val="clear" w:color="000000" w:fill="FFFFFF"/>
            <w:noWrap/>
            <w:hideMark/>
          </w:tcPr>
          <w:p w14:paraId="6E02B92B"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4.00</w:t>
            </w:r>
          </w:p>
        </w:tc>
        <w:tc>
          <w:tcPr>
            <w:tcW w:w="740" w:type="dxa"/>
            <w:tcBorders>
              <w:top w:val="nil"/>
              <w:left w:val="nil"/>
              <w:bottom w:val="nil"/>
              <w:right w:val="nil"/>
            </w:tcBorders>
            <w:shd w:val="clear" w:color="000000" w:fill="FFFFFF"/>
            <w:noWrap/>
            <w:hideMark/>
          </w:tcPr>
          <w:p w14:paraId="79869417"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-3.64</w:t>
            </w:r>
          </w:p>
        </w:tc>
        <w:tc>
          <w:tcPr>
            <w:tcW w:w="1173" w:type="dxa"/>
            <w:tcBorders>
              <w:top w:val="nil"/>
              <w:left w:val="nil"/>
              <w:bottom w:val="nil"/>
              <w:right w:val="nil"/>
            </w:tcBorders>
            <w:shd w:val="clear" w:color="000000" w:fill="FFFFFF"/>
            <w:noWrap/>
            <w:hideMark/>
          </w:tcPr>
          <w:p w14:paraId="3AEC1EBB"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12.49</w:t>
            </w:r>
          </w:p>
        </w:tc>
        <w:tc>
          <w:tcPr>
            <w:tcW w:w="1500" w:type="dxa"/>
            <w:tcBorders>
              <w:top w:val="nil"/>
              <w:left w:val="nil"/>
              <w:bottom w:val="nil"/>
              <w:right w:val="single" w:sz="4" w:space="0" w:color="auto"/>
            </w:tcBorders>
            <w:shd w:val="clear" w:color="000000" w:fill="FFFFFF"/>
            <w:noWrap/>
            <w:hideMark/>
          </w:tcPr>
          <w:p w14:paraId="0F63C6D3"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33.72</w:t>
            </w:r>
          </w:p>
        </w:tc>
      </w:tr>
      <w:tr w:rsidR="00591FCC" w:rsidRPr="00591FCC" w14:paraId="180E0BBF" w14:textId="77777777" w:rsidTr="00591FCC">
        <w:trPr>
          <w:trHeight w:val="300"/>
        </w:trPr>
        <w:tc>
          <w:tcPr>
            <w:tcW w:w="2263" w:type="dxa"/>
            <w:tcBorders>
              <w:top w:val="nil"/>
              <w:left w:val="single" w:sz="4" w:space="0" w:color="auto"/>
              <w:bottom w:val="nil"/>
              <w:right w:val="nil"/>
            </w:tcBorders>
            <w:shd w:val="clear" w:color="000000" w:fill="FFFFFF"/>
            <w:noWrap/>
            <w:hideMark/>
          </w:tcPr>
          <w:p w14:paraId="08C1CDCF"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MPI</w:t>
            </w:r>
          </w:p>
        </w:tc>
        <w:tc>
          <w:tcPr>
            <w:tcW w:w="854" w:type="dxa"/>
            <w:tcBorders>
              <w:top w:val="nil"/>
              <w:left w:val="nil"/>
              <w:bottom w:val="nil"/>
              <w:right w:val="nil"/>
            </w:tcBorders>
            <w:shd w:val="clear" w:color="000000" w:fill="FFFFFF"/>
            <w:noWrap/>
            <w:hideMark/>
          </w:tcPr>
          <w:p w14:paraId="0E012B5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5DE74D81"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0.54</w:t>
            </w:r>
          </w:p>
        </w:tc>
        <w:tc>
          <w:tcPr>
            <w:tcW w:w="1360" w:type="dxa"/>
            <w:tcBorders>
              <w:top w:val="nil"/>
              <w:left w:val="nil"/>
              <w:bottom w:val="nil"/>
              <w:right w:val="nil"/>
            </w:tcBorders>
            <w:shd w:val="clear" w:color="000000" w:fill="FFFFFF"/>
            <w:noWrap/>
            <w:hideMark/>
          </w:tcPr>
          <w:p w14:paraId="0D953A53"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1.82</w:t>
            </w:r>
          </w:p>
        </w:tc>
        <w:tc>
          <w:tcPr>
            <w:tcW w:w="740" w:type="dxa"/>
            <w:tcBorders>
              <w:top w:val="nil"/>
              <w:left w:val="nil"/>
              <w:bottom w:val="nil"/>
              <w:right w:val="nil"/>
            </w:tcBorders>
            <w:shd w:val="clear" w:color="000000" w:fill="FFFFFF"/>
            <w:noWrap/>
            <w:hideMark/>
          </w:tcPr>
          <w:p w14:paraId="30EB45E4"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-13.00</w:t>
            </w:r>
          </w:p>
        </w:tc>
        <w:tc>
          <w:tcPr>
            <w:tcW w:w="1173" w:type="dxa"/>
            <w:tcBorders>
              <w:top w:val="nil"/>
              <w:left w:val="nil"/>
              <w:bottom w:val="nil"/>
              <w:right w:val="nil"/>
            </w:tcBorders>
            <w:shd w:val="clear" w:color="000000" w:fill="FFFFFF"/>
            <w:noWrap/>
            <w:hideMark/>
          </w:tcPr>
          <w:p w14:paraId="4CE4F719"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0.00</w:t>
            </w:r>
          </w:p>
        </w:tc>
        <w:tc>
          <w:tcPr>
            <w:tcW w:w="1500" w:type="dxa"/>
            <w:tcBorders>
              <w:top w:val="nil"/>
              <w:left w:val="nil"/>
              <w:bottom w:val="nil"/>
              <w:right w:val="single" w:sz="4" w:space="0" w:color="auto"/>
            </w:tcBorders>
            <w:shd w:val="clear" w:color="000000" w:fill="FFFFFF"/>
            <w:noWrap/>
            <w:hideMark/>
          </w:tcPr>
          <w:p w14:paraId="06E8479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12.00</w:t>
            </w:r>
          </w:p>
        </w:tc>
      </w:tr>
      <w:tr w:rsidR="00591FCC" w:rsidRPr="00591FCC" w14:paraId="4342E760" w14:textId="77777777" w:rsidTr="00591FCC">
        <w:trPr>
          <w:trHeight w:val="300"/>
        </w:trPr>
        <w:tc>
          <w:tcPr>
            <w:tcW w:w="2263" w:type="dxa"/>
            <w:tcBorders>
              <w:top w:val="nil"/>
              <w:left w:val="single" w:sz="4" w:space="0" w:color="auto"/>
              <w:bottom w:val="nil"/>
              <w:right w:val="nil"/>
            </w:tcBorders>
            <w:shd w:val="clear" w:color="000000" w:fill="FFFFFF"/>
            <w:noWrap/>
            <w:hideMark/>
          </w:tcPr>
          <w:p w14:paraId="6DE56D35" w14:textId="77777777"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591FCC">
              <w:rPr>
                <w:rFonts w:ascii="Calibri" w:hAnsi="Calibri" w:cs="Calibri"/>
                <w:b/>
                <w:bCs/>
                <w:color w:val="000000"/>
                <w:sz w:val="18"/>
                <w:szCs w:val="18"/>
                <w:lang w:val="en-AM" w:eastAsia="en-GB"/>
              </w:rPr>
              <w:t>DSR</w:t>
            </w:r>
          </w:p>
        </w:tc>
        <w:tc>
          <w:tcPr>
            <w:tcW w:w="854" w:type="dxa"/>
            <w:tcBorders>
              <w:top w:val="nil"/>
              <w:left w:val="nil"/>
              <w:bottom w:val="nil"/>
              <w:right w:val="nil"/>
            </w:tcBorders>
            <w:shd w:val="clear" w:color="000000" w:fill="FFFFFF"/>
            <w:noWrap/>
            <w:hideMark/>
          </w:tcPr>
          <w:p w14:paraId="159B8DC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5,248.00</w:t>
            </w:r>
          </w:p>
        </w:tc>
        <w:tc>
          <w:tcPr>
            <w:tcW w:w="1360" w:type="dxa"/>
            <w:tcBorders>
              <w:top w:val="nil"/>
              <w:left w:val="nil"/>
              <w:bottom w:val="nil"/>
              <w:right w:val="nil"/>
            </w:tcBorders>
            <w:shd w:val="clear" w:color="000000" w:fill="FFFFFF"/>
            <w:noWrap/>
            <w:hideMark/>
          </w:tcPr>
          <w:p w14:paraId="0B99F69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16.34</w:t>
            </w:r>
          </w:p>
        </w:tc>
        <w:tc>
          <w:tcPr>
            <w:tcW w:w="1360" w:type="dxa"/>
            <w:tcBorders>
              <w:top w:val="nil"/>
              <w:left w:val="nil"/>
              <w:bottom w:val="nil"/>
              <w:right w:val="nil"/>
            </w:tcBorders>
            <w:shd w:val="clear" w:color="000000" w:fill="FFFFFF"/>
            <w:noWrap/>
            <w:hideMark/>
          </w:tcPr>
          <w:p w14:paraId="2C94B6C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5.36</w:t>
            </w:r>
          </w:p>
        </w:tc>
        <w:tc>
          <w:tcPr>
            <w:tcW w:w="740" w:type="dxa"/>
            <w:tcBorders>
              <w:top w:val="nil"/>
              <w:left w:val="nil"/>
              <w:bottom w:val="nil"/>
              <w:right w:val="nil"/>
            </w:tcBorders>
            <w:shd w:val="clear" w:color="000000" w:fill="FFFFFF"/>
            <w:noWrap/>
            <w:hideMark/>
          </w:tcPr>
          <w:p w14:paraId="60358AB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3.00</w:t>
            </w:r>
          </w:p>
        </w:tc>
        <w:tc>
          <w:tcPr>
            <w:tcW w:w="1173" w:type="dxa"/>
            <w:tcBorders>
              <w:top w:val="nil"/>
              <w:left w:val="nil"/>
              <w:bottom w:val="nil"/>
              <w:right w:val="nil"/>
            </w:tcBorders>
            <w:shd w:val="clear" w:color="000000" w:fill="FFFFFF"/>
            <w:noWrap/>
            <w:hideMark/>
          </w:tcPr>
          <w:p w14:paraId="0116BFA9"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16.20</w:t>
            </w:r>
          </w:p>
        </w:tc>
        <w:tc>
          <w:tcPr>
            <w:tcW w:w="1500" w:type="dxa"/>
            <w:tcBorders>
              <w:top w:val="nil"/>
              <w:left w:val="nil"/>
              <w:bottom w:val="nil"/>
              <w:right w:val="single" w:sz="4" w:space="0" w:color="auto"/>
            </w:tcBorders>
            <w:shd w:val="clear" w:color="000000" w:fill="FFFFFF"/>
            <w:noWrap/>
            <w:hideMark/>
          </w:tcPr>
          <w:p w14:paraId="60C36692"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40.10</w:t>
            </w:r>
          </w:p>
        </w:tc>
      </w:tr>
      <w:tr w:rsidR="00591FCC" w:rsidRPr="00591FCC" w14:paraId="0A37E5CA" w14:textId="77777777" w:rsidTr="00591FCC">
        <w:trPr>
          <w:trHeight w:val="300"/>
        </w:trPr>
        <w:tc>
          <w:tcPr>
            <w:tcW w:w="2263" w:type="dxa"/>
            <w:tcBorders>
              <w:top w:val="nil"/>
              <w:left w:val="single" w:sz="4" w:space="0" w:color="auto"/>
              <w:bottom w:val="nil"/>
              <w:right w:val="nil"/>
            </w:tcBorders>
            <w:shd w:val="clear" w:color="000000" w:fill="FFFFFF"/>
            <w:noWrap/>
            <w:hideMark/>
          </w:tcPr>
          <w:p w14:paraId="78B3283C" w14:textId="49A3D78A"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Financial Conditions Index</w:t>
            </w:r>
          </w:p>
        </w:tc>
        <w:tc>
          <w:tcPr>
            <w:tcW w:w="854" w:type="dxa"/>
            <w:tcBorders>
              <w:top w:val="nil"/>
              <w:left w:val="nil"/>
              <w:bottom w:val="nil"/>
              <w:right w:val="nil"/>
            </w:tcBorders>
            <w:shd w:val="clear" w:color="000000" w:fill="FFFFFF"/>
            <w:noWrap/>
            <w:hideMark/>
          </w:tcPr>
          <w:p w14:paraId="0C1B8840"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4,756.00</w:t>
            </w:r>
          </w:p>
        </w:tc>
        <w:tc>
          <w:tcPr>
            <w:tcW w:w="1360" w:type="dxa"/>
            <w:tcBorders>
              <w:top w:val="nil"/>
              <w:left w:val="nil"/>
              <w:bottom w:val="nil"/>
              <w:right w:val="nil"/>
            </w:tcBorders>
            <w:shd w:val="clear" w:color="000000" w:fill="FFFFFF"/>
            <w:noWrap/>
            <w:hideMark/>
          </w:tcPr>
          <w:p w14:paraId="1746BBDF"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0.00</w:t>
            </w:r>
          </w:p>
        </w:tc>
        <w:tc>
          <w:tcPr>
            <w:tcW w:w="1360" w:type="dxa"/>
            <w:tcBorders>
              <w:top w:val="nil"/>
              <w:left w:val="nil"/>
              <w:bottom w:val="nil"/>
              <w:right w:val="nil"/>
            </w:tcBorders>
            <w:shd w:val="clear" w:color="000000" w:fill="FFFFFF"/>
            <w:noWrap/>
            <w:hideMark/>
          </w:tcPr>
          <w:p w14:paraId="0FA20B78"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0.76</w:t>
            </w:r>
          </w:p>
        </w:tc>
        <w:tc>
          <w:tcPr>
            <w:tcW w:w="740" w:type="dxa"/>
            <w:tcBorders>
              <w:top w:val="nil"/>
              <w:left w:val="nil"/>
              <w:bottom w:val="nil"/>
              <w:right w:val="nil"/>
            </w:tcBorders>
            <w:shd w:val="clear" w:color="000000" w:fill="FFFFFF"/>
            <w:noWrap/>
            <w:hideMark/>
          </w:tcPr>
          <w:p w14:paraId="569EA993"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-5.13</w:t>
            </w:r>
          </w:p>
        </w:tc>
        <w:tc>
          <w:tcPr>
            <w:tcW w:w="1173" w:type="dxa"/>
            <w:tcBorders>
              <w:top w:val="nil"/>
              <w:left w:val="nil"/>
              <w:bottom w:val="nil"/>
              <w:right w:val="nil"/>
            </w:tcBorders>
            <w:shd w:val="clear" w:color="000000" w:fill="FFFFFF"/>
            <w:noWrap/>
            <w:hideMark/>
          </w:tcPr>
          <w:p w14:paraId="1FDC41F9"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0.16</w:t>
            </w:r>
          </w:p>
        </w:tc>
        <w:tc>
          <w:tcPr>
            <w:tcW w:w="1500" w:type="dxa"/>
            <w:tcBorders>
              <w:top w:val="nil"/>
              <w:left w:val="nil"/>
              <w:bottom w:val="nil"/>
              <w:right w:val="single" w:sz="4" w:space="0" w:color="auto"/>
            </w:tcBorders>
            <w:shd w:val="clear" w:color="000000" w:fill="FFFFFF"/>
            <w:noWrap/>
            <w:hideMark/>
          </w:tcPr>
          <w:p w14:paraId="5FDBB191"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1.74</w:t>
            </w:r>
          </w:p>
        </w:tc>
      </w:tr>
      <w:tr w:rsidR="00591FCC" w:rsidRPr="00591FCC" w14:paraId="4A4649D9" w14:textId="77777777" w:rsidTr="00591FCC">
        <w:trPr>
          <w:trHeight w:val="300"/>
        </w:trPr>
        <w:tc>
          <w:tcPr>
            <w:tcW w:w="2263" w:type="dxa"/>
            <w:tcBorders>
              <w:top w:val="nil"/>
              <w:left w:val="single" w:sz="4" w:space="0" w:color="auto"/>
              <w:bottom w:val="single" w:sz="4" w:space="0" w:color="auto"/>
              <w:right w:val="nil"/>
            </w:tcBorders>
            <w:shd w:val="clear" w:color="000000" w:fill="FFFFFF"/>
            <w:noWrap/>
            <w:hideMark/>
          </w:tcPr>
          <w:p w14:paraId="1D772F41" w14:textId="009AE191" w:rsidR="00591FCC" w:rsidRPr="00591FCC" w:rsidRDefault="00591FCC" w:rsidP="00591FCC">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Financial Cycle Index</w:t>
            </w:r>
          </w:p>
        </w:tc>
        <w:tc>
          <w:tcPr>
            <w:tcW w:w="854" w:type="dxa"/>
            <w:tcBorders>
              <w:top w:val="nil"/>
              <w:left w:val="nil"/>
              <w:bottom w:val="single" w:sz="4" w:space="0" w:color="auto"/>
              <w:right w:val="nil"/>
            </w:tcBorders>
            <w:shd w:val="clear" w:color="000000" w:fill="FFFFFF"/>
            <w:noWrap/>
            <w:hideMark/>
          </w:tcPr>
          <w:p w14:paraId="005CA549"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4,756.00</w:t>
            </w:r>
          </w:p>
        </w:tc>
        <w:tc>
          <w:tcPr>
            <w:tcW w:w="1360" w:type="dxa"/>
            <w:tcBorders>
              <w:top w:val="nil"/>
              <w:left w:val="nil"/>
              <w:bottom w:val="single" w:sz="4" w:space="0" w:color="auto"/>
              <w:right w:val="nil"/>
            </w:tcBorders>
            <w:shd w:val="clear" w:color="000000" w:fill="FFFFFF"/>
            <w:noWrap/>
            <w:hideMark/>
          </w:tcPr>
          <w:p w14:paraId="7D3D9EB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0.15</w:t>
            </w:r>
          </w:p>
        </w:tc>
        <w:tc>
          <w:tcPr>
            <w:tcW w:w="1360" w:type="dxa"/>
            <w:tcBorders>
              <w:top w:val="nil"/>
              <w:left w:val="nil"/>
              <w:bottom w:val="single" w:sz="4" w:space="0" w:color="auto"/>
              <w:right w:val="nil"/>
            </w:tcBorders>
            <w:shd w:val="clear" w:color="000000" w:fill="FFFFFF"/>
            <w:noWrap/>
            <w:hideMark/>
          </w:tcPr>
          <w:p w14:paraId="3FFF7B7F"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0.14</w:t>
            </w:r>
          </w:p>
        </w:tc>
        <w:tc>
          <w:tcPr>
            <w:tcW w:w="740" w:type="dxa"/>
            <w:tcBorders>
              <w:top w:val="nil"/>
              <w:left w:val="nil"/>
              <w:bottom w:val="single" w:sz="4" w:space="0" w:color="auto"/>
              <w:right w:val="nil"/>
            </w:tcBorders>
            <w:shd w:val="clear" w:color="000000" w:fill="FFFFFF"/>
            <w:noWrap/>
            <w:hideMark/>
          </w:tcPr>
          <w:p w14:paraId="4731A043"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-0.01</w:t>
            </w:r>
          </w:p>
        </w:tc>
        <w:tc>
          <w:tcPr>
            <w:tcW w:w="1173" w:type="dxa"/>
            <w:tcBorders>
              <w:top w:val="nil"/>
              <w:left w:val="nil"/>
              <w:bottom w:val="single" w:sz="4" w:space="0" w:color="auto"/>
              <w:right w:val="nil"/>
            </w:tcBorders>
            <w:shd w:val="clear" w:color="000000" w:fill="FFFFFF"/>
            <w:noWrap/>
            <w:hideMark/>
          </w:tcPr>
          <w:p w14:paraId="55DDFE1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0.11</w:t>
            </w:r>
          </w:p>
        </w:tc>
        <w:tc>
          <w:tcPr>
            <w:tcW w:w="1500" w:type="dxa"/>
            <w:tcBorders>
              <w:top w:val="nil"/>
              <w:left w:val="nil"/>
              <w:bottom w:val="single" w:sz="4" w:space="0" w:color="auto"/>
              <w:right w:val="single" w:sz="4" w:space="0" w:color="auto"/>
            </w:tcBorders>
            <w:shd w:val="clear" w:color="000000" w:fill="FFFFFF"/>
            <w:noWrap/>
            <w:hideMark/>
          </w:tcPr>
          <w:p w14:paraId="406A54DC" w14:textId="77777777" w:rsidR="00591FCC" w:rsidRPr="00591FCC" w:rsidRDefault="00591FCC" w:rsidP="00591FCC">
            <w:pPr>
              <w:spacing w:after="0" w:line="240" w:lineRule="auto"/>
              <w:jc w:val="center"/>
              <w:rPr>
                <w:rFonts w:ascii="Calibri" w:hAnsi="Calibri" w:cs="Calibri"/>
                <w:color w:val="000000"/>
                <w:sz w:val="18"/>
                <w:szCs w:val="18"/>
                <w:lang w:val="en-AM" w:eastAsia="en-GB"/>
              </w:rPr>
            </w:pPr>
            <w:r w:rsidRPr="00591FCC">
              <w:rPr>
                <w:rFonts w:ascii="Calibri" w:hAnsi="Calibri" w:cs="Calibri"/>
                <w:color w:val="000000"/>
                <w:sz w:val="18"/>
                <w:szCs w:val="18"/>
                <w:lang w:val="en-AM" w:eastAsia="en-GB"/>
              </w:rPr>
              <w:t>0.82</w:t>
            </w:r>
          </w:p>
        </w:tc>
      </w:tr>
    </w:tbl>
    <w:p w14:paraId="0B5140EA" w14:textId="21D33D3C" w:rsidR="00151036" w:rsidRDefault="00151036" w:rsidP="00151036">
      <w:pPr>
        <w:pStyle w:val="Caption"/>
        <w:keepNext/>
        <w:spacing w:after="0"/>
        <w:jc w:val="left"/>
      </w:pPr>
      <w:bookmarkStart w:id="27" w:name="_Ref176971798"/>
      <w:r>
        <w:t xml:space="preserve">Table </w:t>
      </w:r>
      <w:fldSimple w:instr=" SEQ Table \* ARABIC ">
        <w:r w:rsidR="002A6D9E">
          <w:rPr>
            <w:noProof/>
          </w:rPr>
          <w:t>4</w:t>
        </w:r>
      </w:fldSimple>
      <w:bookmarkEnd w:id="27"/>
      <w:r>
        <w:t xml:space="preserve">. Panel summary statistics for </w:t>
      </w:r>
      <w:r w:rsidRPr="008F6E24">
        <w:t>transformed</w:t>
      </w:r>
      <w:r>
        <w:t xml:space="preserve"> variables</w:t>
      </w:r>
    </w:p>
    <w:tbl>
      <w:tblPr>
        <w:tblpPr w:leftFromText="5670" w:rightFromText="5670" w:bottomFromText="284" w:vertAnchor="text" w:tblpY="1"/>
        <w:tblOverlap w:val="never"/>
        <w:tblW w:w="7635" w:type="dxa"/>
        <w:tblLook w:val="04A0" w:firstRow="1" w:lastRow="0" w:firstColumn="1" w:lastColumn="0" w:noHBand="0" w:noVBand="1"/>
      </w:tblPr>
      <w:tblGrid>
        <w:gridCol w:w="3430"/>
        <w:gridCol w:w="854"/>
        <w:gridCol w:w="639"/>
        <w:gridCol w:w="627"/>
        <w:gridCol w:w="740"/>
        <w:gridCol w:w="627"/>
        <w:gridCol w:w="718"/>
      </w:tblGrid>
      <w:tr w:rsidR="00151036" w:rsidRPr="00151036" w14:paraId="21E3CD4F" w14:textId="77777777" w:rsidTr="00537D7E">
        <w:trPr>
          <w:trHeight w:val="300"/>
        </w:trPr>
        <w:tc>
          <w:tcPr>
            <w:tcW w:w="3430" w:type="dxa"/>
            <w:tcBorders>
              <w:top w:val="single" w:sz="4" w:space="0" w:color="auto"/>
              <w:left w:val="single" w:sz="4" w:space="0" w:color="auto"/>
              <w:bottom w:val="single" w:sz="4" w:space="0" w:color="auto"/>
              <w:right w:val="nil"/>
            </w:tcBorders>
            <w:shd w:val="clear" w:color="000000" w:fill="FFFFFF"/>
            <w:noWrap/>
            <w:hideMark/>
          </w:tcPr>
          <w:p w14:paraId="07BD9A3D"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Variables</w:t>
            </w:r>
          </w:p>
        </w:tc>
        <w:tc>
          <w:tcPr>
            <w:tcW w:w="854" w:type="dxa"/>
            <w:tcBorders>
              <w:top w:val="single" w:sz="4" w:space="0" w:color="auto"/>
              <w:left w:val="nil"/>
              <w:bottom w:val="single" w:sz="4" w:space="0" w:color="auto"/>
              <w:right w:val="nil"/>
            </w:tcBorders>
            <w:shd w:val="clear" w:color="000000" w:fill="FFFFFF"/>
            <w:noWrap/>
            <w:hideMark/>
          </w:tcPr>
          <w:p w14:paraId="0FD2DB2C" w14:textId="77777777" w:rsidR="00151036" w:rsidRPr="00151036" w:rsidRDefault="00151036" w:rsidP="00537D7E">
            <w:pPr>
              <w:spacing w:after="0" w:line="240" w:lineRule="auto"/>
              <w:jc w:val="center"/>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count</w:t>
            </w:r>
          </w:p>
        </w:tc>
        <w:tc>
          <w:tcPr>
            <w:tcW w:w="639" w:type="dxa"/>
            <w:tcBorders>
              <w:top w:val="single" w:sz="4" w:space="0" w:color="auto"/>
              <w:left w:val="nil"/>
              <w:bottom w:val="single" w:sz="4" w:space="0" w:color="auto"/>
              <w:right w:val="nil"/>
            </w:tcBorders>
            <w:shd w:val="clear" w:color="000000" w:fill="FFFFFF"/>
            <w:noWrap/>
            <w:hideMark/>
          </w:tcPr>
          <w:p w14:paraId="272EE5A0" w14:textId="77777777" w:rsidR="00151036" w:rsidRPr="00151036" w:rsidRDefault="00151036" w:rsidP="00537D7E">
            <w:pPr>
              <w:spacing w:after="0" w:line="240" w:lineRule="auto"/>
              <w:jc w:val="center"/>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mean</w:t>
            </w:r>
          </w:p>
        </w:tc>
        <w:tc>
          <w:tcPr>
            <w:tcW w:w="627" w:type="dxa"/>
            <w:tcBorders>
              <w:top w:val="single" w:sz="4" w:space="0" w:color="auto"/>
              <w:left w:val="nil"/>
              <w:bottom w:val="single" w:sz="4" w:space="0" w:color="auto"/>
              <w:right w:val="nil"/>
            </w:tcBorders>
            <w:shd w:val="clear" w:color="000000" w:fill="FFFFFF"/>
            <w:noWrap/>
            <w:hideMark/>
          </w:tcPr>
          <w:p w14:paraId="4D2BFF45" w14:textId="77777777" w:rsidR="00151036" w:rsidRPr="00151036" w:rsidRDefault="00151036" w:rsidP="00537D7E">
            <w:pPr>
              <w:spacing w:after="0" w:line="240" w:lineRule="auto"/>
              <w:jc w:val="center"/>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std</w:t>
            </w:r>
          </w:p>
        </w:tc>
        <w:tc>
          <w:tcPr>
            <w:tcW w:w="740" w:type="dxa"/>
            <w:tcBorders>
              <w:top w:val="single" w:sz="4" w:space="0" w:color="auto"/>
              <w:left w:val="nil"/>
              <w:bottom w:val="single" w:sz="4" w:space="0" w:color="auto"/>
              <w:right w:val="nil"/>
            </w:tcBorders>
            <w:shd w:val="clear" w:color="000000" w:fill="FFFFFF"/>
            <w:noWrap/>
            <w:hideMark/>
          </w:tcPr>
          <w:p w14:paraId="2BECD33C" w14:textId="77777777" w:rsidR="00151036" w:rsidRPr="00151036" w:rsidRDefault="00151036" w:rsidP="00537D7E">
            <w:pPr>
              <w:spacing w:after="0" w:line="240" w:lineRule="auto"/>
              <w:jc w:val="center"/>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min</w:t>
            </w:r>
          </w:p>
        </w:tc>
        <w:tc>
          <w:tcPr>
            <w:tcW w:w="627" w:type="dxa"/>
            <w:tcBorders>
              <w:top w:val="single" w:sz="4" w:space="0" w:color="auto"/>
              <w:left w:val="nil"/>
              <w:bottom w:val="single" w:sz="4" w:space="0" w:color="auto"/>
              <w:right w:val="nil"/>
            </w:tcBorders>
            <w:shd w:val="clear" w:color="000000" w:fill="FFFFFF"/>
            <w:noWrap/>
            <w:hideMark/>
          </w:tcPr>
          <w:p w14:paraId="37705E1E" w14:textId="77777777" w:rsidR="00151036" w:rsidRPr="00151036" w:rsidRDefault="00151036" w:rsidP="00537D7E">
            <w:pPr>
              <w:spacing w:after="0" w:line="240" w:lineRule="auto"/>
              <w:jc w:val="center"/>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50%</w:t>
            </w:r>
          </w:p>
        </w:tc>
        <w:tc>
          <w:tcPr>
            <w:tcW w:w="718" w:type="dxa"/>
            <w:tcBorders>
              <w:top w:val="single" w:sz="4" w:space="0" w:color="auto"/>
              <w:left w:val="nil"/>
              <w:bottom w:val="single" w:sz="4" w:space="0" w:color="auto"/>
              <w:right w:val="single" w:sz="4" w:space="0" w:color="auto"/>
            </w:tcBorders>
            <w:shd w:val="clear" w:color="000000" w:fill="FFFFFF"/>
            <w:noWrap/>
            <w:hideMark/>
          </w:tcPr>
          <w:p w14:paraId="6CD77D03" w14:textId="77777777" w:rsidR="00151036" w:rsidRPr="00151036" w:rsidRDefault="00151036" w:rsidP="00537D7E">
            <w:pPr>
              <w:spacing w:after="0" w:line="240" w:lineRule="auto"/>
              <w:jc w:val="center"/>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max</w:t>
            </w:r>
          </w:p>
        </w:tc>
      </w:tr>
      <w:tr w:rsidR="00151036" w:rsidRPr="00151036" w14:paraId="6DC6BD06" w14:textId="77777777" w:rsidTr="00537D7E">
        <w:trPr>
          <w:trHeight w:val="300"/>
        </w:trPr>
        <w:tc>
          <w:tcPr>
            <w:tcW w:w="3430" w:type="dxa"/>
            <w:tcBorders>
              <w:top w:val="nil"/>
              <w:left w:val="single" w:sz="4" w:space="0" w:color="auto"/>
              <w:bottom w:val="nil"/>
              <w:right w:val="nil"/>
            </w:tcBorders>
            <w:shd w:val="clear" w:color="000000" w:fill="FFFFFF"/>
            <w:noWrap/>
            <w:hideMark/>
          </w:tcPr>
          <w:p w14:paraId="3B4814DC"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GDP_real_growth_1.0y</w:t>
            </w:r>
          </w:p>
        </w:tc>
        <w:tc>
          <w:tcPr>
            <w:tcW w:w="854" w:type="dxa"/>
            <w:tcBorders>
              <w:top w:val="nil"/>
              <w:left w:val="nil"/>
              <w:bottom w:val="nil"/>
              <w:right w:val="nil"/>
            </w:tcBorders>
            <w:shd w:val="clear" w:color="000000" w:fill="FFFFFF"/>
            <w:noWrap/>
            <w:hideMark/>
          </w:tcPr>
          <w:p w14:paraId="5755087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5,084.00</w:t>
            </w:r>
          </w:p>
        </w:tc>
        <w:tc>
          <w:tcPr>
            <w:tcW w:w="639" w:type="dxa"/>
            <w:tcBorders>
              <w:top w:val="nil"/>
              <w:left w:val="nil"/>
              <w:bottom w:val="nil"/>
              <w:right w:val="nil"/>
            </w:tcBorders>
            <w:shd w:val="clear" w:color="000000" w:fill="FFFFFF"/>
            <w:noWrap/>
            <w:hideMark/>
          </w:tcPr>
          <w:p w14:paraId="7433E26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3.22</w:t>
            </w:r>
          </w:p>
        </w:tc>
        <w:tc>
          <w:tcPr>
            <w:tcW w:w="627" w:type="dxa"/>
            <w:tcBorders>
              <w:top w:val="nil"/>
              <w:left w:val="nil"/>
              <w:bottom w:val="nil"/>
              <w:right w:val="nil"/>
            </w:tcBorders>
            <w:shd w:val="clear" w:color="000000" w:fill="FFFFFF"/>
            <w:noWrap/>
            <w:hideMark/>
          </w:tcPr>
          <w:p w14:paraId="0581635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4.52</w:t>
            </w:r>
          </w:p>
        </w:tc>
        <w:tc>
          <w:tcPr>
            <w:tcW w:w="740" w:type="dxa"/>
            <w:tcBorders>
              <w:top w:val="nil"/>
              <w:left w:val="nil"/>
              <w:bottom w:val="nil"/>
              <w:right w:val="nil"/>
            </w:tcBorders>
            <w:shd w:val="clear" w:color="000000" w:fill="FFFFFF"/>
            <w:noWrap/>
            <w:hideMark/>
          </w:tcPr>
          <w:p w14:paraId="4FCC8C8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-23.37</w:t>
            </w:r>
          </w:p>
        </w:tc>
        <w:tc>
          <w:tcPr>
            <w:tcW w:w="627" w:type="dxa"/>
            <w:tcBorders>
              <w:top w:val="nil"/>
              <w:left w:val="nil"/>
              <w:bottom w:val="nil"/>
              <w:right w:val="nil"/>
            </w:tcBorders>
            <w:shd w:val="clear" w:color="000000" w:fill="FFFFFF"/>
            <w:noWrap/>
            <w:hideMark/>
          </w:tcPr>
          <w:p w14:paraId="75379F9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2.98</w:t>
            </w:r>
          </w:p>
        </w:tc>
        <w:tc>
          <w:tcPr>
            <w:tcW w:w="718" w:type="dxa"/>
            <w:tcBorders>
              <w:top w:val="nil"/>
              <w:left w:val="nil"/>
              <w:bottom w:val="nil"/>
              <w:right w:val="single" w:sz="4" w:space="0" w:color="auto"/>
            </w:tcBorders>
            <w:shd w:val="clear" w:color="000000" w:fill="FFFFFF"/>
            <w:noWrap/>
            <w:hideMark/>
          </w:tcPr>
          <w:p w14:paraId="71F20C17"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45.60</w:t>
            </w:r>
          </w:p>
        </w:tc>
      </w:tr>
      <w:tr w:rsidR="00151036" w:rsidRPr="00151036" w14:paraId="20B8B765" w14:textId="77777777" w:rsidTr="00537D7E">
        <w:trPr>
          <w:trHeight w:val="300"/>
        </w:trPr>
        <w:tc>
          <w:tcPr>
            <w:tcW w:w="3430" w:type="dxa"/>
            <w:tcBorders>
              <w:top w:val="nil"/>
              <w:left w:val="single" w:sz="4" w:space="0" w:color="auto"/>
              <w:bottom w:val="nil"/>
              <w:right w:val="nil"/>
            </w:tcBorders>
            <w:shd w:val="clear" w:color="000000" w:fill="FFFFFF"/>
            <w:noWrap/>
            <w:hideMark/>
          </w:tcPr>
          <w:p w14:paraId="7C4E73F4"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GDP_real_growth_2.0y</w:t>
            </w:r>
          </w:p>
        </w:tc>
        <w:tc>
          <w:tcPr>
            <w:tcW w:w="854" w:type="dxa"/>
            <w:tcBorders>
              <w:top w:val="nil"/>
              <w:left w:val="nil"/>
              <w:bottom w:val="nil"/>
              <w:right w:val="nil"/>
            </w:tcBorders>
            <w:shd w:val="clear" w:color="000000" w:fill="FFFFFF"/>
            <w:noWrap/>
            <w:hideMark/>
          </w:tcPr>
          <w:p w14:paraId="68C363AE"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4,920.00</w:t>
            </w:r>
          </w:p>
        </w:tc>
        <w:tc>
          <w:tcPr>
            <w:tcW w:w="639" w:type="dxa"/>
            <w:tcBorders>
              <w:top w:val="nil"/>
              <w:left w:val="nil"/>
              <w:bottom w:val="nil"/>
              <w:right w:val="nil"/>
            </w:tcBorders>
            <w:shd w:val="clear" w:color="000000" w:fill="FFFFFF"/>
            <w:noWrap/>
            <w:hideMark/>
          </w:tcPr>
          <w:p w14:paraId="2AD3F6C9"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3.11</w:t>
            </w:r>
          </w:p>
        </w:tc>
        <w:tc>
          <w:tcPr>
            <w:tcW w:w="627" w:type="dxa"/>
            <w:tcBorders>
              <w:top w:val="nil"/>
              <w:left w:val="nil"/>
              <w:bottom w:val="nil"/>
              <w:right w:val="nil"/>
            </w:tcBorders>
            <w:shd w:val="clear" w:color="000000" w:fill="FFFFFF"/>
            <w:noWrap/>
            <w:hideMark/>
          </w:tcPr>
          <w:p w14:paraId="20AF3811"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3.43</w:t>
            </w:r>
          </w:p>
        </w:tc>
        <w:tc>
          <w:tcPr>
            <w:tcW w:w="740" w:type="dxa"/>
            <w:tcBorders>
              <w:top w:val="nil"/>
              <w:left w:val="nil"/>
              <w:bottom w:val="nil"/>
              <w:right w:val="nil"/>
            </w:tcBorders>
            <w:shd w:val="clear" w:color="000000" w:fill="FFFFFF"/>
            <w:noWrap/>
            <w:hideMark/>
          </w:tcPr>
          <w:p w14:paraId="7D069CBE"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-13.03</w:t>
            </w:r>
          </w:p>
        </w:tc>
        <w:tc>
          <w:tcPr>
            <w:tcW w:w="627" w:type="dxa"/>
            <w:tcBorders>
              <w:top w:val="nil"/>
              <w:left w:val="nil"/>
              <w:bottom w:val="nil"/>
              <w:right w:val="nil"/>
            </w:tcBorders>
            <w:shd w:val="clear" w:color="000000" w:fill="FFFFFF"/>
            <w:noWrap/>
            <w:hideMark/>
          </w:tcPr>
          <w:p w14:paraId="01B82A8D"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2.84</w:t>
            </w:r>
          </w:p>
        </w:tc>
        <w:tc>
          <w:tcPr>
            <w:tcW w:w="718" w:type="dxa"/>
            <w:tcBorders>
              <w:top w:val="nil"/>
              <w:left w:val="nil"/>
              <w:bottom w:val="nil"/>
              <w:right w:val="single" w:sz="4" w:space="0" w:color="auto"/>
            </w:tcBorders>
            <w:shd w:val="clear" w:color="000000" w:fill="FFFFFF"/>
            <w:noWrap/>
            <w:hideMark/>
          </w:tcPr>
          <w:p w14:paraId="11450AB7"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30.49</w:t>
            </w:r>
          </w:p>
        </w:tc>
      </w:tr>
      <w:tr w:rsidR="00151036" w:rsidRPr="00151036" w14:paraId="17B52547" w14:textId="77777777" w:rsidTr="00537D7E">
        <w:trPr>
          <w:trHeight w:val="300"/>
        </w:trPr>
        <w:tc>
          <w:tcPr>
            <w:tcW w:w="3430" w:type="dxa"/>
            <w:tcBorders>
              <w:top w:val="nil"/>
              <w:left w:val="single" w:sz="4" w:space="0" w:color="auto"/>
              <w:bottom w:val="nil"/>
              <w:right w:val="nil"/>
            </w:tcBorders>
            <w:shd w:val="clear" w:color="000000" w:fill="FFFFFF"/>
            <w:noWrap/>
            <w:hideMark/>
          </w:tcPr>
          <w:p w14:paraId="69606EE9"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GDP_real_growth_3.0y</w:t>
            </w:r>
          </w:p>
        </w:tc>
        <w:tc>
          <w:tcPr>
            <w:tcW w:w="854" w:type="dxa"/>
            <w:tcBorders>
              <w:top w:val="nil"/>
              <w:left w:val="nil"/>
              <w:bottom w:val="nil"/>
              <w:right w:val="nil"/>
            </w:tcBorders>
            <w:shd w:val="clear" w:color="000000" w:fill="FFFFFF"/>
            <w:noWrap/>
            <w:hideMark/>
          </w:tcPr>
          <w:p w14:paraId="338BDCF4"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17A83D3B"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3.16</w:t>
            </w:r>
          </w:p>
        </w:tc>
        <w:tc>
          <w:tcPr>
            <w:tcW w:w="627" w:type="dxa"/>
            <w:tcBorders>
              <w:top w:val="nil"/>
              <w:left w:val="nil"/>
              <w:bottom w:val="nil"/>
              <w:right w:val="nil"/>
            </w:tcBorders>
            <w:shd w:val="clear" w:color="000000" w:fill="FFFFFF"/>
            <w:noWrap/>
            <w:hideMark/>
          </w:tcPr>
          <w:p w14:paraId="2C41C9F1"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3.03</w:t>
            </w:r>
          </w:p>
        </w:tc>
        <w:tc>
          <w:tcPr>
            <w:tcW w:w="740" w:type="dxa"/>
            <w:tcBorders>
              <w:top w:val="nil"/>
              <w:left w:val="nil"/>
              <w:bottom w:val="nil"/>
              <w:right w:val="nil"/>
            </w:tcBorders>
            <w:shd w:val="clear" w:color="000000" w:fill="FFFFFF"/>
            <w:noWrap/>
            <w:hideMark/>
          </w:tcPr>
          <w:p w14:paraId="72ECDD4B"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-8.39</w:t>
            </w:r>
          </w:p>
        </w:tc>
        <w:tc>
          <w:tcPr>
            <w:tcW w:w="627" w:type="dxa"/>
            <w:tcBorders>
              <w:top w:val="nil"/>
              <w:left w:val="nil"/>
              <w:bottom w:val="nil"/>
              <w:right w:val="nil"/>
            </w:tcBorders>
            <w:shd w:val="clear" w:color="000000" w:fill="FFFFFF"/>
            <w:noWrap/>
            <w:hideMark/>
          </w:tcPr>
          <w:p w14:paraId="03F26FAD"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2.82</w:t>
            </w:r>
          </w:p>
        </w:tc>
        <w:tc>
          <w:tcPr>
            <w:tcW w:w="718" w:type="dxa"/>
            <w:tcBorders>
              <w:top w:val="nil"/>
              <w:left w:val="nil"/>
              <w:bottom w:val="nil"/>
              <w:right w:val="single" w:sz="4" w:space="0" w:color="auto"/>
            </w:tcBorders>
            <w:shd w:val="clear" w:color="000000" w:fill="FFFFFF"/>
            <w:noWrap/>
            <w:hideMark/>
          </w:tcPr>
          <w:p w14:paraId="06B2E2D8"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25.84</w:t>
            </w:r>
          </w:p>
        </w:tc>
      </w:tr>
      <w:tr w:rsidR="00151036" w:rsidRPr="00151036" w14:paraId="50E5BF1D" w14:textId="77777777" w:rsidTr="00537D7E">
        <w:trPr>
          <w:trHeight w:val="300"/>
        </w:trPr>
        <w:tc>
          <w:tcPr>
            <w:tcW w:w="3430" w:type="dxa"/>
            <w:tcBorders>
              <w:top w:val="nil"/>
              <w:left w:val="single" w:sz="4" w:space="0" w:color="auto"/>
              <w:bottom w:val="nil"/>
              <w:right w:val="nil"/>
            </w:tcBorders>
            <w:shd w:val="clear" w:color="000000" w:fill="FFFFFF"/>
            <w:noWrap/>
            <w:hideMark/>
          </w:tcPr>
          <w:p w14:paraId="1B63E019"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REER_lag_1_normalized</w:t>
            </w:r>
          </w:p>
        </w:tc>
        <w:tc>
          <w:tcPr>
            <w:tcW w:w="854" w:type="dxa"/>
            <w:tcBorders>
              <w:top w:val="nil"/>
              <w:left w:val="nil"/>
              <w:bottom w:val="nil"/>
              <w:right w:val="nil"/>
            </w:tcBorders>
            <w:shd w:val="clear" w:color="000000" w:fill="FFFFFF"/>
            <w:noWrap/>
            <w:hideMark/>
          </w:tcPr>
          <w:p w14:paraId="6198E79C"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41FA4548"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0.02</w:t>
            </w:r>
          </w:p>
        </w:tc>
        <w:tc>
          <w:tcPr>
            <w:tcW w:w="627" w:type="dxa"/>
            <w:tcBorders>
              <w:top w:val="nil"/>
              <w:left w:val="nil"/>
              <w:bottom w:val="nil"/>
              <w:right w:val="nil"/>
            </w:tcBorders>
            <w:shd w:val="clear" w:color="000000" w:fill="FFFFFF"/>
            <w:noWrap/>
            <w:hideMark/>
          </w:tcPr>
          <w:p w14:paraId="3940AD6E"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0.96</w:t>
            </w:r>
          </w:p>
        </w:tc>
        <w:tc>
          <w:tcPr>
            <w:tcW w:w="740" w:type="dxa"/>
            <w:tcBorders>
              <w:top w:val="nil"/>
              <w:left w:val="nil"/>
              <w:bottom w:val="nil"/>
              <w:right w:val="nil"/>
            </w:tcBorders>
            <w:shd w:val="clear" w:color="000000" w:fill="FFFFFF"/>
            <w:noWrap/>
            <w:hideMark/>
          </w:tcPr>
          <w:p w14:paraId="014A1960"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-4.00</w:t>
            </w:r>
          </w:p>
        </w:tc>
        <w:tc>
          <w:tcPr>
            <w:tcW w:w="627" w:type="dxa"/>
            <w:tcBorders>
              <w:top w:val="nil"/>
              <w:left w:val="nil"/>
              <w:bottom w:val="nil"/>
              <w:right w:val="nil"/>
            </w:tcBorders>
            <w:shd w:val="clear" w:color="000000" w:fill="FFFFFF"/>
            <w:noWrap/>
            <w:hideMark/>
          </w:tcPr>
          <w:p w14:paraId="12BC252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0.05</w:t>
            </w:r>
          </w:p>
        </w:tc>
        <w:tc>
          <w:tcPr>
            <w:tcW w:w="718" w:type="dxa"/>
            <w:tcBorders>
              <w:top w:val="nil"/>
              <w:left w:val="nil"/>
              <w:bottom w:val="nil"/>
              <w:right w:val="single" w:sz="4" w:space="0" w:color="auto"/>
            </w:tcBorders>
            <w:shd w:val="clear" w:color="000000" w:fill="FFFFFF"/>
            <w:noWrap/>
            <w:hideMark/>
          </w:tcPr>
          <w:p w14:paraId="56E9581A"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3.17</w:t>
            </w:r>
          </w:p>
        </w:tc>
      </w:tr>
      <w:tr w:rsidR="00151036" w:rsidRPr="00151036" w14:paraId="3CED98BF" w14:textId="77777777" w:rsidTr="00537D7E">
        <w:trPr>
          <w:trHeight w:val="300"/>
        </w:trPr>
        <w:tc>
          <w:tcPr>
            <w:tcW w:w="3430" w:type="dxa"/>
            <w:tcBorders>
              <w:top w:val="nil"/>
              <w:left w:val="single" w:sz="4" w:space="0" w:color="auto"/>
              <w:bottom w:val="nil"/>
              <w:right w:val="nil"/>
            </w:tcBorders>
            <w:shd w:val="clear" w:color="000000" w:fill="FFFFFF"/>
            <w:noWrap/>
            <w:hideMark/>
          </w:tcPr>
          <w:p w14:paraId="18E19FA4"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Bond_yield_5Y_C_2y</w:t>
            </w:r>
          </w:p>
        </w:tc>
        <w:tc>
          <w:tcPr>
            <w:tcW w:w="854" w:type="dxa"/>
            <w:tcBorders>
              <w:top w:val="nil"/>
              <w:left w:val="nil"/>
              <w:bottom w:val="nil"/>
              <w:right w:val="nil"/>
            </w:tcBorders>
            <w:shd w:val="clear" w:color="000000" w:fill="FFFFFF"/>
            <w:noWrap/>
            <w:hideMark/>
          </w:tcPr>
          <w:p w14:paraId="22B623D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4089604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-0.68</w:t>
            </w:r>
          </w:p>
        </w:tc>
        <w:tc>
          <w:tcPr>
            <w:tcW w:w="627" w:type="dxa"/>
            <w:tcBorders>
              <w:top w:val="nil"/>
              <w:left w:val="nil"/>
              <w:bottom w:val="nil"/>
              <w:right w:val="nil"/>
            </w:tcBorders>
            <w:shd w:val="clear" w:color="000000" w:fill="FFFFFF"/>
            <w:noWrap/>
            <w:hideMark/>
          </w:tcPr>
          <w:p w14:paraId="713F1240"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3.70</w:t>
            </w:r>
          </w:p>
        </w:tc>
        <w:tc>
          <w:tcPr>
            <w:tcW w:w="740" w:type="dxa"/>
            <w:tcBorders>
              <w:top w:val="nil"/>
              <w:left w:val="nil"/>
              <w:bottom w:val="nil"/>
              <w:right w:val="nil"/>
            </w:tcBorders>
            <w:shd w:val="clear" w:color="000000" w:fill="FFFFFF"/>
            <w:noWrap/>
            <w:hideMark/>
          </w:tcPr>
          <w:p w14:paraId="1BAC23A1"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-56.70</w:t>
            </w:r>
          </w:p>
        </w:tc>
        <w:tc>
          <w:tcPr>
            <w:tcW w:w="627" w:type="dxa"/>
            <w:tcBorders>
              <w:top w:val="nil"/>
              <w:left w:val="nil"/>
              <w:bottom w:val="nil"/>
              <w:right w:val="nil"/>
            </w:tcBorders>
            <w:shd w:val="clear" w:color="000000" w:fill="FFFFFF"/>
            <w:noWrap/>
            <w:hideMark/>
          </w:tcPr>
          <w:p w14:paraId="35DF8D10"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-0.55</w:t>
            </w:r>
          </w:p>
        </w:tc>
        <w:tc>
          <w:tcPr>
            <w:tcW w:w="718" w:type="dxa"/>
            <w:tcBorders>
              <w:top w:val="nil"/>
              <w:left w:val="nil"/>
              <w:bottom w:val="nil"/>
              <w:right w:val="single" w:sz="4" w:space="0" w:color="auto"/>
            </w:tcBorders>
            <w:shd w:val="clear" w:color="000000" w:fill="FFFFFF"/>
            <w:noWrap/>
            <w:hideMark/>
          </w:tcPr>
          <w:p w14:paraId="5C3373C8"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52.49</w:t>
            </w:r>
          </w:p>
        </w:tc>
      </w:tr>
      <w:tr w:rsidR="00151036" w:rsidRPr="00151036" w14:paraId="7663C199" w14:textId="77777777" w:rsidTr="00537D7E">
        <w:trPr>
          <w:trHeight w:val="300"/>
        </w:trPr>
        <w:tc>
          <w:tcPr>
            <w:tcW w:w="3430" w:type="dxa"/>
            <w:tcBorders>
              <w:top w:val="nil"/>
              <w:left w:val="single" w:sz="4" w:space="0" w:color="auto"/>
              <w:bottom w:val="nil"/>
              <w:right w:val="nil"/>
            </w:tcBorders>
            <w:shd w:val="clear" w:color="000000" w:fill="FFFFFF"/>
            <w:noWrap/>
            <w:hideMark/>
          </w:tcPr>
          <w:p w14:paraId="0209B01B"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Bond_yield_1Y_normalized_C_3y</w:t>
            </w:r>
          </w:p>
        </w:tc>
        <w:tc>
          <w:tcPr>
            <w:tcW w:w="854" w:type="dxa"/>
            <w:tcBorders>
              <w:top w:val="nil"/>
              <w:left w:val="nil"/>
              <w:bottom w:val="nil"/>
              <w:right w:val="nil"/>
            </w:tcBorders>
            <w:shd w:val="clear" w:color="000000" w:fill="FFFFFF"/>
            <w:noWrap/>
            <w:hideMark/>
          </w:tcPr>
          <w:p w14:paraId="48B5B1A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7D6E510D"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-0.28</w:t>
            </w:r>
          </w:p>
        </w:tc>
        <w:tc>
          <w:tcPr>
            <w:tcW w:w="627" w:type="dxa"/>
            <w:tcBorders>
              <w:top w:val="nil"/>
              <w:left w:val="nil"/>
              <w:bottom w:val="nil"/>
              <w:right w:val="nil"/>
            </w:tcBorders>
            <w:shd w:val="clear" w:color="000000" w:fill="FFFFFF"/>
            <w:noWrap/>
            <w:hideMark/>
          </w:tcPr>
          <w:p w14:paraId="0C2865B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0.77</w:t>
            </w:r>
          </w:p>
        </w:tc>
        <w:tc>
          <w:tcPr>
            <w:tcW w:w="740" w:type="dxa"/>
            <w:tcBorders>
              <w:top w:val="nil"/>
              <w:left w:val="nil"/>
              <w:bottom w:val="nil"/>
              <w:right w:val="nil"/>
            </w:tcBorders>
            <w:shd w:val="clear" w:color="000000" w:fill="FFFFFF"/>
            <w:noWrap/>
            <w:hideMark/>
          </w:tcPr>
          <w:p w14:paraId="04D22ED1"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-6.37</w:t>
            </w:r>
          </w:p>
        </w:tc>
        <w:tc>
          <w:tcPr>
            <w:tcW w:w="627" w:type="dxa"/>
            <w:tcBorders>
              <w:top w:val="nil"/>
              <w:left w:val="nil"/>
              <w:bottom w:val="nil"/>
              <w:right w:val="nil"/>
            </w:tcBorders>
            <w:shd w:val="clear" w:color="000000" w:fill="FFFFFF"/>
            <w:noWrap/>
            <w:hideMark/>
          </w:tcPr>
          <w:p w14:paraId="0E5AB08A"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-0.23</w:t>
            </w:r>
          </w:p>
        </w:tc>
        <w:tc>
          <w:tcPr>
            <w:tcW w:w="718" w:type="dxa"/>
            <w:tcBorders>
              <w:top w:val="nil"/>
              <w:left w:val="nil"/>
              <w:bottom w:val="nil"/>
              <w:right w:val="single" w:sz="4" w:space="0" w:color="auto"/>
            </w:tcBorders>
            <w:shd w:val="clear" w:color="000000" w:fill="FFFFFF"/>
            <w:noWrap/>
            <w:hideMark/>
          </w:tcPr>
          <w:p w14:paraId="483362D8"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4.92</w:t>
            </w:r>
          </w:p>
        </w:tc>
      </w:tr>
      <w:tr w:rsidR="00151036" w:rsidRPr="00151036" w14:paraId="4390F025" w14:textId="77777777" w:rsidTr="00537D7E">
        <w:trPr>
          <w:trHeight w:val="300"/>
        </w:trPr>
        <w:tc>
          <w:tcPr>
            <w:tcW w:w="3430" w:type="dxa"/>
            <w:tcBorders>
              <w:top w:val="nil"/>
              <w:left w:val="single" w:sz="4" w:space="0" w:color="auto"/>
              <w:bottom w:val="nil"/>
              <w:right w:val="nil"/>
            </w:tcBorders>
            <w:shd w:val="clear" w:color="000000" w:fill="FFFFFF"/>
            <w:noWrap/>
            <w:hideMark/>
          </w:tcPr>
          <w:p w14:paraId="6C06EF35"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Unemployment_normalized</w:t>
            </w:r>
          </w:p>
        </w:tc>
        <w:tc>
          <w:tcPr>
            <w:tcW w:w="854" w:type="dxa"/>
            <w:tcBorders>
              <w:top w:val="nil"/>
              <w:left w:val="nil"/>
              <w:bottom w:val="nil"/>
              <w:right w:val="nil"/>
            </w:tcBorders>
            <w:shd w:val="clear" w:color="000000" w:fill="FFFFFF"/>
            <w:noWrap/>
            <w:hideMark/>
          </w:tcPr>
          <w:p w14:paraId="6113C25B"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4E1411D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-0.01</w:t>
            </w:r>
          </w:p>
        </w:tc>
        <w:tc>
          <w:tcPr>
            <w:tcW w:w="627" w:type="dxa"/>
            <w:tcBorders>
              <w:top w:val="nil"/>
              <w:left w:val="nil"/>
              <w:bottom w:val="nil"/>
              <w:right w:val="nil"/>
            </w:tcBorders>
            <w:shd w:val="clear" w:color="000000" w:fill="FFFFFF"/>
            <w:noWrap/>
            <w:hideMark/>
          </w:tcPr>
          <w:p w14:paraId="72FE78AB"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0.99</w:t>
            </w:r>
          </w:p>
        </w:tc>
        <w:tc>
          <w:tcPr>
            <w:tcW w:w="740" w:type="dxa"/>
            <w:tcBorders>
              <w:top w:val="nil"/>
              <w:left w:val="nil"/>
              <w:bottom w:val="nil"/>
              <w:right w:val="nil"/>
            </w:tcBorders>
            <w:shd w:val="clear" w:color="000000" w:fill="FFFFFF"/>
            <w:noWrap/>
            <w:hideMark/>
          </w:tcPr>
          <w:p w14:paraId="27681E1A"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-3.63</w:t>
            </w:r>
          </w:p>
        </w:tc>
        <w:tc>
          <w:tcPr>
            <w:tcW w:w="627" w:type="dxa"/>
            <w:tcBorders>
              <w:top w:val="nil"/>
              <w:left w:val="nil"/>
              <w:bottom w:val="nil"/>
              <w:right w:val="nil"/>
            </w:tcBorders>
            <w:shd w:val="clear" w:color="000000" w:fill="FFFFFF"/>
            <w:noWrap/>
            <w:hideMark/>
          </w:tcPr>
          <w:p w14:paraId="60578729"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-0.11</w:t>
            </w:r>
          </w:p>
        </w:tc>
        <w:tc>
          <w:tcPr>
            <w:tcW w:w="718" w:type="dxa"/>
            <w:tcBorders>
              <w:top w:val="nil"/>
              <w:left w:val="nil"/>
              <w:bottom w:val="nil"/>
              <w:right w:val="single" w:sz="4" w:space="0" w:color="auto"/>
            </w:tcBorders>
            <w:shd w:val="clear" w:color="000000" w:fill="FFFFFF"/>
            <w:noWrap/>
            <w:hideMark/>
          </w:tcPr>
          <w:p w14:paraId="18E9272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5.73</w:t>
            </w:r>
          </w:p>
        </w:tc>
      </w:tr>
      <w:tr w:rsidR="00151036" w:rsidRPr="00151036" w14:paraId="56309C4F" w14:textId="77777777" w:rsidTr="00537D7E">
        <w:trPr>
          <w:trHeight w:val="300"/>
        </w:trPr>
        <w:tc>
          <w:tcPr>
            <w:tcW w:w="3430" w:type="dxa"/>
            <w:tcBorders>
              <w:top w:val="nil"/>
              <w:left w:val="single" w:sz="4" w:space="0" w:color="auto"/>
              <w:bottom w:val="nil"/>
              <w:right w:val="nil"/>
            </w:tcBorders>
            <w:shd w:val="clear" w:color="000000" w:fill="FFFFFF"/>
            <w:noWrap/>
            <w:hideMark/>
          </w:tcPr>
          <w:p w14:paraId="2A598C84"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CPI_C_1y</w:t>
            </w:r>
          </w:p>
        </w:tc>
        <w:tc>
          <w:tcPr>
            <w:tcW w:w="854" w:type="dxa"/>
            <w:tcBorders>
              <w:top w:val="nil"/>
              <w:left w:val="nil"/>
              <w:bottom w:val="nil"/>
              <w:right w:val="nil"/>
            </w:tcBorders>
            <w:shd w:val="clear" w:color="000000" w:fill="FFFFFF"/>
            <w:noWrap/>
            <w:hideMark/>
          </w:tcPr>
          <w:p w14:paraId="48706BF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1BEA853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2.89</w:t>
            </w:r>
          </w:p>
        </w:tc>
        <w:tc>
          <w:tcPr>
            <w:tcW w:w="627" w:type="dxa"/>
            <w:tcBorders>
              <w:top w:val="nil"/>
              <w:left w:val="nil"/>
              <w:bottom w:val="nil"/>
              <w:right w:val="nil"/>
            </w:tcBorders>
            <w:shd w:val="clear" w:color="000000" w:fill="FFFFFF"/>
            <w:noWrap/>
            <w:hideMark/>
          </w:tcPr>
          <w:p w14:paraId="0F04BE49"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4.10</w:t>
            </w:r>
          </w:p>
        </w:tc>
        <w:tc>
          <w:tcPr>
            <w:tcW w:w="740" w:type="dxa"/>
            <w:tcBorders>
              <w:top w:val="nil"/>
              <w:left w:val="nil"/>
              <w:bottom w:val="nil"/>
              <w:right w:val="nil"/>
            </w:tcBorders>
            <w:shd w:val="clear" w:color="000000" w:fill="FFFFFF"/>
            <w:noWrap/>
            <w:hideMark/>
          </w:tcPr>
          <w:p w14:paraId="4404B84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-54.50</w:t>
            </w:r>
          </w:p>
        </w:tc>
        <w:tc>
          <w:tcPr>
            <w:tcW w:w="627" w:type="dxa"/>
            <w:tcBorders>
              <w:top w:val="nil"/>
              <w:left w:val="nil"/>
              <w:bottom w:val="nil"/>
              <w:right w:val="nil"/>
            </w:tcBorders>
            <w:shd w:val="clear" w:color="000000" w:fill="FFFFFF"/>
            <w:noWrap/>
            <w:hideMark/>
          </w:tcPr>
          <w:p w14:paraId="041F749C"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2.16</w:t>
            </w:r>
          </w:p>
        </w:tc>
        <w:tc>
          <w:tcPr>
            <w:tcW w:w="718" w:type="dxa"/>
            <w:tcBorders>
              <w:top w:val="nil"/>
              <w:left w:val="nil"/>
              <w:bottom w:val="nil"/>
              <w:right w:val="single" w:sz="4" w:space="0" w:color="auto"/>
            </w:tcBorders>
            <w:shd w:val="clear" w:color="000000" w:fill="FFFFFF"/>
            <w:noWrap/>
            <w:hideMark/>
          </w:tcPr>
          <w:p w14:paraId="45C94A3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72.00</w:t>
            </w:r>
          </w:p>
        </w:tc>
      </w:tr>
      <w:tr w:rsidR="00151036" w:rsidRPr="00151036" w14:paraId="7C0F1E14" w14:textId="77777777" w:rsidTr="00537D7E">
        <w:trPr>
          <w:trHeight w:val="300"/>
        </w:trPr>
        <w:tc>
          <w:tcPr>
            <w:tcW w:w="3430" w:type="dxa"/>
            <w:tcBorders>
              <w:top w:val="nil"/>
              <w:left w:val="single" w:sz="4" w:space="0" w:color="auto"/>
              <w:bottom w:val="nil"/>
              <w:right w:val="nil"/>
            </w:tcBorders>
            <w:shd w:val="clear" w:color="000000" w:fill="FFFFFF"/>
            <w:noWrap/>
            <w:hideMark/>
          </w:tcPr>
          <w:p w14:paraId="21E9605D"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Credit_GDP_ratio_PctC_2y</w:t>
            </w:r>
          </w:p>
        </w:tc>
        <w:tc>
          <w:tcPr>
            <w:tcW w:w="854" w:type="dxa"/>
            <w:tcBorders>
              <w:top w:val="nil"/>
              <w:left w:val="nil"/>
              <w:bottom w:val="nil"/>
              <w:right w:val="nil"/>
            </w:tcBorders>
            <w:shd w:val="clear" w:color="000000" w:fill="FFFFFF"/>
            <w:noWrap/>
            <w:hideMark/>
          </w:tcPr>
          <w:p w14:paraId="1122853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745D2FA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0.05</w:t>
            </w:r>
          </w:p>
        </w:tc>
        <w:tc>
          <w:tcPr>
            <w:tcW w:w="627" w:type="dxa"/>
            <w:tcBorders>
              <w:top w:val="nil"/>
              <w:left w:val="nil"/>
              <w:bottom w:val="nil"/>
              <w:right w:val="nil"/>
            </w:tcBorders>
            <w:shd w:val="clear" w:color="000000" w:fill="FFFFFF"/>
            <w:noWrap/>
            <w:hideMark/>
          </w:tcPr>
          <w:p w14:paraId="35F9D4A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0.12</w:t>
            </w:r>
          </w:p>
        </w:tc>
        <w:tc>
          <w:tcPr>
            <w:tcW w:w="740" w:type="dxa"/>
            <w:tcBorders>
              <w:top w:val="nil"/>
              <w:left w:val="nil"/>
              <w:bottom w:val="nil"/>
              <w:right w:val="nil"/>
            </w:tcBorders>
            <w:shd w:val="clear" w:color="000000" w:fill="FFFFFF"/>
            <w:noWrap/>
            <w:hideMark/>
          </w:tcPr>
          <w:p w14:paraId="4C5F4941"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-0.65</w:t>
            </w:r>
          </w:p>
        </w:tc>
        <w:tc>
          <w:tcPr>
            <w:tcW w:w="627" w:type="dxa"/>
            <w:tcBorders>
              <w:top w:val="nil"/>
              <w:left w:val="nil"/>
              <w:bottom w:val="nil"/>
              <w:right w:val="nil"/>
            </w:tcBorders>
            <w:shd w:val="clear" w:color="000000" w:fill="FFFFFF"/>
            <w:noWrap/>
            <w:hideMark/>
          </w:tcPr>
          <w:p w14:paraId="7E8A2CDC"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0.04</w:t>
            </w:r>
          </w:p>
        </w:tc>
        <w:tc>
          <w:tcPr>
            <w:tcW w:w="718" w:type="dxa"/>
            <w:tcBorders>
              <w:top w:val="nil"/>
              <w:left w:val="nil"/>
              <w:bottom w:val="nil"/>
              <w:right w:val="single" w:sz="4" w:space="0" w:color="auto"/>
            </w:tcBorders>
            <w:shd w:val="clear" w:color="000000" w:fill="FFFFFF"/>
            <w:noWrap/>
            <w:hideMark/>
          </w:tcPr>
          <w:p w14:paraId="15E7E37E"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1.23</w:t>
            </w:r>
          </w:p>
        </w:tc>
      </w:tr>
      <w:tr w:rsidR="00151036" w:rsidRPr="00151036" w14:paraId="16DB5F77" w14:textId="77777777" w:rsidTr="00537D7E">
        <w:trPr>
          <w:trHeight w:val="300"/>
        </w:trPr>
        <w:tc>
          <w:tcPr>
            <w:tcW w:w="3430" w:type="dxa"/>
            <w:tcBorders>
              <w:top w:val="nil"/>
              <w:left w:val="single" w:sz="4" w:space="0" w:color="auto"/>
              <w:bottom w:val="nil"/>
              <w:right w:val="nil"/>
            </w:tcBorders>
            <w:shd w:val="clear" w:color="000000" w:fill="FFFFFF"/>
            <w:noWrap/>
            <w:hideMark/>
          </w:tcPr>
          <w:p w14:paraId="6B01E624"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Credit_GDP_gap_PctC_2y</w:t>
            </w:r>
          </w:p>
        </w:tc>
        <w:tc>
          <w:tcPr>
            <w:tcW w:w="854" w:type="dxa"/>
            <w:tcBorders>
              <w:top w:val="nil"/>
              <w:left w:val="nil"/>
              <w:bottom w:val="nil"/>
              <w:right w:val="nil"/>
            </w:tcBorders>
            <w:shd w:val="clear" w:color="000000" w:fill="FFFFFF"/>
            <w:noWrap/>
            <w:hideMark/>
          </w:tcPr>
          <w:p w14:paraId="42E6DD1A"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2DBD092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-0.43</w:t>
            </w:r>
          </w:p>
        </w:tc>
        <w:tc>
          <w:tcPr>
            <w:tcW w:w="627" w:type="dxa"/>
            <w:tcBorders>
              <w:top w:val="nil"/>
              <w:left w:val="nil"/>
              <w:bottom w:val="nil"/>
              <w:right w:val="nil"/>
            </w:tcBorders>
            <w:shd w:val="clear" w:color="000000" w:fill="FFFFFF"/>
            <w:noWrap/>
            <w:hideMark/>
          </w:tcPr>
          <w:p w14:paraId="481628A4"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10.40</w:t>
            </w:r>
          </w:p>
        </w:tc>
        <w:tc>
          <w:tcPr>
            <w:tcW w:w="740" w:type="dxa"/>
            <w:tcBorders>
              <w:top w:val="nil"/>
              <w:left w:val="nil"/>
              <w:bottom w:val="nil"/>
              <w:right w:val="nil"/>
            </w:tcBorders>
            <w:shd w:val="clear" w:color="000000" w:fill="FFFFFF"/>
            <w:noWrap/>
            <w:hideMark/>
          </w:tcPr>
          <w:p w14:paraId="1521E9E2"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-434.15</w:t>
            </w:r>
          </w:p>
        </w:tc>
        <w:tc>
          <w:tcPr>
            <w:tcW w:w="627" w:type="dxa"/>
            <w:tcBorders>
              <w:top w:val="nil"/>
              <w:left w:val="nil"/>
              <w:bottom w:val="nil"/>
              <w:right w:val="nil"/>
            </w:tcBorders>
            <w:shd w:val="clear" w:color="000000" w:fill="FFFFFF"/>
            <w:noWrap/>
            <w:hideMark/>
          </w:tcPr>
          <w:p w14:paraId="51162F7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-0.18</w:t>
            </w:r>
          </w:p>
        </w:tc>
        <w:tc>
          <w:tcPr>
            <w:tcW w:w="718" w:type="dxa"/>
            <w:tcBorders>
              <w:top w:val="nil"/>
              <w:left w:val="nil"/>
              <w:bottom w:val="nil"/>
              <w:right w:val="single" w:sz="4" w:space="0" w:color="auto"/>
            </w:tcBorders>
            <w:shd w:val="clear" w:color="000000" w:fill="FFFFFF"/>
            <w:noWrap/>
            <w:hideMark/>
          </w:tcPr>
          <w:p w14:paraId="5B2789B9"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125.00</w:t>
            </w:r>
          </w:p>
        </w:tc>
      </w:tr>
      <w:tr w:rsidR="00151036" w:rsidRPr="00151036" w14:paraId="5C6021F4" w14:textId="77777777" w:rsidTr="00537D7E">
        <w:trPr>
          <w:trHeight w:val="300"/>
        </w:trPr>
        <w:tc>
          <w:tcPr>
            <w:tcW w:w="3430" w:type="dxa"/>
            <w:tcBorders>
              <w:top w:val="nil"/>
              <w:left w:val="single" w:sz="4" w:space="0" w:color="auto"/>
              <w:bottom w:val="nil"/>
              <w:right w:val="nil"/>
            </w:tcBorders>
            <w:shd w:val="clear" w:color="000000" w:fill="FFFFFF"/>
            <w:noWrap/>
            <w:hideMark/>
          </w:tcPr>
          <w:p w14:paraId="78EA293A"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Liquid_asset_ratio_PctC_2y</w:t>
            </w:r>
          </w:p>
        </w:tc>
        <w:tc>
          <w:tcPr>
            <w:tcW w:w="854" w:type="dxa"/>
            <w:tcBorders>
              <w:top w:val="nil"/>
              <w:left w:val="nil"/>
              <w:bottom w:val="nil"/>
              <w:right w:val="nil"/>
            </w:tcBorders>
            <w:shd w:val="clear" w:color="000000" w:fill="FFFFFF"/>
            <w:noWrap/>
            <w:hideMark/>
          </w:tcPr>
          <w:p w14:paraId="4A3C7D79"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0DA657E9"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0.01</w:t>
            </w:r>
          </w:p>
        </w:tc>
        <w:tc>
          <w:tcPr>
            <w:tcW w:w="627" w:type="dxa"/>
            <w:tcBorders>
              <w:top w:val="nil"/>
              <w:left w:val="nil"/>
              <w:bottom w:val="nil"/>
              <w:right w:val="nil"/>
            </w:tcBorders>
            <w:shd w:val="clear" w:color="000000" w:fill="FFFFFF"/>
            <w:noWrap/>
            <w:hideMark/>
          </w:tcPr>
          <w:p w14:paraId="41874E07"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0.16</w:t>
            </w:r>
          </w:p>
        </w:tc>
        <w:tc>
          <w:tcPr>
            <w:tcW w:w="740" w:type="dxa"/>
            <w:tcBorders>
              <w:top w:val="nil"/>
              <w:left w:val="nil"/>
              <w:bottom w:val="nil"/>
              <w:right w:val="nil"/>
            </w:tcBorders>
            <w:shd w:val="clear" w:color="000000" w:fill="FFFFFF"/>
            <w:noWrap/>
            <w:hideMark/>
          </w:tcPr>
          <w:p w14:paraId="7EC927D9"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-0.73</w:t>
            </w:r>
          </w:p>
        </w:tc>
        <w:tc>
          <w:tcPr>
            <w:tcW w:w="627" w:type="dxa"/>
            <w:tcBorders>
              <w:top w:val="nil"/>
              <w:left w:val="nil"/>
              <w:bottom w:val="nil"/>
              <w:right w:val="nil"/>
            </w:tcBorders>
            <w:shd w:val="clear" w:color="000000" w:fill="FFFFFF"/>
            <w:noWrap/>
            <w:hideMark/>
          </w:tcPr>
          <w:p w14:paraId="060AB0B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-0.00</w:t>
            </w:r>
          </w:p>
        </w:tc>
        <w:tc>
          <w:tcPr>
            <w:tcW w:w="718" w:type="dxa"/>
            <w:tcBorders>
              <w:top w:val="nil"/>
              <w:left w:val="nil"/>
              <w:bottom w:val="nil"/>
              <w:right w:val="single" w:sz="4" w:space="0" w:color="auto"/>
            </w:tcBorders>
            <w:shd w:val="clear" w:color="000000" w:fill="FFFFFF"/>
            <w:noWrap/>
            <w:hideMark/>
          </w:tcPr>
          <w:p w14:paraId="6329F9C7"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1.84</w:t>
            </w:r>
          </w:p>
        </w:tc>
      </w:tr>
      <w:tr w:rsidR="00151036" w:rsidRPr="00151036" w14:paraId="57E501F3" w14:textId="77777777" w:rsidTr="00537D7E">
        <w:trPr>
          <w:trHeight w:val="300"/>
        </w:trPr>
        <w:tc>
          <w:tcPr>
            <w:tcW w:w="3430" w:type="dxa"/>
            <w:tcBorders>
              <w:top w:val="nil"/>
              <w:left w:val="single" w:sz="4" w:space="0" w:color="auto"/>
              <w:bottom w:val="nil"/>
              <w:right w:val="nil"/>
            </w:tcBorders>
            <w:shd w:val="clear" w:color="000000" w:fill="FFFFFF"/>
            <w:noWrap/>
            <w:hideMark/>
          </w:tcPr>
          <w:p w14:paraId="6F038599"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RPP_Real_PctC_3y</w:t>
            </w:r>
          </w:p>
        </w:tc>
        <w:tc>
          <w:tcPr>
            <w:tcW w:w="854" w:type="dxa"/>
            <w:tcBorders>
              <w:top w:val="nil"/>
              <w:left w:val="nil"/>
              <w:bottom w:val="nil"/>
              <w:right w:val="nil"/>
            </w:tcBorders>
            <w:shd w:val="clear" w:color="000000" w:fill="FFFFFF"/>
            <w:noWrap/>
            <w:hideMark/>
          </w:tcPr>
          <w:p w14:paraId="7529375D"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493DE37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0.08</w:t>
            </w:r>
          </w:p>
        </w:tc>
        <w:tc>
          <w:tcPr>
            <w:tcW w:w="627" w:type="dxa"/>
            <w:tcBorders>
              <w:top w:val="nil"/>
              <w:left w:val="nil"/>
              <w:bottom w:val="nil"/>
              <w:right w:val="nil"/>
            </w:tcBorders>
            <w:shd w:val="clear" w:color="000000" w:fill="FFFFFF"/>
            <w:noWrap/>
            <w:hideMark/>
          </w:tcPr>
          <w:p w14:paraId="664D4A9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0.19</w:t>
            </w:r>
          </w:p>
        </w:tc>
        <w:tc>
          <w:tcPr>
            <w:tcW w:w="740" w:type="dxa"/>
            <w:tcBorders>
              <w:top w:val="nil"/>
              <w:left w:val="nil"/>
              <w:bottom w:val="nil"/>
              <w:right w:val="nil"/>
            </w:tcBorders>
            <w:shd w:val="clear" w:color="000000" w:fill="FFFFFF"/>
            <w:noWrap/>
            <w:hideMark/>
          </w:tcPr>
          <w:p w14:paraId="3E33595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-0.45</w:t>
            </w:r>
          </w:p>
        </w:tc>
        <w:tc>
          <w:tcPr>
            <w:tcW w:w="627" w:type="dxa"/>
            <w:tcBorders>
              <w:top w:val="nil"/>
              <w:left w:val="nil"/>
              <w:bottom w:val="nil"/>
              <w:right w:val="nil"/>
            </w:tcBorders>
            <w:shd w:val="clear" w:color="000000" w:fill="FFFFFF"/>
            <w:noWrap/>
            <w:hideMark/>
          </w:tcPr>
          <w:p w14:paraId="52F69028"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0.06</w:t>
            </w:r>
          </w:p>
        </w:tc>
        <w:tc>
          <w:tcPr>
            <w:tcW w:w="718" w:type="dxa"/>
            <w:tcBorders>
              <w:top w:val="nil"/>
              <w:left w:val="nil"/>
              <w:bottom w:val="nil"/>
              <w:right w:val="single" w:sz="4" w:space="0" w:color="auto"/>
            </w:tcBorders>
            <w:shd w:val="clear" w:color="000000" w:fill="FFFFFF"/>
            <w:noWrap/>
            <w:hideMark/>
          </w:tcPr>
          <w:p w14:paraId="5805218D"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1.12</w:t>
            </w:r>
          </w:p>
        </w:tc>
      </w:tr>
      <w:tr w:rsidR="00151036" w:rsidRPr="00151036" w14:paraId="005B9796" w14:textId="77777777" w:rsidTr="00537D7E">
        <w:trPr>
          <w:trHeight w:val="300"/>
        </w:trPr>
        <w:tc>
          <w:tcPr>
            <w:tcW w:w="3430" w:type="dxa"/>
            <w:tcBorders>
              <w:top w:val="nil"/>
              <w:left w:val="single" w:sz="4" w:space="0" w:color="auto"/>
              <w:bottom w:val="nil"/>
              <w:right w:val="nil"/>
            </w:tcBorders>
            <w:shd w:val="clear" w:color="000000" w:fill="FFFFFF"/>
            <w:noWrap/>
            <w:hideMark/>
          </w:tcPr>
          <w:p w14:paraId="0788BE6B"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Provisions/NPL_C_2y</w:t>
            </w:r>
          </w:p>
        </w:tc>
        <w:tc>
          <w:tcPr>
            <w:tcW w:w="854" w:type="dxa"/>
            <w:tcBorders>
              <w:top w:val="nil"/>
              <w:left w:val="nil"/>
              <w:bottom w:val="nil"/>
              <w:right w:val="nil"/>
            </w:tcBorders>
            <w:shd w:val="clear" w:color="000000" w:fill="FFFFFF"/>
            <w:noWrap/>
            <w:hideMark/>
          </w:tcPr>
          <w:p w14:paraId="23FDBB02"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57FBEEAD"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0.53</w:t>
            </w:r>
          </w:p>
        </w:tc>
        <w:tc>
          <w:tcPr>
            <w:tcW w:w="627" w:type="dxa"/>
            <w:tcBorders>
              <w:top w:val="nil"/>
              <w:left w:val="nil"/>
              <w:bottom w:val="nil"/>
              <w:right w:val="nil"/>
            </w:tcBorders>
            <w:shd w:val="clear" w:color="000000" w:fill="FFFFFF"/>
            <w:noWrap/>
            <w:hideMark/>
          </w:tcPr>
          <w:p w14:paraId="77005077"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16.28</w:t>
            </w:r>
          </w:p>
        </w:tc>
        <w:tc>
          <w:tcPr>
            <w:tcW w:w="740" w:type="dxa"/>
            <w:tcBorders>
              <w:top w:val="nil"/>
              <w:left w:val="nil"/>
              <w:bottom w:val="nil"/>
              <w:right w:val="nil"/>
            </w:tcBorders>
            <w:shd w:val="clear" w:color="000000" w:fill="FFFFFF"/>
            <w:noWrap/>
            <w:hideMark/>
          </w:tcPr>
          <w:p w14:paraId="621BDB77"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-169.40</w:t>
            </w:r>
          </w:p>
        </w:tc>
        <w:tc>
          <w:tcPr>
            <w:tcW w:w="627" w:type="dxa"/>
            <w:tcBorders>
              <w:top w:val="nil"/>
              <w:left w:val="nil"/>
              <w:bottom w:val="nil"/>
              <w:right w:val="nil"/>
            </w:tcBorders>
            <w:shd w:val="clear" w:color="000000" w:fill="FFFFFF"/>
            <w:noWrap/>
            <w:hideMark/>
          </w:tcPr>
          <w:p w14:paraId="61BF5658"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0.36</w:t>
            </w:r>
          </w:p>
        </w:tc>
        <w:tc>
          <w:tcPr>
            <w:tcW w:w="718" w:type="dxa"/>
            <w:tcBorders>
              <w:top w:val="nil"/>
              <w:left w:val="nil"/>
              <w:bottom w:val="nil"/>
              <w:right w:val="single" w:sz="4" w:space="0" w:color="auto"/>
            </w:tcBorders>
            <w:shd w:val="clear" w:color="000000" w:fill="FFFFFF"/>
            <w:noWrap/>
            <w:hideMark/>
          </w:tcPr>
          <w:p w14:paraId="04606050"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99.23</w:t>
            </w:r>
          </w:p>
        </w:tc>
      </w:tr>
      <w:tr w:rsidR="00151036" w:rsidRPr="00151036" w14:paraId="1E5DC140" w14:textId="77777777" w:rsidTr="00537D7E">
        <w:trPr>
          <w:trHeight w:val="300"/>
        </w:trPr>
        <w:tc>
          <w:tcPr>
            <w:tcW w:w="3430" w:type="dxa"/>
            <w:tcBorders>
              <w:top w:val="nil"/>
              <w:left w:val="single" w:sz="4" w:space="0" w:color="auto"/>
              <w:bottom w:val="nil"/>
              <w:right w:val="nil"/>
            </w:tcBorders>
            <w:shd w:val="clear" w:color="000000" w:fill="FFFFFF"/>
            <w:noWrap/>
            <w:hideMark/>
          </w:tcPr>
          <w:p w14:paraId="54D303A6"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Bank_liabilities_MC_normalized_C_1y</w:t>
            </w:r>
          </w:p>
        </w:tc>
        <w:tc>
          <w:tcPr>
            <w:tcW w:w="854" w:type="dxa"/>
            <w:tcBorders>
              <w:top w:val="nil"/>
              <w:left w:val="nil"/>
              <w:bottom w:val="nil"/>
              <w:right w:val="nil"/>
            </w:tcBorders>
            <w:shd w:val="clear" w:color="000000" w:fill="FFFFFF"/>
            <w:noWrap/>
            <w:hideMark/>
          </w:tcPr>
          <w:p w14:paraId="3E3FCCF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30A65FBE"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0.06</w:t>
            </w:r>
          </w:p>
        </w:tc>
        <w:tc>
          <w:tcPr>
            <w:tcW w:w="627" w:type="dxa"/>
            <w:tcBorders>
              <w:top w:val="nil"/>
              <w:left w:val="nil"/>
              <w:bottom w:val="nil"/>
              <w:right w:val="nil"/>
            </w:tcBorders>
            <w:shd w:val="clear" w:color="000000" w:fill="FFFFFF"/>
            <w:noWrap/>
            <w:hideMark/>
          </w:tcPr>
          <w:p w14:paraId="79B3D137"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0.45</w:t>
            </w:r>
          </w:p>
        </w:tc>
        <w:tc>
          <w:tcPr>
            <w:tcW w:w="740" w:type="dxa"/>
            <w:tcBorders>
              <w:top w:val="nil"/>
              <w:left w:val="nil"/>
              <w:bottom w:val="nil"/>
              <w:right w:val="nil"/>
            </w:tcBorders>
            <w:shd w:val="clear" w:color="000000" w:fill="FFFFFF"/>
            <w:noWrap/>
            <w:hideMark/>
          </w:tcPr>
          <w:p w14:paraId="026E18FB"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-4.73</w:t>
            </w:r>
          </w:p>
        </w:tc>
        <w:tc>
          <w:tcPr>
            <w:tcW w:w="627" w:type="dxa"/>
            <w:tcBorders>
              <w:top w:val="nil"/>
              <w:left w:val="nil"/>
              <w:bottom w:val="nil"/>
              <w:right w:val="nil"/>
            </w:tcBorders>
            <w:shd w:val="clear" w:color="000000" w:fill="FFFFFF"/>
            <w:noWrap/>
            <w:hideMark/>
          </w:tcPr>
          <w:p w14:paraId="54C0FB2C"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0.01</w:t>
            </w:r>
          </w:p>
        </w:tc>
        <w:tc>
          <w:tcPr>
            <w:tcW w:w="718" w:type="dxa"/>
            <w:tcBorders>
              <w:top w:val="nil"/>
              <w:left w:val="nil"/>
              <w:bottom w:val="nil"/>
              <w:right w:val="single" w:sz="4" w:space="0" w:color="auto"/>
            </w:tcBorders>
            <w:shd w:val="clear" w:color="000000" w:fill="FFFFFF"/>
            <w:noWrap/>
            <w:hideMark/>
          </w:tcPr>
          <w:p w14:paraId="0A70A45A"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3.77</w:t>
            </w:r>
          </w:p>
        </w:tc>
      </w:tr>
      <w:tr w:rsidR="00151036" w:rsidRPr="00151036" w14:paraId="75AD41FA" w14:textId="77777777" w:rsidTr="00537D7E">
        <w:trPr>
          <w:trHeight w:val="300"/>
        </w:trPr>
        <w:tc>
          <w:tcPr>
            <w:tcW w:w="3430" w:type="dxa"/>
            <w:tcBorders>
              <w:top w:val="nil"/>
              <w:left w:val="single" w:sz="4" w:space="0" w:color="auto"/>
              <w:bottom w:val="nil"/>
              <w:right w:val="nil"/>
            </w:tcBorders>
            <w:shd w:val="clear" w:color="000000" w:fill="FFFFFF"/>
            <w:noWrap/>
            <w:hideMark/>
          </w:tcPr>
          <w:p w14:paraId="0DCB82B4"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RRE/Loans_PctC_1y</w:t>
            </w:r>
          </w:p>
        </w:tc>
        <w:tc>
          <w:tcPr>
            <w:tcW w:w="854" w:type="dxa"/>
            <w:tcBorders>
              <w:top w:val="nil"/>
              <w:left w:val="nil"/>
              <w:bottom w:val="nil"/>
              <w:right w:val="nil"/>
            </w:tcBorders>
            <w:shd w:val="clear" w:color="000000" w:fill="FFFFFF"/>
            <w:noWrap/>
            <w:hideMark/>
          </w:tcPr>
          <w:p w14:paraId="5361EDA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6EE8388D"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0.20</w:t>
            </w:r>
          </w:p>
        </w:tc>
        <w:tc>
          <w:tcPr>
            <w:tcW w:w="627" w:type="dxa"/>
            <w:tcBorders>
              <w:top w:val="nil"/>
              <w:left w:val="nil"/>
              <w:bottom w:val="nil"/>
              <w:right w:val="nil"/>
            </w:tcBorders>
            <w:shd w:val="clear" w:color="000000" w:fill="FFFFFF"/>
            <w:noWrap/>
            <w:hideMark/>
          </w:tcPr>
          <w:p w14:paraId="5DCE5B3A"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2.11</w:t>
            </w:r>
          </w:p>
        </w:tc>
        <w:tc>
          <w:tcPr>
            <w:tcW w:w="740" w:type="dxa"/>
            <w:tcBorders>
              <w:top w:val="nil"/>
              <w:left w:val="nil"/>
              <w:bottom w:val="nil"/>
              <w:right w:val="nil"/>
            </w:tcBorders>
            <w:shd w:val="clear" w:color="000000" w:fill="FFFFFF"/>
            <w:noWrap/>
            <w:hideMark/>
          </w:tcPr>
          <w:p w14:paraId="508EB06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-0.98</w:t>
            </w:r>
          </w:p>
        </w:tc>
        <w:tc>
          <w:tcPr>
            <w:tcW w:w="627" w:type="dxa"/>
            <w:tcBorders>
              <w:top w:val="nil"/>
              <w:left w:val="nil"/>
              <w:bottom w:val="nil"/>
              <w:right w:val="nil"/>
            </w:tcBorders>
            <w:shd w:val="clear" w:color="000000" w:fill="FFFFFF"/>
            <w:noWrap/>
            <w:hideMark/>
          </w:tcPr>
          <w:p w14:paraId="0D11AA8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0.01</w:t>
            </w:r>
          </w:p>
        </w:tc>
        <w:tc>
          <w:tcPr>
            <w:tcW w:w="718" w:type="dxa"/>
            <w:tcBorders>
              <w:top w:val="nil"/>
              <w:left w:val="nil"/>
              <w:bottom w:val="nil"/>
              <w:right w:val="single" w:sz="4" w:space="0" w:color="auto"/>
            </w:tcBorders>
            <w:shd w:val="clear" w:color="000000" w:fill="FFFFFF"/>
            <w:noWrap/>
            <w:hideMark/>
          </w:tcPr>
          <w:p w14:paraId="79C7810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57.52</w:t>
            </w:r>
          </w:p>
        </w:tc>
      </w:tr>
      <w:tr w:rsidR="00151036" w:rsidRPr="00151036" w14:paraId="78A1D85C" w14:textId="77777777" w:rsidTr="00537D7E">
        <w:trPr>
          <w:trHeight w:val="300"/>
        </w:trPr>
        <w:tc>
          <w:tcPr>
            <w:tcW w:w="3430" w:type="dxa"/>
            <w:tcBorders>
              <w:top w:val="nil"/>
              <w:left w:val="single" w:sz="4" w:space="0" w:color="auto"/>
              <w:bottom w:val="nil"/>
              <w:right w:val="nil"/>
            </w:tcBorders>
            <w:shd w:val="clear" w:color="000000" w:fill="FFFFFF"/>
            <w:noWrap/>
            <w:hideMark/>
          </w:tcPr>
          <w:p w14:paraId="12C9179F"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Interest_margin/Income_normalized_C_2y</w:t>
            </w:r>
          </w:p>
        </w:tc>
        <w:tc>
          <w:tcPr>
            <w:tcW w:w="854" w:type="dxa"/>
            <w:tcBorders>
              <w:top w:val="nil"/>
              <w:left w:val="nil"/>
              <w:bottom w:val="nil"/>
              <w:right w:val="nil"/>
            </w:tcBorders>
            <w:shd w:val="clear" w:color="000000" w:fill="FFFFFF"/>
            <w:noWrap/>
            <w:hideMark/>
          </w:tcPr>
          <w:p w14:paraId="479BF5B8"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452E6E3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0.02</w:t>
            </w:r>
          </w:p>
        </w:tc>
        <w:tc>
          <w:tcPr>
            <w:tcW w:w="627" w:type="dxa"/>
            <w:tcBorders>
              <w:top w:val="nil"/>
              <w:left w:val="nil"/>
              <w:bottom w:val="nil"/>
              <w:right w:val="nil"/>
            </w:tcBorders>
            <w:shd w:val="clear" w:color="000000" w:fill="FFFFFF"/>
            <w:noWrap/>
            <w:hideMark/>
          </w:tcPr>
          <w:p w14:paraId="2146C358"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1.29</w:t>
            </w:r>
          </w:p>
        </w:tc>
        <w:tc>
          <w:tcPr>
            <w:tcW w:w="740" w:type="dxa"/>
            <w:tcBorders>
              <w:top w:val="nil"/>
              <w:left w:val="nil"/>
              <w:bottom w:val="nil"/>
              <w:right w:val="nil"/>
            </w:tcBorders>
            <w:shd w:val="clear" w:color="000000" w:fill="FFFFFF"/>
            <w:noWrap/>
            <w:hideMark/>
          </w:tcPr>
          <w:p w14:paraId="32C0C38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-10.64</w:t>
            </w:r>
          </w:p>
        </w:tc>
        <w:tc>
          <w:tcPr>
            <w:tcW w:w="627" w:type="dxa"/>
            <w:tcBorders>
              <w:top w:val="nil"/>
              <w:left w:val="nil"/>
              <w:bottom w:val="nil"/>
              <w:right w:val="nil"/>
            </w:tcBorders>
            <w:shd w:val="clear" w:color="000000" w:fill="FFFFFF"/>
            <w:noWrap/>
            <w:hideMark/>
          </w:tcPr>
          <w:p w14:paraId="28194970"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0.02</w:t>
            </w:r>
          </w:p>
        </w:tc>
        <w:tc>
          <w:tcPr>
            <w:tcW w:w="718" w:type="dxa"/>
            <w:tcBorders>
              <w:top w:val="nil"/>
              <w:left w:val="nil"/>
              <w:bottom w:val="nil"/>
              <w:right w:val="single" w:sz="4" w:space="0" w:color="auto"/>
            </w:tcBorders>
            <w:shd w:val="clear" w:color="000000" w:fill="FFFFFF"/>
            <w:noWrap/>
            <w:hideMark/>
          </w:tcPr>
          <w:p w14:paraId="6D23272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10.96</w:t>
            </w:r>
          </w:p>
        </w:tc>
      </w:tr>
      <w:tr w:rsidR="00151036" w:rsidRPr="00151036" w14:paraId="1A0D7B34" w14:textId="77777777" w:rsidTr="00537D7E">
        <w:trPr>
          <w:trHeight w:val="300"/>
        </w:trPr>
        <w:tc>
          <w:tcPr>
            <w:tcW w:w="3430" w:type="dxa"/>
            <w:tcBorders>
              <w:top w:val="nil"/>
              <w:left w:val="single" w:sz="4" w:space="0" w:color="auto"/>
              <w:bottom w:val="nil"/>
              <w:right w:val="nil"/>
            </w:tcBorders>
            <w:shd w:val="clear" w:color="000000" w:fill="FFFFFF"/>
            <w:noWrap/>
            <w:hideMark/>
          </w:tcPr>
          <w:p w14:paraId="73F62F7D"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CAR_T1_lag_3_PctC_1y</w:t>
            </w:r>
          </w:p>
        </w:tc>
        <w:tc>
          <w:tcPr>
            <w:tcW w:w="854" w:type="dxa"/>
            <w:tcBorders>
              <w:top w:val="nil"/>
              <w:left w:val="nil"/>
              <w:bottom w:val="nil"/>
              <w:right w:val="nil"/>
            </w:tcBorders>
            <w:shd w:val="clear" w:color="000000" w:fill="FFFFFF"/>
            <w:noWrap/>
            <w:hideMark/>
          </w:tcPr>
          <w:p w14:paraId="4688C82B"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0873F9E8"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0.02</w:t>
            </w:r>
          </w:p>
        </w:tc>
        <w:tc>
          <w:tcPr>
            <w:tcW w:w="627" w:type="dxa"/>
            <w:tcBorders>
              <w:top w:val="nil"/>
              <w:left w:val="nil"/>
              <w:bottom w:val="nil"/>
              <w:right w:val="nil"/>
            </w:tcBorders>
            <w:shd w:val="clear" w:color="000000" w:fill="FFFFFF"/>
            <w:noWrap/>
            <w:hideMark/>
          </w:tcPr>
          <w:p w14:paraId="6446FC6A"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0.55</w:t>
            </w:r>
          </w:p>
        </w:tc>
        <w:tc>
          <w:tcPr>
            <w:tcW w:w="740" w:type="dxa"/>
            <w:tcBorders>
              <w:top w:val="nil"/>
              <w:left w:val="nil"/>
              <w:bottom w:val="nil"/>
              <w:right w:val="nil"/>
            </w:tcBorders>
            <w:shd w:val="clear" w:color="000000" w:fill="FFFFFF"/>
            <w:noWrap/>
            <w:hideMark/>
          </w:tcPr>
          <w:p w14:paraId="124E651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-31.89</w:t>
            </w:r>
          </w:p>
        </w:tc>
        <w:tc>
          <w:tcPr>
            <w:tcW w:w="627" w:type="dxa"/>
            <w:tcBorders>
              <w:top w:val="nil"/>
              <w:left w:val="nil"/>
              <w:bottom w:val="nil"/>
              <w:right w:val="nil"/>
            </w:tcBorders>
            <w:shd w:val="clear" w:color="000000" w:fill="FFFFFF"/>
            <w:noWrap/>
            <w:hideMark/>
          </w:tcPr>
          <w:p w14:paraId="648A1E57"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0.02</w:t>
            </w:r>
          </w:p>
        </w:tc>
        <w:tc>
          <w:tcPr>
            <w:tcW w:w="718" w:type="dxa"/>
            <w:tcBorders>
              <w:top w:val="nil"/>
              <w:left w:val="nil"/>
              <w:bottom w:val="nil"/>
              <w:right w:val="single" w:sz="4" w:space="0" w:color="auto"/>
            </w:tcBorders>
            <w:shd w:val="clear" w:color="000000" w:fill="FFFFFF"/>
            <w:noWrap/>
            <w:hideMark/>
          </w:tcPr>
          <w:p w14:paraId="21BAE5C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12.64</w:t>
            </w:r>
          </w:p>
        </w:tc>
      </w:tr>
      <w:tr w:rsidR="00151036" w:rsidRPr="00151036" w14:paraId="1FE60CCA" w14:textId="77777777" w:rsidTr="00537D7E">
        <w:trPr>
          <w:trHeight w:val="300"/>
        </w:trPr>
        <w:tc>
          <w:tcPr>
            <w:tcW w:w="3430" w:type="dxa"/>
            <w:tcBorders>
              <w:top w:val="nil"/>
              <w:left w:val="single" w:sz="4" w:space="0" w:color="auto"/>
              <w:bottom w:val="nil"/>
              <w:right w:val="nil"/>
            </w:tcBorders>
            <w:shd w:val="clear" w:color="000000" w:fill="FFFFFF"/>
            <w:noWrap/>
            <w:hideMark/>
          </w:tcPr>
          <w:p w14:paraId="123C3C0E"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MPI</w:t>
            </w:r>
          </w:p>
        </w:tc>
        <w:tc>
          <w:tcPr>
            <w:tcW w:w="854" w:type="dxa"/>
            <w:tcBorders>
              <w:top w:val="nil"/>
              <w:left w:val="nil"/>
              <w:bottom w:val="nil"/>
              <w:right w:val="nil"/>
            </w:tcBorders>
            <w:shd w:val="clear" w:color="000000" w:fill="FFFFFF"/>
            <w:noWrap/>
            <w:hideMark/>
          </w:tcPr>
          <w:p w14:paraId="2BD8A779"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319DA440"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0.59</w:t>
            </w:r>
          </w:p>
        </w:tc>
        <w:tc>
          <w:tcPr>
            <w:tcW w:w="627" w:type="dxa"/>
            <w:tcBorders>
              <w:top w:val="nil"/>
              <w:left w:val="nil"/>
              <w:bottom w:val="nil"/>
              <w:right w:val="nil"/>
            </w:tcBorders>
            <w:shd w:val="clear" w:color="000000" w:fill="FFFFFF"/>
            <w:noWrap/>
            <w:hideMark/>
          </w:tcPr>
          <w:p w14:paraId="07B2F62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1.90</w:t>
            </w:r>
          </w:p>
        </w:tc>
        <w:tc>
          <w:tcPr>
            <w:tcW w:w="740" w:type="dxa"/>
            <w:tcBorders>
              <w:top w:val="nil"/>
              <w:left w:val="nil"/>
              <w:bottom w:val="nil"/>
              <w:right w:val="nil"/>
            </w:tcBorders>
            <w:shd w:val="clear" w:color="000000" w:fill="FFFFFF"/>
            <w:noWrap/>
            <w:hideMark/>
          </w:tcPr>
          <w:p w14:paraId="779B0EC3"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-13.00</w:t>
            </w:r>
          </w:p>
        </w:tc>
        <w:tc>
          <w:tcPr>
            <w:tcW w:w="627" w:type="dxa"/>
            <w:tcBorders>
              <w:top w:val="nil"/>
              <w:left w:val="nil"/>
              <w:bottom w:val="nil"/>
              <w:right w:val="nil"/>
            </w:tcBorders>
            <w:shd w:val="clear" w:color="000000" w:fill="FFFFFF"/>
            <w:noWrap/>
            <w:hideMark/>
          </w:tcPr>
          <w:p w14:paraId="129236B2"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0.00</w:t>
            </w:r>
          </w:p>
        </w:tc>
        <w:tc>
          <w:tcPr>
            <w:tcW w:w="718" w:type="dxa"/>
            <w:tcBorders>
              <w:top w:val="nil"/>
              <w:left w:val="nil"/>
              <w:bottom w:val="nil"/>
              <w:right w:val="single" w:sz="4" w:space="0" w:color="auto"/>
            </w:tcBorders>
            <w:shd w:val="clear" w:color="000000" w:fill="FFFFFF"/>
            <w:noWrap/>
            <w:hideMark/>
          </w:tcPr>
          <w:p w14:paraId="0E48F4DA"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12.00</w:t>
            </w:r>
          </w:p>
        </w:tc>
      </w:tr>
      <w:tr w:rsidR="00151036" w:rsidRPr="00151036" w14:paraId="2C776D63" w14:textId="77777777" w:rsidTr="00537D7E">
        <w:trPr>
          <w:trHeight w:val="300"/>
        </w:trPr>
        <w:tc>
          <w:tcPr>
            <w:tcW w:w="3430" w:type="dxa"/>
            <w:tcBorders>
              <w:top w:val="nil"/>
              <w:left w:val="single" w:sz="4" w:space="0" w:color="auto"/>
              <w:bottom w:val="nil"/>
              <w:right w:val="nil"/>
            </w:tcBorders>
            <w:shd w:val="clear" w:color="000000" w:fill="FFFFFF"/>
            <w:noWrap/>
            <w:hideMark/>
          </w:tcPr>
          <w:p w14:paraId="578560B2" w14:textId="77777777"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151036">
              <w:rPr>
                <w:rFonts w:ascii="Calibri" w:hAnsi="Calibri" w:cs="Calibri"/>
                <w:b/>
                <w:bCs/>
                <w:color w:val="000000"/>
                <w:sz w:val="18"/>
                <w:szCs w:val="18"/>
                <w:lang w:val="en-AM" w:eastAsia="en-GB"/>
              </w:rPr>
              <w:t>DSR</w:t>
            </w:r>
          </w:p>
        </w:tc>
        <w:tc>
          <w:tcPr>
            <w:tcW w:w="854" w:type="dxa"/>
            <w:tcBorders>
              <w:top w:val="nil"/>
              <w:left w:val="nil"/>
              <w:bottom w:val="nil"/>
              <w:right w:val="nil"/>
            </w:tcBorders>
            <w:shd w:val="clear" w:color="000000" w:fill="FFFFFF"/>
            <w:noWrap/>
            <w:hideMark/>
          </w:tcPr>
          <w:p w14:paraId="32DB7929"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28C3F45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16.44</w:t>
            </w:r>
          </w:p>
        </w:tc>
        <w:tc>
          <w:tcPr>
            <w:tcW w:w="627" w:type="dxa"/>
            <w:tcBorders>
              <w:top w:val="nil"/>
              <w:left w:val="nil"/>
              <w:bottom w:val="nil"/>
              <w:right w:val="nil"/>
            </w:tcBorders>
            <w:shd w:val="clear" w:color="000000" w:fill="FFFFFF"/>
            <w:noWrap/>
            <w:hideMark/>
          </w:tcPr>
          <w:p w14:paraId="008143F0"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5.33</w:t>
            </w:r>
          </w:p>
        </w:tc>
        <w:tc>
          <w:tcPr>
            <w:tcW w:w="740" w:type="dxa"/>
            <w:tcBorders>
              <w:top w:val="nil"/>
              <w:left w:val="nil"/>
              <w:bottom w:val="nil"/>
              <w:right w:val="nil"/>
            </w:tcBorders>
            <w:shd w:val="clear" w:color="000000" w:fill="FFFFFF"/>
            <w:noWrap/>
            <w:hideMark/>
          </w:tcPr>
          <w:p w14:paraId="7A18069B"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3.00</w:t>
            </w:r>
          </w:p>
        </w:tc>
        <w:tc>
          <w:tcPr>
            <w:tcW w:w="627" w:type="dxa"/>
            <w:tcBorders>
              <w:top w:val="nil"/>
              <w:left w:val="nil"/>
              <w:bottom w:val="nil"/>
              <w:right w:val="nil"/>
            </w:tcBorders>
            <w:shd w:val="clear" w:color="000000" w:fill="FFFFFF"/>
            <w:noWrap/>
            <w:hideMark/>
          </w:tcPr>
          <w:p w14:paraId="06C25FE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16.42</w:t>
            </w:r>
          </w:p>
        </w:tc>
        <w:tc>
          <w:tcPr>
            <w:tcW w:w="718" w:type="dxa"/>
            <w:tcBorders>
              <w:top w:val="nil"/>
              <w:left w:val="nil"/>
              <w:bottom w:val="nil"/>
              <w:right w:val="single" w:sz="4" w:space="0" w:color="auto"/>
            </w:tcBorders>
            <w:shd w:val="clear" w:color="000000" w:fill="FFFFFF"/>
            <w:noWrap/>
            <w:hideMark/>
          </w:tcPr>
          <w:p w14:paraId="69E5B5AC"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40.10</w:t>
            </w:r>
          </w:p>
        </w:tc>
      </w:tr>
      <w:tr w:rsidR="00151036" w:rsidRPr="00151036" w14:paraId="6BF1E441" w14:textId="77777777" w:rsidTr="00537D7E">
        <w:trPr>
          <w:trHeight w:val="300"/>
        </w:trPr>
        <w:tc>
          <w:tcPr>
            <w:tcW w:w="3430" w:type="dxa"/>
            <w:tcBorders>
              <w:top w:val="nil"/>
              <w:left w:val="single" w:sz="4" w:space="0" w:color="auto"/>
              <w:bottom w:val="nil"/>
              <w:right w:val="nil"/>
            </w:tcBorders>
            <w:shd w:val="clear" w:color="000000" w:fill="FFFFFF"/>
            <w:noWrap/>
            <w:hideMark/>
          </w:tcPr>
          <w:p w14:paraId="7CAC4A00" w14:textId="43E67EBC"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Financial Conditions Index</w:t>
            </w:r>
          </w:p>
        </w:tc>
        <w:tc>
          <w:tcPr>
            <w:tcW w:w="854" w:type="dxa"/>
            <w:tcBorders>
              <w:top w:val="nil"/>
              <w:left w:val="nil"/>
              <w:bottom w:val="nil"/>
              <w:right w:val="nil"/>
            </w:tcBorders>
            <w:shd w:val="clear" w:color="000000" w:fill="FFFFFF"/>
            <w:noWrap/>
            <w:hideMark/>
          </w:tcPr>
          <w:p w14:paraId="789FD66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nil"/>
              <w:right w:val="nil"/>
            </w:tcBorders>
            <w:shd w:val="clear" w:color="000000" w:fill="FFFFFF"/>
            <w:noWrap/>
            <w:hideMark/>
          </w:tcPr>
          <w:p w14:paraId="26F26B0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0.00</w:t>
            </w:r>
          </w:p>
        </w:tc>
        <w:tc>
          <w:tcPr>
            <w:tcW w:w="627" w:type="dxa"/>
            <w:tcBorders>
              <w:top w:val="nil"/>
              <w:left w:val="nil"/>
              <w:bottom w:val="nil"/>
              <w:right w:val="nil"/>
            </w:tcBorders>
            <w:shd w:val="clear" w:color="000000" w:fill="FFFFFF"/>
            <w:noWrap/>
            <w:hideMark/>
          </w:tcPr>
          <w:p w14:paraId="3D005AA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0.76</w:t>
            </w:r>
          </w:p>
        </w:tc>
        <w:tc>
          <w:tcPr>
            <w:tcW w:w="740" w:type="dxa"/>
            <w:tcBorders>
              <w:top w:val="nil"/>
              <w:left w:val="nil"/>
              <w:bottom w:val="nil"/>
              <w:right w:val="nil"/>
            </w:tcBorders>
            <w:shd w:val="clear" w:color="000000" w:fill="FFFFFF"/>
            <w:noWrap/>
            <w:hideMark/>
          </w:tcPr>
          <w:p w14:paraId="51A3CA6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-5.13</w:t>
            </w:r>
          </w:p>
        </w:tc>
        <w:tc>
          <w:tcPr>
            <w:tcW w:w="627" w:type="dxa"/>
            <w:tcBorders>
              <w:top w:val="nil"/>
              <w:left w:val="nil"/>
              <w:bottom w:val="nil"/>
              <w:right w:val="nil"/>
            </w:tcBorders>
            <w:shd w:val="clear" w:color="000000" w:fill="FFFFFF"/>
            <w:noWrap/>
            <w:hideMark/>
          </w:tcPr>
          <w:p w14:paraId="1399DC8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0.16</w:t>
            </w:r>
          </w:p>
        </w:tc>
        <w:tc>
          <w:tcPr>
            <w:tcW w:w="718" w:type="dxa"/>
            <w:tcBorders>
              <w:top w:val="nil"/>
              <w:left w:val="nil"/>
              <w:bottom w:val="nil"/>
              <w:right w:val="single" w:sz="4" w:space="0" w:color="auto"/>
            </w:tcBorders>
            <w:shd w:val="clear" w:color="000000" w:fill="FFFFFF"/>
            <w:noWrap/>
            <w:hideMark/>
          </w:tcPr>
          <w:p w14:paraId="10AD85C7"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1.74</w:t>
            </w:r>
          </w:p>
        </w:tc>
      </w:tr>
      <w:tr w:rsidR="00151036" w:rsidRPr="00151036" w14:paraId="7E9D7270" w14:textId="77777777" w:rsidTr="00537D7E">
        <w:trPr>
          <w:trHeight w:val="300"/>
        </w:trPr>
        <w:tc>
          <w:tcPr>
            <w:tcW w:w="3430" w:type="dxa"/>
            <w:tcBorders>
              <w:top w:val="nil"/>
              <w:left w:val="single" w:sz="4" w:space="0" w:color="auto"/>
              <w:bottom w:val="single" w:sz="4" w:space="0" w:color="auto"/>
              <w:right w:val="nil"/>
            </w:tcBorders>
            <w:shd w:val="clear" w:color="000000" w:fill="FFFFFF"/>
            <w:noWrap/>
            <w:hideMark/>
          </w:tcPr>
          <w:p w14:paraId="39CE7DF6" w14:textId="7EF867C4" w:rsidR="00151036" w:rsidRPr="00151036" w:rsidRDefault="00151036" w:rsidP="00537D7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Financial Cycle Index</w:t>
            </w:r>
          </w:p>
        </w:tc>
        <w:tc>
          <w:tcPr>
            <w:tcW w:w="854" w:type="dxa"/>
            <w:tcBorders>
              <w:top w:val="nil"/>
              <w:left w:val="nil"/>
              <w:bottom w:val="single" w:sz="4" w:space="0" w:color="auto"/>
              <w:right w:val="nil"/>
            </w:tcBorders>
            <w:shd w:val="clear" w:color="000000" w:fill="FFFFFF"/>
            <w:noWrap/>
            <w:hideMark/>
          </w:tcPr>
          <w:p w14:paraId="41C3130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4,756.00</w:t>
            </w:r>
          </w:p>
        </w:tc>
        <w:tc>
          <w:tcPr>
            <w:tcW w:w="639" w:type="dxa"/>
            <w:tcBorders>
              <w:top w:val="nil"/>
              <w:left w:val="nil"/>
              <w:bottom w:val="single" w:sz="4" w:space="0" w:color="auto"/>
              <w:right w:val="nil"/>
            </w:tcBorders>
            <w:shd w:val="clear" w:color="000000" w:fill="FFFFFF"/>
            <w:noWrap/>
            <w:hideMark/>
          </w:tcPr>
          <w:p w14:paraId="73BD79A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0.15</w:t>
            </w:r>
          </w:p>
        </w:tc>
        <w:tc>
          <w:tcPr>
            <w:tcW w:w="627" w:type="dxa"/>
            <w:tcBorders>
              <w:top w:val="nil"/>
              <w:left w:val="nil"/>
              <w:bottom w:val="single" w:sz="4" w:space="0" w:color="auto"/>
              <w:right w:val="nil"/>
            </w:tcBorders>
            <w:shd w:val="clear" w:color="000000" w:fill="FFFFFF"/>
            <w:noWrap/>
            <w:hideMark/>
          </w:tcPr>
          <w:p w14:paraId="46F22ABB"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0.14</w:t>
            </w:r>
          </w:p>
        </w:tc>
        <w:tc>
          <w:tcPr>
            <w:tcW w:w="740" w:type="dxa"/>
            <w:tcBorders>
              <w:top w:val="nil"/>
              <w:left w:val="nil"/>
              <w:bottom w:val="single" w:sz="4" w:space="0" w:color="auto"/>
              <w:right w:val="nil"/>
            </w:tcBorders>
            <w:shd w:val="clear" w:color="000000" w:fill="FFFFFF"/>
            <w:noWrap/>
            <w:hideMark/>
          </w:tcPr>
          <w:p w14:paraId="535E2106"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-0.01</w:t>
            </w:r>
          </w:p>
        </w:tc>
        <w:tc>
          <w:tcPr>
            <w:tcW w:w="627" w:type="dxa"/>
            <w:tcBorders>
              <w:top w:val="nil"/>
              <w:left w:val="nil"/>
              <w:bottom w:val="single" w:sz="4" w:space="0" w:color="auto"/>
              <w:right w:val="nil"/>
            </w:tcBorders>
            <w:shd w:val="clear" w:color="000000" w:fill="FFFFFF"/>
            <w:noWrap/>
            <w:hideMark/>
          </w:tcPr>
          <w:p w14:paraId="5D25BBE5"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0.11</w:t>
            </w:r>
          </w:p>
        </w:tc>
        <w:tc>
          <w:tcPr>
            <w:tcW w:w="718" w:type="dxa"/>
            <w:tcBorders>
              <w:top w:val="nil"/>
              <w:left w:val="nil"/>
              <w:bottom w:val="single" w:sz="4" w:space="0" w:color="auto"/>
              <w:right w:val="single" w:sz="4" w:space="0" w:color="auto"/>
            </w:tcBorders>
            <w:shd w:val="clear" w:color="000000" w:fill="FFFFFF"/>
            <w:noWrap/>
            <w:hideMark/>
          </w:tcPr>
          <w:p w14:paraId="0BA61C6F" w14:textId="77777777" w:rsidR="00151036" w:rsidRPr="00151036" w:rsidRDefault="00151036" w:rsidP="00537D7E">
            <w:pPr>
              <w:spacing w:after="0" w:line="240" w:lineRule="auto"/>
              <w:jc w:val="center"/>
              <w:rPr>
                <w:rFonts w:ascii="Calibri" w:hAnsi="Calibri" w:cs="Calibri"/>
                <w:color w:val="000000"/>
                <w:sz w:val="18"/>
                <w:szCs w:val="18"/>
                <w:lang w:val="en-AM" w:eastAsia="en-GB"/>
              </w:rPr>
            </w:pPr>
            <w:r w:rsidRPr="00151036">
              <w:rPr>
                <w:rFonts w:ascii="Calibri" w:hAnsi="Calibri" w:cs="Calibri"/>
                <w:color w:val="000000"/>
                <w:sz w:val="18"/>
                <w:szCs w:val="18"/>
                <w:lang w:val="en-AM" w:eastAsia="en-GB"/>
              </w:rPr>
              <w:t>0.82</w:t>
            </w:r>
          </w:p>
        </w:tc>
      </w:tr>
    </w:tbl>
    <w:p w14:paraId="3728F3F4" w14:textId="66A1C7FF" w:rsidR="00FB098A" w:rsidRDefault="00FB098A" w:rsidP="00FB098A">
      <w:pPr>
        <w:rPr>
          <w:b/>
        </w:rPr>
      </w:pPr>
      <w:r w:rsidRPr="00FB098A">
        <w:rPr>
          <w:b/>
        </w:rPr>
        <w:t>C</w:t>
      </w:r>
      <w:r>
        <w:rPr>
          <w:b/>
        </w:rPr>
        <w:t>2</w:t>
      </w:r>
      <w:r w:rsidRPr="00FB098A">
        <w:rPr>
          <w:b/>
        </w:rPr>
        <w:t>. Data from the local model</w:t>
      </w:r>
    </w:p>
    <w:p w14:paraId="7D5B7612" w14:textId="647995E1" w:rsidR="001E7A47" w:rsidRPr="00D6028A" w:rsidRDefault="001E7A47" w:rsidP="001E7A47">
      <w:pPr>
        <w:pStyle w:val="Caption"/>
        <w:keepNext/>
        <w:spacing w:after="0"/>
        <w:jc w:val="left"/>
        <w:rPr>
          <w:szCs w:val="18"/>
        </w:rPr>
      </w:pPr>
      <w:bookmarkStart w:id="28" w:name="_Ref176972766"/>
      <w:r w:rsidRPr="00D6028A">
        <w:rPr>
          <w:szCs w:val="18"/>
        </w:rPr>
        <w:t xml:space="preserve">Table </w:t>
      </w:r>
      <w:r>
        <w:rPr>
          <w:szCs w:val="18"/>
        </w:rPr>
        <w:fldChar w:fldCharType="begin"/>
      </w:r>
      <w:r>
        <w:rPr>
          <w:szCs w:val="18"/>
        </w:rPr>
        <w:instrText xml:space="preserve"> SEQ Table \* ARABIC </w:instrText>
      </w:r>
      <w:r>
        <w:rPr>
          <w:szCs w:val="18"/>
        </w:rPr>
        <w:fldChar w:fldCharType="separate"/>
      </w:r>
      <w:r w:rsidR="002A6D9E">
        <w:rPr>
          <w:noProof/>
          <w:szCs w:val="18"/>
        </w:rPr>
        <w:t>5</w:t>
      </w:r>
      <w:r>
        <w:rPr>
          <w:szCs w:val="18"/>
        </w:rPr>
        <w:fldChar w:fldCharType="end"/>
      </w:r>
      <w:bookmarkEnd w:id="28"/>
      <w:r w:rsidRPr="00D6028A">
        <w:rPr>
          <w:szCs w:val="18"/>
        </w:rPr>
        <w:t xml:space="preserve">. </w:t>
      </w:r>
      <w:r w:rsidRPr="00F75554">
        <w:rPr>
          <w:szCs w:val="18"/>
        </w:rPr>
        <w:t>Local model summary statistics</w:t>
      </w:r>
    </w:p>
    <w:tbl>
      <w:tblPr>
        <w:tblpPr w:leftFromText="567" w:rightFromText="567" w:bottomFromText="284" w:vertAnchor="text" w:tblpY="1"/>
        <w:tblOverlap w:val="never"/>
        <w:tblW w:w="0" w:type="auto"/>
        <w:tblLayout w:type="fixed"/>
        <w:tblLook w:val="04A0" w:firstRow="1" w:lastRow="0" w:firstColumn="1" w:lastColumn="0" w:noHBand="0" w:noVBand="1"/>
      </w:tblPr>
      <w:tblGrid>
        <w:gridCol w:w="2854"/>
        <w:gridCol w:w="991"/>
        <w:gridCol w:w="806"/>
        <w:gridCol w:w="563"/>
        <w:gridCol w:w="756"/>
        <w:gridCol w:w="668"/>
        <w:gridCol w:w="668"/>
        <w:gridCol w:w="681"/>
        <w:gridCol w:w="681"/>
      </w:tblGrid>
      <w:tr w:rsidR="001E7A47" w:rsidRPr="00702F3C" w14:paraId="1A8CF623" w14:textId="77777777" w:rsidTr="0069199E">
        <w:trPr>
          <w:trHeight w:val="291"/>
        </w:trPr>
        <w:tc>
          <w:tcPr>
            <w:tcW w:w="2854" w:type="dxa"/>
            <w:tcBorders>
              <w:top w:val="single" w:sz="4" w:space="0" w:color="auto"/>
              <w:left w:val="single" w:sz="4" w:space="0" w:color="auto"/>
              <w:bottom w:val="single" w:sz="4" w:space="0" w:color="auto"/>
              <w:right w:val="nil"/>
            </w:tcBorders>
            <w:shd w:val="clear" w:color="000000" w:fill="FFFFFF"/>
            <w:noWrap/>
            <w:hideMark/>
          </w:tcPr>
          <w:p w14:paraId="38CD8E0B"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Variables</w:t>
            </w:r>
          </w:p>
        </w:tc>
        <w:tc>
          <w:tcPr>
            <w:tcW w:w="991" w:type="dxa"/>
            <w:tcBorders>
              <w:top w:val="single" w:sz="4" w:space="0" w:color="auto"/>
              <w:left w:val="nil"/>
              <w:bottom w:val="single" w:sz="4" w:space="0" w:color="auto"/>
              <w:right w:val="nil"/>
            </w:tcBorders>
            <w:shd w:val="clear" w:color="000000" w:fill="FFFFFF"/>
            <w:noWrap/>
            <w:hideMark/>
          </w:tcPr>
          <w:p w14:paraId="40CF1F6D" w14:textId="77777777" w:rsidR="001E7A47" w:rsidRPr="00702F3C" w:rsidRDefault="001E7A47" w:rsidP="0069199E">
            <w:pPr>
              <w:spacing w:after="0" w:line="240" w:lineRule="auto"/>
              <w:jc w:val="center"/>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count</w:t>
            </w:r>
          </w:p>
        </w:tc>
        <w:tc>
          <w:tcPr>
            <w:tcW w:w="806" w:type="dxa"/>
            <w:tcBorders>
              <w:top w:val="single" w:sz="4" w:space="0" w:color="auto"/>
              <w:left w:val="nil"/>
              <w:bottom w:val="single" w:sz="4" w:space="0" w:color="auto"/>
              <w:right w:val="nil"/>
            </w:tcBorders>
            <w:shd w:val="clear" w:color="000000" w:fill="FFFFFF"/>
            <w:noWrap/>
            <w:hideMark/>
          </w:tcPr>
          <w:p w14:paraId="64F573DC" w14:textId="77777777" w:rsidR="001E7A47" w:rsidRPr="00702F3C" w:rsidRDefault="001E7A47" w:rsidP="0069199E">
            <w:pPr>
              <w:spacing w:after="0" w:line="240" w:lineRule="auto"/>
              <w:jc w:val="center"/>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mean</w:t>
            </w:r>
          </w:p>
        </w:tc>
        <w:tc>
          <w:tcPr>
            <w:tcW w:w="563" w:type="dxa"/>
            <w:tcBorders>
              <w:top w:val="single" w:sz="4" w:space="0" w:color="auto"/>
              <w:left w:val="nil"/>
              <w:bottom w:val="single" w:sz="4" w:space="0" w:color="auto"/>
              <w:right w:val="nil"/>
            </w:tcBorders>
            <w:shd w:val="clear" w:color="000000" w:fill="FFFFFF"/>
            <w:noWrap/>
            <w:hideMark/>
          </w:tcPr>
          <w:p w14:paraId="376AA1E7" w14:textId="77777777" w:rsidR="001E7A47" w:rsidRPr="00702F3C" w:rsidRDefault="001E7A47" w:rsidP="0069199E">
            <w:pPr>
              <w:spacing w:after="0" w:line="240" w:lineRule="auto"/>
              <w:jc w:val="center"/>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std</w:t>
            </w:r>
          </w:p>
        </w:tc>
        <w:tc>
          <w:tcPr>
            <w:tcW w:w="756" w:type="dxa"/>
            <w:tcBorders>
              <w:top w:val="single" w:sz="4" w:space="0" w:color="auto"/>
              <w:left w:val="nil"/>
              <w:bottom w:val="single" w:sz="4" w:space="0" w:color="auto"/>
              <w:right w:val="nil"/>
            </w:tcBorders>
            <w:shd w:val="clear" w:color="000000" w:fill="FFFFFF"/>
            <w:noWrap/>
            <w:hideMark/>
          </w:tcPr>
          <w:p w14:paraId="10D1F2BD" w14:textId="77777777" w:rsidR="001E7A47" w:rsidRPr="00702F3C" w:rsidRDefault="001E7A47" w:rsidP="0069199E">
            <w:pPr>
              <w:spacing w:after="0" w:line="240" w:lineRule="auto"/>
              <w:jc w:val="center"/>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min</w:t>
            </w:r>
          </w:p>
        </w:tc>
        <w:tc>
          <w:tcPr>
            <w:tcW w:w="668" w:type="dxa"/>
            <w:tcBorders>
              <w:top w:val="single" w:sz="4" w:space="0" w:color="auto"/>
              <w:left w:val="nil"/>
              <w:bottom w:val="single" w:sz="4" w:space="0" w:color="auto"/>
              <w:right w:val="nil"/>
            </w:tcBorders>
            <w:shd w:val="clear" w:color="000000" w:fill="FFFFFF"/>
            <w:noWrap/>
            <w:hideMark/>
          </w:tcPr>
          <w:p w14:paraId="6159EBA3" w14:textId="77777777" w:rsidR="001E7A47" w:rsidRPr="00702F3C" w:rsidRDefault="001E7A47" w:rsidP="0069199E">
            <w:pPr>
              <w:spacing w:after="0" w:line="240" w:lineRule="auto"/>
              <w:jc w:val="center"/>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25%</w:t>
            </w:r>
          </w:p>
        </w:tc>
        <w:tc>
          <w:tcPr>
            <w:tcW w:w="668" w:type="dxa"/>
            <w:tcBorders>
              <w:top w:val="single" w:sz="4" w:space="0" w:color="auto"/>
              <w:left w:val="nil"/>
              <w:bottom w:val="single" w:sz="4" w:space="0" w:color="auto"/>
              <w:right w:val="nil"/>
            </w:tcBorders>
            <w:shd w:val="clear" w:color="000000" w:fill="FFFFFF"/>
            <w:noWrap/>
            <w:hideMark/>
          </w:tcPr>
          <w:p w14:paraId="51B1C825" w14:textId="77777777" w:rsidR="001E7A47" w:rsidRPr="00702F3C" w:rsidRDefault="001E7A47" w:rsidP="0069199E">
            <w:pPr>
              <w:spacing w:after="0" w:line="240" w:lineRule="auto"/>
              <w:jc w:val="center"/>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50%</w:t>
            </w:r>
          </w:p>
        </w:tc>
        <w:tc>
          <w:tcPr>
            <w:tcW w:w="681" w:type="dxa"/>
            <w:tcBorders>
              <w:top w:val="single" w:sz="4" w:space="0" w:color="auto"/>
              <w:left w:val="nil"/>
              <w:bottom w:val="single" w:sz="4" w:space="0" w:color="auto"/>
              <w:right w:val="nil"/>
            </w:tcBorders>
            <w:shd w:val="clear" w:color="000000" w:fill="FFFFFF"/>
            <w:noWrap/>
            <w:hideMark/>
          </w:tcPr>
          <w:p w14:paraId="2C581DEB" w14:textId="77777777" w:rsidR="001E7A47" w:rsidRPr="00702F3C" w:rsidRDefault="001E7A47" w:rsidP="0069199E">
            <w:pPr>
              <w:spacing w:after="0" w:line="240" w:lineRule="auto"/>
              <w:jc w:val="center"/>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75%</w:t>
            </w:r>
          </w:p>
        </w:tc>
        <w:tc>
          <w:tcPr>
            <w:tcW w:w="681" w:type="dxa"/>
            <w:tcBorders>
              <w:top w:val="single" w:sz="4" w:space="0" w:color="auto"/>
              <w:left w:val="nil"/>
              <w:bottom w:val="single" w:sz="4" w:space="0" w:color="auto"/>
              <w:right w:val="single" w:sz="4" w:space="0" w:color="auto"/>
            </w:tcBorders>
            <w:shd w:val="clear" w:color="000000" w:fill="FFFFFF"/>
            <w:noWrap/>
            <w:hideMark/>
          </w:tcPr>
          <w:p w14:paraId="4B80781E" w14:textId="77777777" w:rsidR="001E7A47" w:rsidRPr="00702F3C" w:rsidRDefault="001E7A47" w:rsidP="0069199E">
            <w:pPr>
              <w:spacing w:after="0" w:line="240" w:lineRule="auto"/>
              <w:jc w:val="center"/>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max</w:t>
            </w:r>
          </w:p>
        </w:tc>
      </w:tr>
      <w:tr w:rsidR="001E7A47" w:rsidRPr="00702F3C" w14:paraId="1DEAC814" w14:textId="77777777" w:rsidTr="0069199E">
        <w:trPr>
          <w:trHeight w:val="291"/>
        </w:trPr>
        <w:tc>
          <w:tcPr>
            <w:tcW w:w="2854" w:type="dxa"/>
            <w:tcBorders>
              <w:top w:val="nil"/>
              <w:left w:val="single" w:sz="4" w:space="0" w:color="auto"/>
              <w:bottom w:val="nil"/>
              <w:right w:val="nil"/>
            </w:tcBorders>
            <w:shd w:val="clear" w:color="000000" w:fill="FFFFFF"/>
            <w:noWrap/>
            <w:hideMark/>
          </w:tcPr>
          <w:p w14:paraId="2CCB4B06"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GDP_real_growth_1.0y</w:t>
            </w:r>
          </w:p>
        </w:tc>
        <w:tc>
          <w:tcPr>
            <w:tcW w:w="991" w:type="dxa"/>
            <w:tcBorders>
              <w:top w:val="nil"/>
              <w:left w:val="nil"/>
              <w:bottom w:val="nil"/>
              <w:right w:val="nil"/>
            </w:tcBorders>
            <w:shd w:val="clear" w:color="000000" w:fill="FFFFFF"/>
            <w:noWrap/>
            <w:hideMark/>
          </w:tcPr>
          <w:p w14:paraId="0E09E266"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81</w:t>
            </w:r>
          </w:p>
        </w:tc>
        <w:tc>
          <w:tcPr>
            <w:tcW w:w="806" w:type="dxa"/>
            <w:tcBorders>
              <w:top w:val="nil"/>
              <w:left w:val="nil"/>
              <w:bottom w:val="nil"/>
              <w:right w:val="nil"/>
            </w:tcBorders>
            <w:shd w:val="clear" w:color="000000" w:fill="FFFFFF"/>
            <w:noWrap/>
            <w:hideMark/>
          </w:tcPr>
          <w:p w14:paraId="2C3F25E4"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5.5</w:t>
            </w:r>
          </w:p>
        </w:tc>
        <w:tc>
          <w:tcPr>
            <w:tcW w:w="563" w:type="dxa"/>
            <w:tcBorders>
              <w:top w:val="nil"/>
              <w:left w:val="nil"/>
              <w:bottom w:val="nil"/>
              <w:right w:val="nil"/>
            </w:tcBorders>
            <w:shd w:val="clear" w:color="000000" w:fill="FFFFFF"/>
            <w:noWrap/>
            <w:hideMark/>
          </w:tcPr>
          <w:p w14:paraId="0D9D7692"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7.4</w:t>
            </w:r>
          </w:p>
        </w:tc>
        <w:tc>
          <w:tcPr>
            <w:tcW w:w="756" w:type="dxa"/>
            <w:tcBorders>
              <w:top w:val="nil"/>
              <w:left w:val="nil"/>
              <w:bottom w:val="nil"/>
              <w:right w:val="nil"/>
            </w:tcBorders>
            <w:shd w:val="clear" w:color="000000" w:fill="FFFFFF"/>
            <w:noWrap/>
            <w:hideMark/>
          </w:tcPr>
          <w:p w14:paraId="6CDA713D"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-19.8</w:t>
            </w:r>
          </w:p>
        </w:tc>
        <w:tc>
          <w:tcPr>
            <w:tcW w:w="668" w:type="dxa"/>
            <w:tcBorders>
              <w:top w:val="nil"/>
              <w:left w:val="nil"/>
              <w:bottom w:val="nil"/>
              <w:right w:val="nil"/>
            </w:tcBorders>
            <w:shd w:val="clear" w:color="000000" w:fill="FFFFFF"/>
            <w:noWrap/>
            <w:hideMark/>
          </w:tcPr>
          <w:p w14:paraId="133725D4"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3</w:t>
            </w:r>
          </w:p>
        </w:tc>
        <w:tc>
          <w:tcPr>
            <w:tcW w:w="668" w:type="dxa"/>
            <w:tcBorders>
              <w:top w:val="nil"/>
              <w:left w:val="nil"/>
              <w:bottom w:val="nil"/>
              <w:right w:val="nil"/>
            </w:tcBorders>
            <w:shd w:val="clear" w:color="000000" w:fill="FFFFFF"/>
            <w:noWrap/>
            <w:hideMark/>
          </w:tcPr>
          <w:p w14:paraId="45B2E27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6.7</w:t>
            </w:r>
          </w:p>
        </w:tc>
        <w:tc>
          <w:tcPr>
            <w:tcW w:w="681" w:type="dxa"/>
            <w:tcBorders>
              <w:top w:val="nil"/>
              <w:left w:val="nil"/>
              <w:bottom w:val="nil"/>
              <w:right w:val="nil"/>
            </w:tcBorders>
            <w:shd w:val="clear" w:color="000000" w:fill="FFFFFF"/>
            <w:noWrap/>
            <w:hideMark/>
          </w:tcPr>
          <w:p w14:paraId="7AA62499"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10.2</w:t>
            </w:r>
          </w:p>
        </w:tc>
        <w:tc>
          <w:tcPr>
            <w:tcW w:w="681" w:type="dxa"/>
            <w:tcBorders>
              <w:top w:val="nil"/>
              <w:left w:val="nil"/>
              <w:bottom w:val="nil"/>
              <w:right w:val="single" w:sz="4" w:space="0" w:color="auto"/>
            </w:tcBorders>
            <w:shd w:val="clear" w:color="000000" w:fill="FFFFFF"/>
            <w:noWrap/>
            <w:hideMark/>
          </w:tcPr>
          <w:p w14:paraId="52D70515"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19.1</w:t>
            </w:r>
          </w:p>
        </w:tc>
      </w:tr>
      <w:tr w:rsidR="001E7A47" w:rsidRPr="00702F3C" w14:paraId="60307D76" w14:textId="77777777" w:rsidTr="0069199E">
        <w:trPr>
          <w:trHeight w:val="291"/>
        </w:trPr>
        <w:tc>
          <w:tcPr>
            <w:tcW w:w="2854" w:type="dxa"/>
            <w:tcBorders>
              <w:top w:val="nil"/>
              <w:left w:val="single" w:sz="4" w:space="0" w:color="auto"/>
              <w:bottom w:val="nil"/>
              <w:right w:val="nil"/>
            </w:tcBorders>
            <w:shd w:val="clear" w:color="000000" w:fill="FFFFFF"/>
            <w:noWrap/>
            <w:hideMark/>
          </w:tcPr>
          <w:p w14:paraId="530A6BC0"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Financial Cycle Index</w:t>
            </w:r>
          </w:p>
        </w:tc>
        <w:tc>
          <w:tcPr>
            <w:tcW w:w="991" w:type="dxa"/>
            <w:tcBorders>
              <w:top w:val="nil"/>
              <w:left w:val="nil"/>
              <w:bottom w:val="nil"/>
              <w:right w:val="nil"/>
            </w:tcBorders>
            <w:shd w:val="clear" w:color="000000" w:fill="FFFFFF"/>
            <w:noWrap/>
            <w:hideMark/>
          </w:tcPr>
          <w:p w14:paraId="51D47F56"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85</w:t>
            </w:r>
          </w:p>
        </w:tc>
        <w:tc>
          <w:tcPr>
            <w:tcW w:w="806" w:type="dxa"/>
            <w:tcBorders>
              <w:top w:val="nil"/>
              <w:left w:val="nil"/>
              <w:bottom w:val="nil"/>
              <w:right w:val="nil"/>
            </w:tcBorders>
            <w:shd w:val="clear" w:color="000000" w:fill="FFFFFF"/>
            <w:noWrap/>
            <w:hideMark/>
          </w:tcPr>
          <w:p w14:paraId="6025F73B"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563" w:type="dxa"/>
            <w:tcBorders>
              <w:top w:val="nil"/>
              <w:left w:val="nil"/>
              <w:bottom w:val="nil"/>
              <w:right w:val="nil"/>
            </w:tcBorders>
            <w:shd w:val="clear" w:color="000000" w:fill="FFFFFF"/>
            <w:noWrap/>
            <w:hideMark/>
          </w:tcPr>
          <w:p w14:paraId="2B8A8F57"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756" w:type="dxa"/>
            <w:tcBorders>
              <w:top w:val="nil"/>
              <w:left w:val="nil"/>
              <w:bottom w:val="nil"/>
              <w:right w:val="nil"/>
            </w:tcBorders>
            <w:shd w:val="clear" w:color="000000" w:fill="FFFFFF"/>
            <w:noWrap/>
            <w:hideMark/>
          </w:tcPr>
          <w:p w14:paraId="7DA9CE9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nil"/>
              <w:right w:val="nil"/>
            </w:tcBorders>
            <w:shd w:val="clear" w:color="000000" w:fill="FFFFFF"/>
            <w:noWrap/>
            <w:hideMark/>
          </w:tcPr>
          <w:p w14:paraId="7666D2A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68" w:type="dxa"/>
            <w:tcBorders>
              <w:top w:val="nil"/>
              <w:left w:val="nil"/>
              <w:bottom w:val="nil"/>
              <w:right w:val="nil"/>
            </w:tcBorders>
            <w:shd w:val="clear" w:color="000000" w:fill="FFFFFF"/>
            <w:noWrap/>
            <w:hideMark/>
          </w:tcPr>
          <w:p w14:paraId="61ACA7EF"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81" w:type="dxa"/>
            <w:tcBorders>
              <w:top w:val="nil"/>
              <w:left w:val="nil"/>
              <w:bottom w:val="nil"/>
              <w:right w:val="nil"/>
            </w:tcBorders>
            <w:shd w:val="clear" w:color="000000" w:fill="FFFFFF"/>
            <w:noWrap/>
            <w:hideMark/>
          </w:tcPr>
          <w:p w14:paraId="37B3767C"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c>
          <w:tcPr>
            <w:tcW w:w="681" w:type="dxa"/>
            <w:tcBorders>
              <w:top w:val="nil"/>
              <w:left w:val="nil"/>
              <w:bottom w:val="nil"/>
              <w:right w:val="single" w:sz="4" w:space="0" w:color="auto"/>
            </w:tcBorders>
            <w:shd w:val="clear" w:color="000000" w:fill="FFFFFF"/>
            <w:noWrap/>
            <w:hideMark/>
          </w:tcPr>
          <w:p w14:paraId="7AD533C8"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0.3</w:t>
            </w:r>
          </w:p>
        </w:tc>
      </w:tr>
      <w:tr w:rsidR="001E7A47" w:rsidRPr="00702F3C" w14:paraId="45F63C5A" w14:textId="77777777" w:rsidTr="0069199E">
        <w:trPr>
          <w:trHeight w:val="291"/>
        </w:trPr>
        <w:tc>
          <w:tcPr>
            <w:tcW w:w="2854" w:type="dxa"/>
            <w:tcBorders>
              <w:top w:val="nil"/>
              <w:left w:val="single" w:sz="4" w:space="0" w:color="auto"/>
              <w:bottom w:val="nil"/>
              <w:right w:val="nil"/>
            </w:tcBorders>
            <w:shd w:val="clear" w:color="000000" w:fill="FFFFFF"/>
            <w:noWrap/>
            <w:hideMark/>
          </w:tcPr>
          <w:p w14:paraId="3F49F0CF"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Financial Conditions Index</w:t>
            </w:r>
          </w:p>
        </w:tc>
        <w:tc>
          <w:tcPr>
            <w:tcW w:w="991" w:type="dxa"/>
            <w:tcBorders>
              <w:top w:val="nil"/>
              <w:left w:val="nil"/>
              <w:bottom w:val="nil"/>
              <w:right w:val="nil"/>
            </w:tcBorders>
            <w:shd w:val="clear" w:color="000000" w:fill="FFFFFF"/>
            <w:noWrap/>
            <w:hideMark/>
          </w:tcPr>
          <w:p w14:paraId="12A7FFFB"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85</w:t>
            </w:r>
          </w:p>
        </w:tc>
        <w:tc>
          <w:tcPr>
            <w:tcW w:w="806" w:type="dxa"/>
            <w:tcBorders>
              <w:top w:val="nil"/>
              <w:left w:val="nil"/>
              <w:bottom w:val="nil"/>
              <w:right w:val="nil"/>
            </w:tcBorders>
            <w:shd w:val="clear" w:color="000000" w:fill="FFFFFF"/>
            <w:noWrap/>
            <w:hideMark/>
          </w:tcPr>
          <w:p w14:paraId="5213FE4C"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563" w:type="dxa"/>
            <w:tcBorders>
              <w:top w:val="nil"/>
              <w:left w:val="nil"/>
              <w:bottom w:val="nil"/>
              <w:right w:val="nil"/>
            </w:tcBorders>
            <w:shd w:val="clear" w:color="000000" w:fill="FFFFFF"/>
            <w:noWrap/>
            <w:hideMark/>
          </w:tcPr>
          <w:p w14:paraId="640F99B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0.7</w:t>
            </w:r>
          </w:p>
        </w:tc>
        <w:tc>
          <w:tcPr>
            <w:tcW w:w="756" w:type="dxa"/>
            <w:tcBorders>
              <w:top w:val="nil"/>
              <w:left w:val="nil"/>
              <w:bottom w:val="nil"/>
              <w:right w:val="nil"/>
            </w:tcBorders>
            <w:shd w:val="clear" w:color="000000" w:fill="FFFFFF"/>
            <w:noWrap/>
            <w:hideMark/>
          </w:tcPr>
          <w:p w14:paraId="45885E0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-1.3</w:t>
            </w:r>
          </w:p>
        </w:tc>
        <w:tc>
          <w:tcPr>
            <w:tcW w:w="668" w:type="dxa"/>
            <w:tcBorders>
              <w:top w:val="nil"/>
              <w:left w:val="nil"/>
              <w:bottom w:val="nil"/>
              <w:right w:val="nil"/>
            </w:tcBorders>
            <w:shd w:val="clear" w:color="000000" w:fill="FFFFFF"/>
            <w:noWrap/>
            <w:hideMark/>
          </w:tcPr>
          <w:p w14:paraId="1B8C82B2"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-0.6</w:t>
            </w:r>
          </w:p>
        </w:tc>
        <w:tc>
          <w:tcPr>
            <w:tcW w:w="668" w:type="dxa"/>
            <w:tcBorders>
              <w:top w:val="nil"/>
              <w:left w:val="nil"/>
              <w:bottom w:val="nil"/>
              <w:right w:val="nil"/>
            </w:tcBorders>
            <w:shd w:val="clear" w:color="000000" w:fill="FFFFFF"/>
            <w:noWrap/>
            <w:hideMark/>
          </w:tcPr>
          <w:p w14:paraId="787EB11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81" w:type="dxa"/>
            <w:tcBorders>
              <w:top w:val="nil"/>
              <w:left w:val="nil"/>
              <w:bottom w:val="nil"/>
              <w:right w:val="nil"/>
            </w:tcBorders>
            <w:shd w:val="clear" w:color="000000" w:fill="FFFFFF"/>
            <w:noWrap/>
            <w:hideMark/>
          </w:tcPr>
          <w:p w14:paraId="2F5BC12D"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0.3</w:t>
            </w:r>
          </w:p>
        </w:tc>
        <w:tc>
          <w:tcPr>
            <w:tcW w:w="681" w:type="dxa"/>
            <w:tcBorders>
              <w:top w:val="nil"/>
              <w:left w:val="nil"/>
              <w:bottom w:val="nil"/>
              <w:right w:val="single" w:sz="4" w:space="0" w:color="auto"/>
            </w:tcBorders>
            <w:shd w:val="clear" w:color="000000" w:fill="FFFFFF"/>
            <w:noWrap/>
            <w:hideMark/>
          </w:tcPr>
          <w:p w14:paraId="6E0EB9AE"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2.4</w:t>
            </w:r>
          </w:p>
        </w:tc>
      </w:tr>
      <w:tr w:rsidR="001E7A47" w:rsidRPr="00702F3C" w14:paraId="3AC03B47" w14:textId="77777777" w:rsidTr="0069199E">
        <w:trPr>
          <w:trHeight w:val="291"/>
        </w:trPr>
        <w:tc>
          <w:tcPr>
            <w:tcW w:w="2854" w:type="dxa"/>
            <w:tcBorders>
              <w:top w:val="nil"/>
              <w:left w:val="single" w:sz="4" w:space="0" w:color="auto"/>
              <w:bottom w:val="nil"/>
              <w:right w:val="nil"/>
            </w:tcBorders>
            <w:shd w:val="clear" w:color="000000" w:fill="FFFFFF"/>
            <w:noWrap/>
            <w:hideMark/>
          </w:tcPr>
          <w:p w14:paraId="12761127"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Liquidity excess</w:t>
            </w:r>
          </w:p>
        </w:tc>
        <w:tc>
          <w:tcPr>
            <w:tcW w:w="991" w:type="dxa"/>
            <w:tcBorders>
              <w:top w:val="nil"/>
              <w:left w:val="nil"/>
              <w:bottom w:val="nil"/>
              <w:right w:val="nil"/>
            </w:tcBorders>
            <w:shd w:val="clear" w:color="000000" w:fill="FFFFFF"/>
            <w:noWrap/>
            <w:hideMark/>
          </w:tcPr>
          <w:p w14:paraId="567CD172"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85</w:t>
            </w:r>
          </w:p>
        </w:tc>
        <w:tc>
          <w:tcPr>
            <w:tcW w:w="806" w:type="dxa"/>
            <w:tcBorders>
              <w:top w:val="nil"/>
              <w:left w:val="nil"/>
              <w:bottom w:val="nil"/>
              <w:right w:val="nil"/>
            </w:tcBorders>
            <w:shd w:val="clear" w:color="000000" w:fill="FFFFFF"/>
            <w:noWrap/>
            <w:hideMark/>
          </w:tcPr>
          <w:p w14:paraId="0D7BD8CF"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c>
          <w:tcPr>
            <w:tcW w:w="563" w:type="dxa"/>
            <w:tcBorders>
              <w:top w:val="nil"/>
              <w:left w:val="nil"/>
              <w:bottom w:val="nil"/>
              <w:right w:val="nil"/>
            </w:tcBorders>
            <w:shd w:val="clear" w:color="000000" w:fill="FFFFFF"/>
            <w:noWrap/>
            <w:hideMark/>
          </w:tcPr>
          <w:p w14:paraId="6339413B"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756" w:type="dxa"/>
            <w:tcBorders>
              <w:top w:val="nil"/>
              <w:left w:val="nil"/>
              <w:bottom w:val="nil"/>
              <w:right w:val="nil"/>
            </w:tcBorders>
            <w:shd w:val="clear" w:color="000000" w:fill="FFFFFF"/>
            <w:noWrap/>
            <w:hideMark/>
          </w:tcPr>
          <w:p w14:paraId="268871F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68" w:type="dxa"/>
            <w:tcBorders>
              <w:top w:val="nil"/>
              <w:left w:val="nil"/>
              <w:bottom w:val="nil"/>
              <w:right w:val="nil"/>
            </w:tcBorders>
            <w:shd w:val="clear" w:color="000000" w:fill="FFFFFF"/>
            <w:noWrap/>
            <w:hideMark/>
          </w:tcPr>
          <w:p w14:paraId="5B87E78B"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68" w:type="dxa"/>
            <w:tcBorders>
              <w:top w:val="nil"/>
              <w:left w:val="nil"/>
              <w:bottom w:val="nil"/>
              <w:right w:val="nil"/>
            </w:tcBorders>
            <w:shd w:val="clear" w:color="000000" w:fill="FFFFFF"/>
            <w:noWrap/>
            <w:hideMark/>
          </w:tcPr>
          <w:p w14:paraId="07CA93CB"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c>
          <w:tcPr>
            <w:tcW w:w="681" w:type="dxa"/>
            <w:tcBorders>
              <w:top w:val="nil"/>
              <w:left w:val="nil"/>
              <w:bottom w:val="nil"/>
              <w:right w:val="nil"/>
            </w:tcBorders>
            <w:shd w:val="clear" w:color="000000" w:fill="FFFFFF"/>
            <w:noWrap/>
            <w:hideMark/>
          </w:tcPr>
          <w:p w14:paraId="0194937D"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c>
          <w:tcPr>
            <w:tcW w:w="681" w:type="dxa"/>
            <w:tcBorders>
              <w:top w:val="nil"/>
              <w:left w:val="nil"/>
              <w:bottom w:val="nil"/>
              <w:right w:val="single" w:sz="4" w:space="0" w:color="auto"/>
            </w:tcBorders>
            <w:shd w:val="clear" w:color="000000" w:fill="FFFFFF"/>
            <w:noWrap/>
            <w:hideMark/>
          </w:tcPr>
          <w:p w14:paraId="3BEAD37D"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0.4</w:t>
            </w:r>
          </w:p>
        </w:tc>
      </w:tr>
      <w:tr w:rsidR="001E7A47" w:rsidRPr="00702F3C" w14:paraId="2B92DDD3" w14:textId="77777777" w:rsidTr="0069199E">
        <w:trPr>
          <w:trHeight w:val="291"/>
        </w:trPr>
        <w:tc>
          <w:tcPr>
            <w:tcW w:w="2854" w:type="dxa"/>
            <w:tcBorders>
              <w:top w:val="nil"/>
              <w:left w:val="single" w:sz="4" w:space="0" w:color="auto"/>
              <w:bottom w:val="nil"/>
              <w:right w:val="nil"/>
            </w:tcBorders>
            <w:shd w:val="clear" w:color="000000" w:fill="FFFFFF"/>
            <w:noWrap/>
            <w:hideMark/>
          </w:tcPr>
          <w:p w14:paraId="7BAEE210"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CAR excess</w:t>
            </w:r>
          </w:p>
        </w:tc>
        <w:tc>
          <w:tcPr>
            <w:tcW w:w="991" w:type="dxa"/>
            <w:tcBorders>
              <w:top w:val="nil"/>
              <w:left w:val="nil"/>
              <w:bottom w:val="nil"/>
              <w:right w:val="nil"/>
            </w:tcBorders>
            <w:shd w:val="clear" w:color="000000" w:fill="FFFFFF"/>
            <w:noWrap/>
            <w:hideMark/>
          </w:tcPr>
          <w:p w14:paraId="7F2386C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85</w:t>
            </w:r>
          </w:p>
        </w:tc>
        <w:tc>
          <w:tcPr>
            <w:tcW w:w="806" w:type="dxa"/>
            <w:tcBorders>
              <w:top w:val="nil"/>
              <w:left w:val="nil"/>
              <w:bottom w:val="nil"/>
              <w:right w:val="nil"/>
            </w:tcBorders>
            <w:shd w:val="clear" w:color="000000" w:fill="FFFFFF"/>
            <w:noWrap/>
            <w:hideMark/>
          </w:tcPr>
          <w:p w14:paraId="10F59F90"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563" w:type="dxa"/>
            <w:tcBorders>
              <w:top w:val="nil"/>
              <w:left w:val="nil"/>
              <w:bottom w:val="nil"/>
              <w:right w:val="nil"/>
            </w:tcBorders>
            <w:shd w:val="clear" w:color="000000" w:fill="FFFFFF"/>
            <w:noWrap/>
            <w:hideMark/>
          </w:tcPr>
          <w:p w14:paraId="39F71E1F"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756" w:type="dxa"/>
            <w:tcBorders>
              <w:top w:val="nil"/>
              <w:left w:val="nil"/>
              <w:bottom w:val="nil"/>
              <w:right w:val="nil"/>
            </w:tcBorders>
            <w:shd w:val="clear" w:color="000000" w:fill="FFFFFF"/>
            <w:noWrap/>
            <w:hideMark/>
          </w:tcPr>
          <w:p w14:paraId="584B57B0"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nil"/>
              <w:right w:val="nil"/>
            </w:tcBorders>
            <w:shd w:val="clear" w:color="000000" w:fill="FFFFFF"/>
            <w:noWrap/>
            <w:hideMark/>
          </w:tcPr>
          <w:p w14:paraId="5D6FDF44"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nil"/>
              <w:right w:val="nil"/>
            </w:tcBorders>
            <w:shd w:val="clear" w:color="000000" w:fill="FFFFFF"/>
            <w:noWrap/>
            <w:hideMark/>
          </w:tcPr>
          <w:p w14:paraId="27D515DC"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81" w:type="dxa"/>
            <w:tcBorders>
              <w:top w:val="nil"/>
              <w:left w:val="nil"/>
              <w:bottom w:val="nil"/>
              <w:right w:val="nil"/>
            </w:tcBorders>
            <w:shd w:val="clear" w:color="000000" w:fill="FFFFFF"/>
            <w:noWrap/>
            <w:hideMark/>
          </w:tcPr>
          <w:p w14:paraId="34B470D0"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c>
          <w:tcPr>
            <w:tcW w:w="681" w:type="dxa"/>
            <w:tcBorders>
              <w:top w:val="nil"/>
              <w:left w:val="nil"/>
              <w:bottom w:val="nil"/>
              <w:right w:val="single" w:sz="4" w:space="0" w:color="auto"/>
            </w:tcBorders>
            <w:shd w:val="clear" w:color="000000" w:fill="FFFFFF"/>
            <w:noWrap/>
            <w:hideMark/>
          </w:tcPr>
          <w:p w14:paraId="0958B7E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r>
      <w:tr w:rsidR="001E7A47" w:rsidRPr="00702F3C" w14:paraId="14DCAA73" w14:textId="77777777" w:rsidTr="0069199E">
        <w:trPr>
          <w:trHeight w:val="291"/>
        </w:trPr>
        <w:tc>
          <w:tcPr>
            <w:tcW w:w="2854" w:type="dxa"/>
            <w:tcBorders>
              <w:top w:val="nil"/>
              <w:left w:val="single" w:sz="4" w:space="0" w:color="auto"/>
              <w:bottom w:val="nil"/>
              <w:right w:val="nil"/>
            </w:tcBorders>
            <w:shd w:val="clear" w:color="000000" w:fill="FFFFFF"/>
            <w:noWrap/>
            <w:hideMark/>
          </w:tcPr>
          <w:p w14:paraId="3C54AC23"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Mortgage stock</w:t>
            </w:r>
          </w:p>
        </w:tc>
        <w:tc>
          <w:tcPr>
            <w:tcW w:w="991" w:type="dxa"/>
            <w:tcBorders>
              <w:top w:val="nil"/>
              <w:left w:val="nil"/>
              <w:bottom w:val="nil"/>
              <w:right w:val="nil"/>
            </w:tcBorders>
            <w:shd w:val="clear" w:color="000000" w:fill="FFFFFF"/>
            <w:noWrap/>
            <w:hideMark/>
          </w:tcPr>
          <w:p w14:paraId="175C954E"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72</w:t>
            </w:r>
          </w:p>
        </w:tc>
        <w:tc>
          <w:tcPr>
            <w:tcW w:w="806" w:type="dxa"/>
            <w:tcBorders>
              <w:top w:val="nil"/>
              <w:left w:val="nil"/>
              <w:bottom w:val="nil"/>
              <w:right w:val="nil"/>
            </w:tcBorders>
            <w:shd w:val="clear" w:color="000000" w:fill="FFFFFF"/>
            <w:noWrap/>
            <w:hideMark/>
          </w:tcPr>
          <w:p w14:paraId="55D89BF7"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0.3</w:t>
            </w:r>
          </w:p>
        </w:tc>
        <w:tc>
          <w:tcPr>
            <w:tcW w:w="563" w:type="dxa"/>
            <w:tcBorders>
              <w:top w:val="nil"/>
              <w:left w:val="nil"/>
              <w:bottom w:val="nil"/>
              <w:right w:val="nil"/>
            </w:tcBorders>
            <w:shd w:val="clear" w:color="000000" w:fill="FFFFFF"/>
            <w:noWrap/>
            <w:hideMark/>
          </w:tcPr>
          <w:p w14:paraId="71E42945"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0.4</w:t>
            </w:r>
          </w:p>
        </w:tc>
        <w:tc>
          <w:tcPr>
            <w:tcW w:w="756" w:type="dxa"/>
            <w:tcBorders>
              <w:top w:val="nil"/>
              <w:left w:val="nil"/>
              <w:bottom w:val="nil"/>
              <w:right w:val="nil"/>
            </w:tcBorders>
            <w:shd w:val="clear" w:color="000000" w:fill="FFFFFF"/>
            <w:noWrap/>
            <w:hideMark/>
          </w:tcPr>
          <w:p w14:paraId="59103466"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nil"/>
              <w:right w:val="nil"/>
            </w:tcBorders>
            <w:shd w:val="clear" w:color="000000" w:fill="FFFFFF"/>
            <w:noWrap/>
            <w:hideMark/>
          </w:tcPr>
          <w:p w14:paraId="5DB72277"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68" w:type="dxa"/>
            <w:tcBorders>
              <w:top w:val="nil"/>
              <w:left w:val="nil"/>
              <w:bottom w:val="nil"/>
              <w:right w:val="nil"/>
            </w:tcBorders>
            <w:shd w:val="clear" w:color="000000" w:fill="FFFFFF"/>
            <w:noWrap/>
            <w:hideMark/>
          </w:tcPr>
          <w:p w14:paraId="55B22145"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c>
          <w:tcPr>
            <w:tcW w:w="681" w:type="dxa"/>
            <w:tcBorders>
              <w:top w:val="nil"/>
              <w:left w:val="nil"/>
              <w:bottom w:val="nil"/>
              <w:right w:val="nil"/>
            </w:tcBorders>
            <w:shd w:val="clear" w:color="000000" w:fill="FFFFFF"/>
            <w:noWrap/>
            <w:hideMark/>
          </w:tcPr>
          <w:p w14:paraId="2DB33F7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0.4</w:t>
            </w:r>
          </w:p>
        </w:tc>
        <w:tc>
          <w:tcPr>
            <w:tcW w:w="681" w:type="dxa"/>
            <w:tcBorders>
              <w:top w:val="nil"/>
              <w:left w:val="nil"/>
              <w:bottom w:val="nil"/>
              <w:right w:val="single" w:sz="4" w:space="0" w:color="auto"/>
            </w:tcBorders>
            <w:shd w:val="clear" w:color="000000" w:fill="FFFFFF"/>
            <w:noWrap/>
            <w:hideMark/>
          </w:tcPr>
          <w:p w14:paraId="509590B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1.6</w:t>
            </w:r>
          </w:p>
        </w:tc>
      </w:tr>
      <w:tr w:rsidR="001E7A47" w:rsidRPr="00702F3C" w14:paraId="662BCD6D" w14:textId="77777777" w:rsidTr="0069199E">
        <w:trPr>
          <w:trHeight w:val="291"/>
        </w:trPr>
        <w:tc>
          <w:tcPr>
            <w:tcW w:w="2854" w:type="dxa"/>
            <w:tcBorders>
              <w:top w:val="nil"/>
              <w:left w:val="single" w:sz="4" w:space="0" w:color="auto"/>
              <w:bottom w:val="nil"/>
              <w:right w:val="nil"/>
            </w:tcBorders>
            <w:shd w:val="clear" w:color="000000" w:fill="FFFFFF"/>
            <w:noWrap/>
            <w:hideMark/>
          </w:tcPr>
          <w:p w14:paraId="7083B093"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Mortgage flow</w:t>
            </w:r>
          </w:p>
        </w:tc>
        <w:tc>
          <w:tcPr>
            <w:tcW w:w="991" w:type="dxa"/>
            <w:tcBorders>
              <w:top w:val="nil"/>
              <w:left w:val="nil"/>
              <w:bottom w:val="nil"/>
              <w:right w:val="nil"/>
            </w:tcBorders>
            <w:shd w:val="clear" w:color="000000" w:fill="FFFFFF"/>
            <w:noWrap/>
            <w:hideMark/>
          </w:tcPr>
          <w:p w14:paraId="0719FD74"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72</w:t>
            </w:r>
          </w:p>
        </w:tc>
        <w:tc>
          <w:tcPr>
            <w:tcW w:w="806" w:type="dxa"/>
            <w:tcBorders>
              <w:top w:val="nil"/>
              <w:left w:val="nil"/>
              <w:bottom w:val="nil"/>
              <w:right w:val="nil"/>
            </w:tcBorders>
            <w:shd w:val="clear" w:color="000000" w:fill="FFFFFF"/>
            <w:noWrap/>
            <w:hideMark/>
          </w:tcPr>
          <w:p w14:paraId="0B1CFCF9"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0.4</w:t>
            </w:r>
          </w:p>
        </w:tc>
        <w:tc>
          <w:tcPr>
            <w:tcW w:w="563" w:type="dxa"/>
            <w:tcBorders>
              <w:top w:val="nil"/>
              <w:left w:val="nil"/>
              <w:bottom w:val="nil"/>
              <w:right w:val="nil"/>
            </w:tcBorders>
            <w:shd w:val="clear" w:color="000000" w:fill="FFFFFF"/>
            <w:noWrap/>
            <w:hideMark/>
          </w:tcPr>
          <w:p w14:paraId="722187E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0.6</w:t>
            </w:r>
          </w:p>
        </w:tc>
        <w:tc>
          <w:tcPr>
            <w:tcW w:w="756" w:type="dxa"/>
            <w:tcBorders>
              <w:top w:val="nil"/>
              <w:left w:val="nil"/>
              <w:bottom w:val="nil"/>
              <w:right w:val="nil"/>
            </w:tcBorders>
            <w:shd w:val="clear" w:color="000000" w:fill="FFFFFF"/>
            <w:noWrap/>
            <w:hideMark/>
          </w:tcPr>
          <w:p w14:paraId="0B680356"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-0.8</w:t>
            </w:r>
          </w:p>
        </w:tc>
        <w:tc>
          <w:tcPr>
            <w:tcW w:w="668" w:type="dxa"/>
            <w:tcBorders>
              <w:top w:val="nil"/>
              <w:left w:val="nil"/>
              <w:bottom w:val="nil"/>
              <w:right w:val="nil"/>
            </w:tcBorders>
            <w:shd w:val="clear" w:color="000000" w:fill="FFFFFF"/>
            <w:noWrap/>
            <w:hideMark/>
          </w:tcPr>
          <w:p w14:paraId="3054C04D"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nil"/>
              <w:right w:val="nil"/>
            </w:tcBorders>
            <w:shd w:val="clear" w:color="000000" w:fill="FFFFFF"/>
            <w:noWrap/>
            <w:hideMark/>
          </w:tcPr>
          <w:p w14:paraId="3E621D7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c>
          <w:tcPr>
            <w:tcW w:w="681" w:type="dxa"/>
            <w:tcBorders>
              <w:top w:val="nil"/>
              <w:left w:val="nil"/>
              <w:bottom w:val="nil"/>
              <w:right w:val="nil"/>
            </w:tcBorders>
            <w:shd w:val="clear" w:color="000000" w:fill="FFFFFF"/>
            <w:noWrap/>
            <w:hideMark/>
          </w:tcPr>
          <w:p w14:paraId="55105F3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0.6</w:t>
            </w:r>
          </w:p>
        </w:tc>
        <w:tc>
          <w:tcPr>
            <w:tcW w:w="681" w:type="dxa"/>
            <w:tcBorders>
              <w:top w:val="nil"/>
              <w:left w:val="nil"/>
              <w:bottom w:val="nil"/>
              <w:right w:val="single" w:sz="4" w:space="0" w:color="auto"/>
            </w:tcBorders>
            <w:shd w:val="clear" w:color="000000" w:fill="FFFFFF"/>
            <w:noWrap/>
            <w:hideMark/>
          </w:tcPr>
          <w:p w14:paraId="7022127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1.6</w:t>
            </w:r>
          </w:p>
        </w:tc>
      </w:tr>
      <w:tr w:rsidR="001E7A47" w:rsidRPr="00702F3C" w14:paraId="4F8067BF" w14:textId="77777777" w:rsidTr="0069199E">
        <w:trPr>
          <w:trHeight w:val="291"/>
        </w:trPr>
        <w:tc>
          <w:tcPr>
            <w:tcW w:w="2854" w:type="dxa"/>
            <w:tcBorders>
              <w:top w:val="nil"/>
              <w:left w:val="single" w:sz="4" w:space="0" w:color="auto"/>
              <w:bottom w:val="nil"/>
              <w:right w:val="nil"/>
            </w:tcBorders>
            <w:shd w:val="clear" w:color="000000" w:fill="FFFFFF"/>
            <w:noWrap/>
            <w:hideMark/>
          </w:tcPr>
          <w:p w14:paraId="3974B939"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Mortgage interest rate</w:t>
            </w:r>
          </w:p>
        </w:tc>
        <w:tc>
          <w:tcPr>
            <w:tcW w:w="991" w:type="dxa"/>
            <w:tcBorders>
              <w:top w:val="nil"/>
              <w:left w:val="nil"/>
              <w:bottom w:val="nil"/>
              <w:right w:val="nil"/>
            </w:tcBorders>
            <w:shd w:val="clear" w:color="000000" w:fill="FFFFFF"/>
            <w:noWrap/>
            <w:hideMark/>
          </w:tcPr>
          <w:p w14:paraId="4DF28564"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63</w:t>
            </w:r>
          </w:p>
        </w:tc>
        <w:tc>
          <w:tcPr>
            <w:tcW w:w="806" w:type="dxa"/>
            <w:tcBorders>
              <w:top w:val="nil"/>
              <w:left w:val="nil"/>
              <w:bottom w:val="nil"/>
              <w:right w:val="nil"/>
            </w:tcBorders>
            <w:shd w:val="clear" w:color="000000" w:fill="FFFFFF"/>
            <w:noWrap/>
            <w:hideMark/>
          </w:tcPr>
          <w:p w14:paraId="6BF4245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-2.1</w:t>
            </w:r>
          </w:p>
        </w:tc>
        <w:tc>
          <w:tcPr>
            <w:tcW w:w="563" w:type="dxa"/>
            <w:tcBorders>
              <w:top w:val="nil"/>
              <w:left w:val="nil"/>
              <w:bottom w:val="nil"/>
              <w:right w:val="nil"/>
            </w:tcBorders>
            <w:shd w:val="clear" w:color="000000" w:fill="FFFFFF"/>
            <w:noWrap/>
            <w:hideMark/>
          </w:tcPr>
          <w:p w14:paraId="10223336"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756" w:type="dxa"/>
            <w:tcBorders>
              <w:top w:val="nil"/>
              <w:left w:val="nil"/>
              <w:bottom w:val="nil"/>
              <w:right w:val="nil"/>
            </w:tcBorders>
            <w:shd w:val="clear" w:color="000000" w:fill="FFFFFF"/>
            <w:noWrap/>
            <w:hideMark/>
          </w:tcPr>
          <w:p w14:paraId="0B1354CB"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-2.3</w:t>
            </w:r>
          </w:p>
        </w:tc>
        <w:tc>
          <w:tcPr>
            <w:tcW w:w="668" w:type="dxa"/>
            <w:tcBorders>
              <w:top w:val="nil"/>
              <w:left w:val="nil"/>
              <w:bottom w:val="nil"/>
              <w:right w:val="nil"/>
            </w:tcBorders>
            <w:shd w:val="clear" w:color="000000" w:fill="FFFFFF"/>
            <w:noWrap/>
            <w:hideMark/>
          </w:tcPr>
          <w:p w14:paraId="7FA8AFBB"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-2.2</w:t>
            </w:r>
          </w:p>
        </w:tc>
        <w:tc>
          <w:tcPr>
            <w:tcW w:w="668" w:type="dxa"/>
            <w:tcBorders>
              <w:top w:val="nil"/>
              <w:left w:val="nil"/>
              <w:bottom w:val="nil"/>
              <w:right w:val="nil"/>
            </w:tcBorders>
            <w:shd w:val="clear" w:color="000000" w:fill="FFFFFF"/>
            <w:noWrap/>
            <w:hideMark/>
          </w:tcPr>
          <w:p w14:paraId="056A9DC9"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-2.1</w:t>
            </w:r>
          </w:p>
        </w:tc>
        <w:tc>
          <w:tcPr>
            <w:tcW w:w="681" w:type="dxa"/>
            <w:tcBorders>
              <w:top w:val="nil"/>
              <w:left w:val="nil"/>
              <w:bottom w:val="nil"/>
              <w:right w:val="nil"/>
            </w:tcBorders>
            <w:shd w:val="clear" w:color="000000" w:fill="FFFFFF"/>
            <w:noWrap/>
            <w:hideMark/>
          </w:tcPr>
          <w:p w14:paraId="6633DD7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-2.1</w:t>
            </w:r>
          </w:p>
        </w:tc>
        <w:tc>
          <w:tcPr>
            <w:tcW w:w="681" w:type="dxa"/>
            <w:tcBorders>
              <w:top w:val="nil"/>
              <w:left w:val="nil"/>
              <w:bottom w:val="nil"/>
              <w:right w:val="single" w:sz="4" w:space="0" w:color="auto"/>
            </w:tcBorders>
            <w:shd w:val="clear" w:color="000000" w:fill="FFFFFF"/>
            <w:noWrap/>
            <w:hideMark/>
          </w:tcPr>
          <w:p w14:paraId="6EC32572"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-1.6</w:t>
            </w:r>
          </w:p>
        </w:tc>
      </w:tr>
      <w:tr w:rsidR="001E7A47" w:rsidRPr="00702F3C" w14:paraId="6BC3A9FD" w14:textId="77777777" w:rsidTr="0069199E">
        <w:trPr>
          <w:trHeight w:val="291"/>
        </w:trPr>
        <w:tc>
          <w:tcPr>
            <w:tcW w:w="2854" w:type="dxa"/>
            <w:tcBorders>
              <w:top w:val="nil"/>
              <w:left w:val="single" w:sz="4" w:space="0" w:color="auto"/>
              <w:bottom w:val="nil"/>
              <w:right w:val="nil"/>
            </w:tcBorders>
            <w:shd w:val="clear" w:color="000000" w:fill="FFFFFF"/>
            <w:noWrap/>
            <w:hideMark/>
          </w:tcPr>
          <w:p w14:paraId="0C18E26E"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Construction loans</w:t>
            </w:r>
          </w:p>
        </w:tc>
        <w:tc>
          <w:tcPr>
            <w:tcW w:w="991" w:type="dxa"/>
            <w:tcBorders>
              <w:top w:val="nil"/>
              <w:left w:val="nil"/>
              <w:bottom w:val="nil"/>
              <w:right w:val="nil"/>
            </w:tcBorders>
            <w:shd w:val="clear" w:color="000000" w:fill="FFFFFF"/>
            <w:noWrap/>
            <w:hideMark/>
          </w:tcPr>
          <w:p w14:paraId="31B359D9"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77</w:t>
            </w:r>
          </w:p>
        </w:tc>
        <w:tc>
          <w:tcPr>
            <w:tcW w:w="806" w:type="dxa"/>
            <w:tcBorders>
              <w:top w:val="nil"/>
              <w:left w:val="nil"/>
              <w:bottom w:val="nil"/>
              <w:right w:val="nil"/>
            </w:tcBorders>
            <w:shd w:val="clear" w:color="000000" w:fill="FFFFFF"/>
            <w:noWrap/>
            <w:hideMark/>
          </w:tcPr>
          <w:p w14:paraId="488AA309"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0.7</w:t>
            </w:r>
          </w:p>
        </w:tc>
        <w:tc>
          <w:tcPr>
            <w:tcW w:w="563" w:type="dxa"/>
            <w:tcBorders>
              <w:top w:val="nil"/>
              <w:left w:val="nil"/>
              <w:bottom w:val="nil"/>
              <w:right w:val="nil"/>
            </w:tcBorders>
            <w:shd w:val="clear" w:color="000000" w:fill="FFFFFF"/>
            <w:noWrap/>
            <w:hideMark/>
          </w:tcPr>
          <w:p w14:paraId="099D7BDF"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0.6</w:t>
            </w:r>
          </w:p>
        </w:tc>
        <w:tc>
          <w:tcPr>
            <w:tcW w:w="756" w:type="dxa"/>
            <w:tcBorders>
              <w:top w:val="nil"/>
              <w:left w:val="nil"/>
              <w:bottom w:val="nil"/>
              <w:right w:val="nil"/>
            </w:tcBorders>
            <w:shd w:val="clear" w:color="000000" w:fill="FFFFFF"/>
            <w:noWrap/>
            <w:hideMark/>
          </w:tcPr>
          <w:p w14:paraId="79A5C73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68" w:type="dxa"/>
            <w:tcBorders>
              <w:top w:val="nil"/>
              <w:left w:val="nil"/>
              <w:bottom w:val="nil"/>
              <w:right w:val="nil"/>
            </w:tcBorders>
            <w:shd w:val="clear" w:color="000000" w:fill="FFFFFF"/>
            <w:noWrap/>
            <w:hideMark/>
          </w:tcPr>
          <w:p w14:paraId="67D790F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0.3</w:t>
            </w:r>
          </w:p>
        </w:tc>
        <w:tc>
          <w:tcPr>
            <w:tcW w:w="668" w:type="dxa"/>
            <w:tcBorders>
              <w:top w:val="nil"/>
              <w:left w:val="nil"/>
              <w:bottom w:val="nil"/>
              <w:right w:val="nil"/>
            </w:tcBorders>
            <w:shd w:val="clear" w:color="000000" w:fill="FFFFFF"/>
            <w:noWrap/>
            <w:hideMark/>
          </w:tcPr>
          <w:p w14:paraId="53E06E5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0.5</w:t>
            </w:r>
          </w:p>
        </w:tc>
        <w:tc>
          <w:tcPr>
            <w:tcW w:w="681" w:type="dxa"/>
            <w:tcBorders>
              <w:top w:val="nil"/>
              <w:left w:val="nil"/>
              <w:bottom w:val="nil"/>
              <w:right w:val="nil"/>
            </w:tcBorders>
            <w:shd w:val="clear" w:color="000000" w:fill="FFFFFF"/>
            <w:noWrap/>
            <w:hideMark/>
          </w:tcPr>
          <w:p w14:paraId="63F655C0"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0.8</w:t>
            </w:r>
          </w:p>
        </w:tc>
        <w:tc>
          <w:tcPr>
            <w:tcW w:w="681" w:type="dxa"/>
            <w:tcBorders>
              <w:top w:val="nil"/>
              <w:left w:val="nil"/>
              <w:bottom w:val="nil"/>
              <w:right w:val="single" w:sz="4" w:space="0" w:color="auto"/>
            </w:tcBorders>
            <w:shd w:val="clear" w:color="000000" w:fill="FFFFFF"/>
            <w:noWrap/>
            <w:hideMark/>
          </w:tcPr>
          <w:p w14:paraId="7C448588"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3</w:t>
            </w:r>
          </w:p>
        </w:tc>
      </w:tr>
      <w:tr w:rsidR="001E7A47" w:rsidRPr="00702F3C" w14:paraId="5F606AC8" w14:textId="77777777" w:rsidTr="0069199E">
        <w:trPr>
          <w:trHeight w:val="291"/>
        </w:trPr>
        <w:tc>
          <w:tcPr>
            <w:tcW w:w="2854" w:type="dxa"/>
            <w:tcBorders>
              <w:top w:val="nil"/>
              <w:left w:val="single" w:sz="4" w:space="0" w:color="auto"/>
              <w:bottom w:val="nil"/>
              <w:right w:val="nil"/>
            </w:tcBorders>
            <w:shd w:val="clear" w:color="000000" w:fill="FFFFFF"/>
            <w:noWrap/>
            <w:hideMark/>
          </w:tcPr>
          <w:p w14:paraId="4C5D4B37"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Real estate prices</w:t>
            </w:r>
          </w:p>
        </w:tc>
        <w:tc>
          <w:tcPr>
            <w:tcW w:w="991" w:type="dxa"/>
            <w:tcBorders>
              <w:top w:val="nil"/>
              <w:left w:val="nil"/>
              <w:bottom w:val="nil"/>
              <w:right w:val="nil"/>
            </w:tcBorders>
            <w:shd w:val="clear" w:color="000000" w:fill="FFFFFF"/>
            <w:noWrap/>
            <w:hideMark/>
          </w:tcPr>
          <w:p w14:paraId="321B6402"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81</w:t>
            </w:r>
          </w:p>
        </w:tc>
        <w:tc>
          <w:tcPr>
            <w:tcW w:w="806" w:type="dxa"/>
            <w:tcBorders>
              <w:top w:val="nil"/>
              <w:left w:val="nil"/>
              <w:bottom w:val="nil"/>
              <w:right w:val="nil"/>
            </w:tcBorders>
            <w:shd w:val="clear" w:color="000000" w:fill="FFFFFF"/>
            <w:noWrap/>
            <w:hideMark/>
          </w:tcPr>
          <w:p w14:paraId="5FD8713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563" w:type="dxa"/>
            <w:tcBorders>
              <w:top w:val="nil"/>
              <w:left w:val="nil"/>
              <w:bottom w:val="nil"/>
              <w:right w:val="nil"/>
            </w:tcBorders>
            <w:shd w:val="clear" w:color="000000" w:fill="FFFFFF"/>
            <w:noWrap/>
            <w:hideMark/>
          </w:tcPr>
          <w:p w14:paraId="0D7B8E84"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756" w:type="dxa"/>
            <w:tcBorders>
              <w:top w:val="nil"/>
              <w:left w:val="nil"/>
              <w:bottom w:val="nil"/>
              <w:right w:val="nil"/>
            </w:tcBorders>
            <w:shd w:val="clear" w:color="000000" w:fill="FFFFFF"/>
            <w:noWrap/>
            <w:hideMark/>
          </w:tcPr>
          <w:p w14:paraId="5817216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c>
          <w:tcPr>
            <w:tcW w:w="668" w:type="dxa"/>
            <w:tcBorders>
              <w:top w:val="nil"/>
              <w:left w:val="nil"/>
              <w:bottom w:val="nil"/>
              <w:right w:val="nil"/>
            </w:tcBorders>
            <w:shd w:val="clear" w:color="000000" w:fill="FFFFFF"/>
            <w:noWrap/>
            <w:hideMark/>
          </w:tcPr>
          <w:p w14:paraId="0A68BF17"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nil"/>
              <w:right w:val="nil"/>
            </w:tcBorders>
            <w:shd w:val="clear" w:color="000000" w:fill="FFFFFF"/>
            <w:noWrap/>
            <w:hideMark/>
          </w:tcPr>
          <w:p w14:paraId="6F778CF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81" w:type="dxa"/>
            <w:tcBorders>
              <w:top w:val="nil"/>
              <w:left w:val="nil"/>
              <w:bottom w:val="nil"/>
              <w:right w:val="nil"/>
            </w:tcBorders>
            <w:shd w:val="clear" w:color="000000" w:fill="FFFFFF"/>
            <w:noWrap/>
            <w:hideMark/>
          </w:tcPr>
          <w:p w14:paraId="58673DF0"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81" w:type="dxa"/>
            <w:tcBorders>
              <w:top w:val="nil"/>
              <w:left w:val="nil"/>
              <w:bottom w:val="nil"/>
              <w:right w:val="single" w:sz="4" w:space="0" w:color="auto"/>
            </w:tcBorders>
            <w:shd w:val="clear" w:color="000000" w:fill="FFFFFF"/>
            <w:noWrap/>
            <w:hideMark/>
          </w:tcPr>
          <w:p w14:paraId="0BBFFD2D"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0.4</w:t>
            </w:r>
          </w:p>
        </w:tc>
      </w:tr>
      <w:tr w:rsidR="001E7A47" w:rsidRPr="00702F3C" w14:paraId="032166A5" w14:textId="77777777" w:rsidTr="0069199E">
        <w:trPr>
          <w:trHeight w:val="291"/>
        </w:trPr>
        <w:tc>
          <w:tcPr>
            <w:tcW w:w="2854" w:type="dxa"/>
            <w:tcBorders>
              <w:top w:val="nil"/>
              <w:left w:val="single" w:sz="4" w:space="0" w:color="auto"/>
              <w:bottom w:val="nil"/>
              <w:right w:val="nil"/>
            </w:tcBorders>
            <w:shd w:val="clear" w:color="000000" w:fill="FFFFFF"/>
            <w:noWrap/>
            <w:hideMark/>
          </w:tcPr>
          <w:p w14:paraId="10ED66C8"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DSTI</w:t>
            </w:r>
          </w:p>
        </w:tc>
        <w:tc>
          <w:tcPr>
            <w:tcW w:w="991" w:type="dxa"/>
            <w:tcBorders>
              <w:top w:val="nil"/>
              <w:left w:val="nil"/>
              <w:bottom w:val="nil"/>
              <w:right w:val="nil"/>
            </w:tcBorders>
            <w:shd w:val="clear" w:color="000000" w:fill="FFFFFF"/>
            <w:noWrap/>
            <w:hideMark/>
          </w:tcPr>
          <w:p w14:paraId="7E8CBE40"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77</w:t>
            </w:r>
          </w:p>
        </w:tc>
        <w:tc>
          <w:tcPr>
            <w:tcW w:w="806" w:type="dxa"/>
            <w:tcBorders>
              <w:top w:val="nil"/>
              <w:left w:val="nil"/>
              <w:bottom w:val="nil"/>
              <w:right w:val="nil"/>
            </w:tcBorders>
            <w:shd w:val="clear" w:color="000000" w:fill="FFFFFF"/>
            <w:noWrap/>
            <w:hideMark/>
          </w:tcPr>
          <w:p w14:paraId="786B94E8"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563" w:type="dxa"/>
            <w:tcBorders>
              <w:top w:val="nil"/>
              <w:left w:val="nil"/>
              <w:bottom w:val="nil"/>
              <w:right w:val="nil"/>
            </w:tcBorders>
            <w:shd w:val="clear" w:color="000000" w:fill="FFFFFF"/>
            <w:noWrap/>
            <w:hideMark/>
          </w:tcPr>
          <w:p w14:paraId="523C8BA1"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756" w:type="dxa"/>
            <w:tcBorders>
              <w:top w:val="nil"/>
              <w:left w:val="nil"/>
              <w:bottom w:val="nil"/>
              <w:right w:val="nil"/>
            </w:tcBorders>
            <w:shd w:val="clear" w:color="000000" w:fill="FFFFFF"/>
            <w:noWrap/>
            <w:hideMark/>
          </w:tcPr>
          <w:p w14:paraId="77C5895C"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nil"/>
              <w:right w:val="nil"/>
            </w:tcBorders>
            <w:shd w:val="clear" w:color="000000" w:fill="FFFFFF"/>
            <w:noWrap/>
            <w:hideMark/>
          </w:tcPr>
          <w:p w14:paraId="70338182"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nil"/>
              <w:right w:val="nil"/>
            </w:tcBorders>
            <w:shd w:val="clear" w:color="000000" w:fill="FFFFFF"/>
            <w:noWrap/>
            <w:hideMark/>
          </w:tcPr>
          <w:p w14:paraId="02FC586F"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81" w:type="dxa"/>
            <w:tcBorders>
              <w:top w:val="nil"/>
              <w:left w:val="nil"/>
              <w:bottom w:val="nil"/>
              <w:right w:val="nil"/>
            </w:tcBorders>
            <w:shd w:val="clear" w:color="000000" w:fill="FFFFFF"/>
            <w:noWrap/>
            <w:hideMark/>
          </w:tcPr>
          <w:p w14:paraId="25D945B6"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81" w:type="dxa"/>
            <w:tcBorders>
              <w:top w:val="nil"/>
              <w:left w:val="nil"/>
              <w:bottom w:val="nil"/>
              <w:right w:val="single" w:sz="4" w:space="0" w:color="auto"/>
            </w:tcBorders>
            <w:shd w:val="clear" w:color="000000" w:fill="FFFFFF"/>
            <w:noWrap/>
            <w:hideMark/>
          </w:tcPr>
          <w:p w14:paraId="1B54111E"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r>
      <w:tr w:rsidR="001E7A47" w:rsidRPr="00702F3C" w14:paraId="721CA233" w14:textId="77777777" w:rsidTr="0069199E">
        <w:trPr>
          <w:trHeight w:val="291"/>
        </w:trPr>
        <w:tc>
          <w:tcPr>
            <w:tcW w:w="2854" w:type="dxa"/>
            <w:tcBorders>
              <w:top w:val="nil"/>
              <w:left w:val="single" w:sz="4" w:space="0" w:color="auto"/>
              <w:bottom w:val="nil"/>
              <w:right w:val="nil"/>
            </w:tcBorders>
            <w:shd w:val="clear" w:color="000000" w:fill="FFFFFF"/>
            <w:noWrap/>
            <w:hideMark/>
          </w:tcPr>
          <w:p w14:paraId="336B8B01"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Macroeconomic Indicator</w:t>
            </w:r>
          </w:p>
        </w:tc>
        <w:tc>
          <w:tcPr>
            <w:tcW w:w="991" w:type="dxa"/>
            <w:tcBorders>
              <w:top w:val="nil"/>
              <w:left w:val="nil"/>
              <w:bottom w:val="nil"/>
              <w:right w:val="nil"/>
            </w:tcBorders>
            <w:shd w:val="clear" w:color="000000" w:fill="FFFFFF"/>
            <w:noWrap/>
            <w:hideMark/>
          </w:tcPr>
          <w:p w14:paraId="3FC06EA5"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85</w:t>
            </w:r>
          </w:p>
        </w:tc>
        <w:tc>
          <w:tcPr>
            <w:tcW w:w="806" w:type="dxa"/>
            <w:tcBorders>
              <w:top w:val="nil"/>
              <w:left w:val="nil"/>
              <w:bottom w:val="nil"/>
              <w:right w:val="nil"/>
            </w:tcBorders>
            <w:shd w:val="clear" w:color="000000" w:fill="FFFFFF"/>
            <w:noWrap/>
            <w:hideMark/>
          </w:tcPr>
          <w:p w14:paraId="54619325"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563" w:type="dxa"/>
            <w:tcBorders>
              <w:top w:val="nil"/>
              <w:left w:val="nil"/>
              <w:bottom w:val="nil"/>
              <w:right w:val="nil"/>
            </w:tcBorders>
            <w:shd w:val="clear" w:color="000000" w:fill="FFFFFF"/>
            <w:noWrap/>
            <w:hideMark/>
          </w:tcPr>
          <w:p w14:paraId="3E56DF2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0.3</w:t>
            </w:r>
          </w:p>
        </w:tc>
        <w:tc>
          <w:tcPr>
            <w:tcW w:w="756" w:type="dxa"/>
            <w:tcBorders>
              <w:top w:val="nil"/>
              <w:left w:val="nil"/>
              <w:bottom w:val="nil"/>
              <w:right w:val="nil"/>
            </w:tcBorders>
            <w:shd w:val="clear" w:color="000000" w:fill="FFFFFF"/>
            <w:noWrap/>
            <w:hideMark/>
          </w:tcPr>
          <w:p w14:paraId="25BC173D"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w:t>
            </w:r>
          </w:p>
        </w:tc>
        <w:tc>
          <w:tcPr>
            <w:tcW w:w="668" w:type="dxa"/>
            <w:tcBorders>
              <w:top w:val="nil"/>
              <w:left w:val="nil"/>
              <w:bottom w:val="nil"/>
              <w:right w:val="nil"/>
            </w:tcBorders>
            <w:shd w:val="clear" w:color="000000" w:fill="FFFFFF"/>
            <w:noWrap/>
            <w:hideMark/>
          </w:tcPr>
          <w:p w14:paraId="3BD455D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-0.1</w:t>
            </w:r>
          </w:p>
        </w:tc>
        <w:tc>
          <w:tcPr>
            <w:tcW w:w="668" w:type="dxa"/>
            <w:tcBorders>
              <w:top w:val="nil"/>
              <w:left w:val="nil"/>
              <w:bottom w:val="nil"/>
              <w:right w:val="nil"/>
            </w:tcBorders>
            <w:shd w:val="clear" w:color="000000" w:fill="FFFFFF"/>
            <w:noWrap/>
            <w:hideMark/>
          </w:tcPr>
          <w:p w14:paraId="5BEE6C1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81" w:type="dxa"/>
            <w:tcBorders>
              <w:top w:val="nil"/>
              <w:left w:val="nil"/>
              <w:bottom w:val="nil"/>
              <w:right w:val="nil"/>
            </w:tcBorders>
            <w:shd w:val="clear" w:color="000000" w:fill="FFFFFF"/>
            <w:noWrap/>
            <w:hideMark/>
          </w:tcPr>
          <w:p w14:paraId="64B60E77"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0.2</w:t>
            </w:r>
          </w:p>
        </w:tc>
        <w:tc>
          <w:tcPr>
            <w:tcW w:w="681" w:type="dxa"/>
            <w:tcBorders>
              <w:top w:val="nil"/>
              <w:left w:val="nil"/>
              <w:bottom w:val="nil"/>
              <w:right w:val="single" w:sz="4" w:space="0" w:color="auto"/>
            </w:tcBorders>
            <w:shd w:val="clear" w:color="000000" w:fill="FFFFFF"/>
            <w:noWrap/>
            <w:hideMark/>
          </w:tcPr>
          <w:p w14:paraId="3755D016"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0.5</w:t>
            </w:r>
          </w:p>
        </w:tc>
      </w:tr>
      <w:tr w:rsidR="001E7A47" w:rsidRPr="00702F3C" w14:paraId="4E543980" w14:textId="77777777" w:rsidTr="0069199E">
        <w:trPr>
          <w:trHeight w:val="291"/>
        </w:trPr>
        <w:tc>
          <w:tcPr>
            <w:tcW w:w="2854" w:type="dxa"/>
            <w:tcBorders>
              <w:top w:val="nil"/>
              <w:left w:val="single" w:sz="4" w:space="0" w:color="auto"/>
              <w:bottom w:val="nil"/>
              <w:right w:val="nil"/>
            </w:tcBorders>
            <w:shd w:val="clear" w:color="000000" w:fill="FFFFFF"/>
            <w:noWrap/>
            <w:hideMark/>
          </w:tcPr>
          <w:p w14:paraId="4F875FEF"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MP</w:t>
            </w:r>
          </w:p>
        </w:tc>
        <w:tc>
          <w:tcPr>
            <w:tcW w:w="991" w:type="dxa"/>
            <w:tcBorders>
              <w:top w:val="nil"/>
              <w:left w:val="nil"/>
              <w:bottom w:val="nil"/>
              <w:right w:val="nil"/>
            </w:tcBorders>
            <w:shd w:val="clear" w:color="000000" w:fill="FFFFFF"/>
            <w:noWrap/>
            <w:hideMark/>
          </w:tcPr>
          <w:p w14:paraId="177832C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85</w:t>
            </w:r>
          </w:p>
        </w:tc>
        <w:tc>
          <w:tcPr>
            <w:tcW w:w="806" w:type="dxa"/>
            <w:tcBorders>
              <w:top w:val="nil"/>
              <w:left w:val="nil"/>
              <w:bottom w:val="nil"/>
              <w:right w:val="nil"/>
            </w:tcBorders>
            <w:shd w:val="clear" w:color="000000" w:fill="FFFFFF"/>
            <w:noWrap/>
            <w:hideMark/>
          </w:tcPr>
          <w:p w14:paraId="79401BA2"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0.3</w:t>
            </w:r>
          </w:p>
        </w:tc>
        <w:tc>
          <w:tcPr>
            <w:tcW w:w="563" w:type="dxa"/>
            <w:tcBorders>
              <w:top w:val="nil"/>
              <w:left w:val="nil"/>
              <w:bottom w:val="nil"/>
              <w:right w:val="nil"/>
            </w:tcBorders>
            <w:shd w:val="clear" w:color="000000" w:fill="FFFFFF"/>
            <w:noWrap/>
            <w:hideMark/>
          </w:tcPr>
          <w:p w14:paraId="2B7109EB"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0.7</w:t>
            </w:r>
          </w:p>
        </w:tc>
        <w:tc>
          <w:tcPr>
            <w:tcW w:w="756" w:type="dxa"/>
            <w:tcBorders>
              <w:top w:val="nil"/>
              <w:left w:val="nil"/>
              <w:bottom w:val="nil"/>
              <w:right w:val="nil"/>
            </w:tcBorders>
            <w:shd w:val="clear" w:color="000000" w:fill="FFFFFF"/>
            <w:noWrap/>
            <w:hideMark/>
          </w:tcPr>
          <w:p w14:paraId="2A963DC9"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w:t>
            </w:r>
          </w:p>
        </w:tc>
        <w:tc>
          <w:tcPr>
            <w:tcW w:w="668" w:type="dxa"/>
            <w:tcBorders>
              <w:top w:val="nil"/>
              <w:left w:val="nil"/>
              <w:bottom w:val="nil"/>
              <w:right w:val="nil"/>
            </w:tcBorders>
            <w:shd w:val="clear" w:color="000000" w:fill="FFFFFF"/>
            <w:noWrap/>
            <w:hideMark/>
          </w:tcPr>
          <w:p w14:paraId="60CD117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nil"/>
              <w:right w:val="nil"/>
            </w:tcBorders>
            <w:shd w:val="clear" w:color="000000" w:fill="FFFFFF"/>
            <w:noWrap/>
            <w:hideMark/>
          </w:tcPr>
          <w:p w14:paraId="362342EB"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81" w:type="dxa"/>
            <w:tcBorders>
              <w:top w:val="nil"/>
              <w:left w:val="nil"/>
              <w:bottom w:val="nil"/>
              <w:right w:val="nil"/>
            </w:tcBorders>
            <w:shd w:val="clear" w:color="000000" w:fill="FFFFFF"/>
            <w:noWrap/>
            <w:hideMark/>
          </w:tcPr>
          <w:p w14:paraId="01CAF88F"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81" w:type="dxa"/>
            <w:tcBorders>
              <w:top w:val="nil"/>
              <w:left w:val="nil"/>
              <w:bottom w:val="nil"/>
              <w:right w:val="single" w:sz="4" w:space="0" w:color="auto"/>
            </w:tcBorders>
            <w:shd w:val="clear" w:color="000000" w:fill="FFFFFF"/>
            <w:noWrap/>
            <w:hideMark/>
          </w:tcPr>
          <w:p w14:paraId="62AE287D"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3</w:t>
            </w:r>
          </w:p>
        </w:tc>
      </w:tr>
      <w:tr w:rsidR="001E7A47" w:rsidRPr="00702F3C" w14:paraId="2E1B5381" w14:textId="77777777" w:rsidTr="0069199E">
        <w:trPr>
          <w:trHeight w:val="291"/>
        </w:trPr>
        <w:tc>
          <w:tcPr>
            <w:tcW w:w="2854" w:type="dxa"/>
            <w:tcBorders>
              <w:top w:val="nil"/>
              <w:left w:val="single" w:sz="4" w:space="0" w:color="auto"/>
              <w:bottom w:val="single" w:sz="4" w:space="0" w:color="auto"/>
              <w:right w:val="nil"/>
            </w:tcBorders>
            <w:shd w:val="clear" w:color="000000" w:fill="FFFFFF"/>
            <w:noWrap/>
            <w:hideMark/>
          </w:tcPr>
          <w:p w14:paraId="102EB82C" w14:textId="77777777" w:rsidR="001E7A47" w:rsidRPr="00702F3C" w:rsidRDefault="001E7A47" w:rsidP="0069199E">
            <w:pPr>
              <w:spacing w:after="0" w:line="240" w:lineRule="auto"/>
              <w:jc w:val="left"/>
              <w:rPr>
                <w:rFonts w:ascii="Calibri" w:hAnsi="Calibri" w:cs="Calibri"/>
                <w:b/>
                <w:bCs/>
                <w:color w:val="000000"/>
                <w:sz w:val="18"/>
                <w:szCs w:val="18"/>
                <w:lang w:val="en-AM" w:eastAsia="en-GB"/>
              </w:rPr>
            </w:pPr>
            <w:r w:rsidRPr="00702F3C">
              <w:rPr>
                <w:rFonts w:ascii="Calibri" w:hAnsi="Calibri" w:cs="Calibri"/>
                <w:b/>
                <w:bCs/>
                <w:color w:val="000000"/>
                <w:sz w:val="18"/>
                <w:szCs w:val="18"/>
                <w:lang w:val="en-AM" w:eastAsia="en-GB"/>
              </w:rPr>
              <w:t>MPI</w:t>
            </w:r>
          </w:p>
        </w:tc>
        <w:tc>
          <w:tcPr>
            <w:tcW w:w="991" w:type="dxa"/>
            <w:tcBorders>
              <w:top w:val="nil"/>
              <w:left w:val="nil"/>
              <w:bottom w:val="single" w:sz="4" w:space="0" w:color="auto"/>
              <w:right w:val="nil"/>
            </w:tcBorders>
            <w:shd w:val="clear" w:color="000000" w:fill="FFFFFF"/>
            <w:noWrap/>
            <w:hideMark/>
          </w:tcPr>
          <w:p w14:paraId="6B5C2D3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85</w:t>
            </w:r>
          </w:p>
        </w:tc>
        <w:tc>
          <w:tcPr>
            <w:tcW w:w="806" w:type="dxa"/>
            <w:tcBorders>
              <w:top w:val="nil"/>
              <w:left w:val="nil"/>
              <w:bottom w:val="single" w:sz="4" w:space="0" w:color="auto"/>
              <w:right w:val="nil"/>
            </w:tcBorders>
            <w:shd w:val="clear" w:color="000000" w:fill="FFFFFF"/>
            <w:noWrap/>
            <w:hideMark/>
          </w:tcPr>
          <w:p w14:paraId="4A3EE6BA"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1.2</w:t>
            </w:r>
          </w:p>
        </w:tc>
        <w:tc>
          <w:tcPr>
            <w:tcW w:w="563" w:type="dxa"/>
            <w:tcBorders>
              <w:top w:val="nil"/>
              <w:left w:val="nil"/>
              <w:bottom w:val="single" w:sz="4" w:space="0" w:color="auto"/>
              <w:right w:val="nil"/>
            </w:tcBorders>
            <w:shd w:val="clear" w:color="000000" w:fill="FFFFFF"/>
            <w:noWrap/>
            <w:hideMark/>
          </w:tcPr>
          <w:p w14:paraId="6A26484E"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1.7</w:t>
            </w:r>
          </w:p>
        </w:tc>
        <w:tc>
          <w:tcPr>
            <w:tcW w:w="756" w:type="dxa"/>
            <w:tcBorders>
              <w:top w:val="nil"/>
              <w:left w:val="nil"/>
              <w:bottom w:val="single" w:sz="4" w:space="0" w:color="auto"/>
              <w:right w:val="nil"/>
            </w:tcBorders>
            <w:shd w:val="clear" w:color="000000" w:fill="FFFFFF"/>
            <w:noWrap/>
            <w:hideMark/>
          </w:tcPr>
          <w:p w14:paraId="59B0D743"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-2</w:t>
            </w:r>
          </w:p>
        </w:tc>
        <w:tc>
          <w:tcPr>
            <w:tcW w:w="668" w:type="dxa"/>
            <w:tcBorders>
              <w:top w:val="nil"/>
              <w:left w:val="nil"/>
              <w:bottom w:val="single" w:sz="4" w:space="0" w:color="auto"/>
              <w:right w:val="nil"/>
            </w:tcBorders>
            <w:shd w:val="clear" w:color="000000" w:fill="FFFFFF"/>
            <w:noWrap/>
            <w:hideMark/>
          </w:tcPr>
          <w:p w14:paraId="703F1A00"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0</w:t>
            </w:r>
          </w:p>
        </w:tc>
        <w:tc>
          <w:tcPr>
            <w:tcW w:w="668" w:type="dxa"/>
            <w:tcBorders>
              <w:top w:val="nil"/>
              <w:left w:val="nil"/>
              <w:bottom w:val="single" w:sz="4" w:space="0" w:color="auto"/>
              <w:right w:val="nil"/>
            </w:tcBorders>
            <w:shd w:val="clear" w:color="000000" w:fill="FFFFFF"/>
            <w:noWrap/>
            <w:hideMark/>
          </w:tcPr>
          <w:p w14:paraId="3FD56B16"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1</w:t>
            </w:r>
          </w:p>
        </w:tc>
        <w:tc>
          <w:tcPr>
            <w:tcW w:w="681" w:type="dxa"/>
            <w:tcBorders>
              <w:top w:val="nil"/>
              <w:left w:val="nil"/>
              <w:bottom w:val="single" w:sz="4" w:space="0" w:color="auto"/>
              <w:right w:val="nil"/>
            </w:tcBorders>
            <w:shd w:val="clear" w:color="000000" w:fill="FFFFFF"/>
            <w:noWrap/>
            <w:hideMark/>
          </w:tcPr>
          <w:p w14:paraId="7979F2D8"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2</w:t>
            </w:r>
          </w:p>
        </w:tc>
        <w:tc>
          <w:tcPr>
            <w:tcW w:w="681" w:type="dxa"/>
            <w:tcBorders>
              <w:top w:val="nil"/>
              <w:left w:val="nil"/>
              <w:bottom w:val="single" w:sz="4" w:space="0" w:color="auto"/>
              <w:right w:val="single" w:sz="4" w:space="0" w:color="auto"/>
            </w:tcBorders>
            <w:shd w:val="clear" w:color="000000" w:fill="FFFFFF"/>
            <w:noWrap/>
            <w:hideMark/>
          </w:tcPr>
          <w:p w14:paraId="56665017" w14:textId="77777777" w:rsidR="001E7A47" w:rsidRPr="00702F3C" w:rsidRDefault="001E7A47" w:rsidP="0069199E">
            <w:pPr>
              <w:spacing w:after="0" w:line="240" w:lineRule="auto"/>
              <w:jc w:val="center"/>
              <w:rPr>
                <w:rFonts w:ascii="Calibri" w:hAnsi="Calibri" w:cs="Calibri"/>
                <w:color w:val="000000"/>
                <w:sz w:val="18"/>
                <w:szCs w:val="18"/>
                <w:lang w:val="en-AM" w:eastAsia="en-GB"/>
              </w:rPr>
            </w:pPr>
            <w:r w:rsidRPr="00702F3C">
              <w:rPr>
                <w:rFonts w:ascii="Calibri" w:hAnsi="Calibri" w:cs="Calibri"/>
                <w:color w:val="000000"/>
                <w:sz w:val="18"/>
                <w:szCs w:val="18"/>
                <w:lang w:val="en-AM" w:eastAsia="en-GB"/>
              </w:rPr>
              <w:t>6</w:t>
            </w:r>
          </w:p>
        </w:tc>
      </w:tr>
    </w:tbl>
    <w:p w14:paraId="6020C31F" w14:textId="5F90E583" w:rsidR="00FB098A" w:rsidRDefault="00FB098A" w:rsidP="00FB098A">
      <w:pPr>
        <w:rPr>
          <w:b/>
        </w:rPr>
      </w:pPr>
      <w:r w:rsidRPr="00FB098A">
        <w:rPr>
          <w:b/>
        </w:rPr>
        <w:t>Appendix</w:t>
      </w:r>
      <w:r>
        <w:rPr>
          <w:b/>
        </w:rPr>
        <w:t xml:space="preserve"> D: </w:t>
      </w:r>
      <w:r w:rsidRPr="00FB098A">
        <w:rPr>
          <w:b/>
        </w:rPr>
        <w:t>w calibration results</w:t>
      </w:r>
    </w:p>
    <w:p w14:paraId="0AB3A6E9" w14:textId="328A88B9" w:rsidR="00EB1BC3" w:rsidRPr="009C520F" w:rsidRDefault="00EB1BC3" w:rsidP="00FB098A">
      <w:pPr>
        <w:rPr>
          <w:bCs/>
        </w:rPr>
      </w:pPr>
      <w:r>
        <w:rPr>
          <w:bCs/>
        </w:rPr>
        <w:t xml:space="preserve">This section </w:t>
      </w:r>
      <w:r w:rsidR="00D53852">
        <w:rPr>
          <w:bCs/>
        </w:rPr>
        <w:t xml:space="preserve">discusses the calibration procedure used to derive a </w:t>
      </w:r>
      <w:r w:rsidR="00D53852" w:rsidRPr="00D53852">
        <w:rPr>
          <w:bCs/>
        </w:rPr>
        <w:t>representative</w:t>
      </w:r>
      <w:r w:rsidR="00D53852">
        <w:rPr>
          <w:bCs/>
        </w:rPr>
        <w:t xml:space="preserve"> value for </w:t>
      </w:r>
      <m:oMath>
        <m:r>
          <w:rPr>
            <w:rFonts w:ascii="Cambria Math" w:hAnsi="Cambria Math"/>
          </w:rPr>
          <m:t>w</m:t>
        </m:r>
      </m:oMath>
      <w:r w:rsidR="00D53852">
        <w:rPr>
          <w:bCs/>
        </w:rPr>
        <w:t xml:space="preserve">, </w:t>
      </w:r>
      <w:r w:rsidR="00D53852" w:rsidRPr="00FD34C9">
        <w:t>the aversion for financial instability</w:t>
      </w:r>
      <w:r w:rsidR="00D53852">
        <w:t xml:space="preserve"> from the Suarez (2021) welfare function. For any </w:t>
      </w:r>
      <w:r w:rsidR="00D53852" w:rsidRPr="00D53852">
        <w:t>arbitrary</w:t>
      </w:r>
      <w:r w:rsidR="00D53852">
        <w:t xml:space="preserve"> value of </w:t>
      </w:r>
      <m:oMath>
        <m:r>
          <w:rPr>
            <w:rFonts w:ascii="Cambria Math" w:hAnsi="Cambria Math"/>
          </w:rPr>
          <m:t>w∈(0,1)</m:t>
        </m:r>
      </m:oMath>
      <w:r w:rsidR="00E105B6">
        <w:rPr>
          <w:bCs/>
        </w:rPr>
        <w:t>,</w:t>
      </w:r>
      <w:r w:rsidR="00D53852">
        <w:rPr>
          <w:bCs/>
        </w:rPr>
        <w:t xml:space="preserve"> it is possible to simulate an optimal policy path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w</m:t>
                </m:r>
              </m:sub>
            </m:sSub>
          </m:e>
        </m:acc>
      </m:oMath>
      <w:r w:rsidR="00741921">
        <w:rPr>
          <w:bCs/>
        </w:rPr>
        <w:t xml:space="preserve"> </w:t>
      </w:r>
      <w:r w:rsidR="009F29DE">
        <w:rPr>
          <w:bCs/>
        </w:rPr>
        <w:t xml:space="preserve">(see </w:t>
      </w:r>
      <w:r w:rsidR="009F29DE" w:rsidRPr="009F29DE">
        <w:rPr>
          <w:b/>
        </w:rPr>
        <w:fldChar w:fldCharType="begin"/>
      </w:r>
      <w:r w:rsidR="009F29DE" w:rsidRPr="009F29DE">
        <w:rPr>
          <w:b/>
        </w:rPr>
        <w:instrText xml:space="preserve"> REF _Ref176977794 \h </w:instrText>
      </w:r>
      <w:r w:rsidR="009F29DE">
        <w:rPr>
          <w:b/>
        </w:rPr>
        <w:instrText xml:space="preserve"> \* MERGEFORMAT </w:instrText>
      </w:r>
      <w:r w:rsidR="009F29DE" w:rsidRPr="009F29DE">
        <w:rPr>
          <w:b/>
        </w:rPr>
      </w:r>
      <w:r w:rsidR="009F29DE" w:rsidRPr="009F29DE">
        <w:rPr>
          <w:b/>
        </w:rPr>
        <w:fldChar w:fldCharType="separate"/>
      </w:r>
      <w:r w:rsidR="009F29DE" w:rsidRPr="009F29DE">
        <w:rPr>
          <w:b/>
        </w:rPr>
        <w:t xml:space="preserve">Figure </w:t>
      </w:r>
      <w:r w:rsidR="009F29DE" w:rsidRPr="009F29DE">
        <w:rPr>
          <w:b/>
          <w:noProof/>
        </w:rPr>
        <w:t>30</w:t>
      </w:r>
      <w:r w:rsidR="009F29DE" w:rsidRPr="009F29DE">
        <w:rPr>
          <w:b/>
        </w:rPr>
        <w:fldChar w:fldCharType="end"/>
      </w:r>
      <w:r w:rsidR="009F29DE">
        <w:rPr>
          <w:bCs/>
        </w:rPr>
        <w:t>)</w:t>
      </w:r>
      <w:r w:rsidR="00D53852">
        <w:rPr>
          <w:bCs/>
        </w:rPr>
        <w:t xml:space="preserve">. </w:t>
      </w:r>
      <w:r w:rsidR="00276C37">
        <w:rPr>
          <w:bCs/>
        </w:rPr>
        <w:t xml:space="preserve">Using simple rules, we define 3 </w:t>
      </w:r>
      <w:r w:rsidR="00D730E1">
        <w:rPr>
          <w:bCs/>
        </w:rPr>
        <w:t xml:space="preserve">preferred </w:t>
      </w:r>
      <w:r w:rsidR="00276C37">
        <w:rPr>
          <w:bCs/>
        </w:rPr>
        <w:t xml:space="preserve">policy paths: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h</m:t>
                </m:r>
              </m:sub>
            </m:sSub>
          </m:e>
        </m:acc>
      </m:oMath>
      <w:r w:rsidR="00276C37">
        <w:rPr>
          <w:bCs/>
        </w:rPr>
        <w:t xml:space="preserve">,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b</m:t>
                </m:r>
              </m:sub>
            </m:sSub>
          </m:e>
        </m:acc>
      </m:oMath>
      <w:r w:rsidR="00276C37">
        <w:rPr>
          <w:bCs/>
        </w:rPr>
        <w:t xml:space="preserve"> and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c</m:t>
                </m:r>
              </m:sub>
            </m:sSub>
          </m:e>
        </m:acc>
      </m:oMath>
      <w:r w:rsidR="00276C37">
        <w:rPr>
          <w:bCs/>
        </w:rPr>
        <w:t xml:space="preserve">. </w:t>
      </w:r>
      <w:r w:rsidR="006718F0">
        <w:rPr>
          <w:bCs/>
        </w:rPr>
        <w:t xml:space="preserve">The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h</m:t>
                </m:r>
              </m:sub>
            </m:sSub>
          </m:e>
        </m:acc>
      </m:oMath>
      <w:r w:rsidR="006A5F06">
        <w:rPr>
          <w:bCs/>
        </w:rPr>
        <w:t xml:space="preserve"> path </w:t>
      </w:r>
      <w:r w:rsidR="006718F0">
        <w:rPr>
          <w:bCs/>
        </w:rPr>
        <w:t xml:space="preserve">assumes that the historical policy of Armenia </w:t>
      </w:r>
      <w:r w:rsidR="00377EAB">
        <w:rPr>
          <w:bCs/>
        </w:rPr>
        <w:t xml:space="preserve">is the optimal path. The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b</m:t>
                </m:r>
              </m:sub>
            </m:sSub>
          </m:e>
        </m:acc>
      </m:oMath>
      <w:r w:rsidR="00377EAB">
        <w:rPr>
          <w:bCs/>
        </w:rPr>
        <w:t xml:space="preserve"> </w:t>
      </w:r>
      <w:r w:rsidR="006A5F06">
        <w:rPr>
          <w:bCs/>
        </w:rPr>
        <w:t xml:space="preserve">path </w:t>
      </w:r>
      <w:r w:rsidR="00377EAB">
        <w:rPr>
          <w:bCs/>
        </w:rPr>
        <w:t xml:space="preserve">follows the CCyB rule defined by the </w:t>
      </w:r>
      <w:r w:rsidR="00377EAB">
        <w:t xml:space="preserve">Basel Committee (2010), using the credit-to-GDP gap to arrive at optimal values for CCyB. According to </w:t>
      </w:r>
      <w:r w:rsidR="005D1263">
        <w:t>estimates performed by ESRB (2021)</w:t>
      </w:r>
      <w:r w:rsidR="00646C3B">
        <w:t>,</w:t>
      </w:r>
      <w:r w:rsidR="005D1263">
        <w:t xml:space="preserve"> a “capital-based macroprudential policy corresponds to a CET1 capital of 0.87 of risk</w:t>
      </w:r>
      <w:r w:rsidR="00646C3B">
        <w:t>-</w:t>
      </w:r>
      <w:r w:rsidR="005D1263">
        <w:t xml:space="preserve">weighted assets.” Using this “conversion rate” we are able to </w:t>
      </w:r>
      <w:r w:rsidR="009F29DE">
        <w:t xml:space="preserve">map the </w:t>
      </w:r>
      <w:r w:rsidR="005D1263">
        <w:t xml:space="preserve">CCyB rule to </w:t>
      </w:r>
      <w:r w:rsidR="005D1263" w:rsidRPr="005D1263">
        <w:t>macroprudential policy</w:t>
      </w:r>
      <w:r w:rsidR="005D1263">
        <w:t xml:space="preserve"> actions and generate the Basel preferred policy path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b</m:t>
                </m:r>
              </m:sub>
            </m:sSub>
          </m:e>
        </m:acc>
      </m:oMath>
      <w:r w:rsidR="005D1263">
        <w:rPr>
          <w:bCs/>
        </w:rPr>
        <w:t xml:space="preserve">. The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c</m:t>
                </m:r>
              </m:sub>
            </m:sSub>
          </m:e>
        </m:acc>
      </m:oMath>
      <w:r w:rsidR="005D1263">
        <w:rPr>
          <w:bCs/>
        </w:rPr>
        <w:t xml:space="preserve"> path follows the same logic as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b</m:t>
                </m:r>
              </m:sub>
            </m:sSub>
          </m:e>
        </m:acc>
      </m:oMath>
      <w:r w:rsidR="005D1263">
        <w:rPr>
          <w:bCs/>
        </w:rPr>
        <w:t xml:space="preserve">, except for </w:t>
      </w:r>
      <w:r w:rsidR="009F29DE">
        <w:rPr>
          <w:bCs/>
        </w:rPr>
        <w:t xml:space="preserve">the </w:t>
      </w:r>
      <w:r w:rsidR="005D1263">
        <w:t xml:space="preserve">CCyB values it uses the rule defined by the </w:t>
      </w:r>
      <w:r w:rsidR="005D1263" w:rsidRPr="005D1263">
        <w:t>Czech National Bank</w:t>
      </w:r>
      <w:r w:rsidR="005D1263">
        <w:t xml:space="preserve"> (CNB). </w:t>
      </w:r>
      <w:r w:rsidR="009F29DE">
        <w:t>This</w:t>
      </w:r>
      <w:r w:rsidR="00581264">
        <w:t xml:space="preserve"> rule is defined as a </w:t>
      </w:r>
      <w:r w:rsidR="00581264" w:rsidRPr="00581264">
        <w:t>piecewise function</w:t>
      </w:r>
      <w:r w:rsidR="00581264">
        <w:t xml:space="preserve"> that maps different phases of the financial cycle to CCyB decisions </w:t>
      </w:r>
      <w:sdt>
        <w:sdtPr>
          <w:rPr>
            <w:bCs/>
          </w:rPr>
          <w:id w:val="-1549063177"/>
          <w:citation/>
        </w:sdtPr>
        <w:sdtContent>
          <w:r w:rsidR="00581264">
            <w:rPr>
              <w:bCs/>
            </w:rPr>
            <w:fldChar w:fldCharType="begin"/>
          </w:r>
          <w:r w:rsidR="00581264">
            <w:rPr>
              <w:bCs/>
            </w:rPr>
            <w:instrText xml:space="preserve"> CITATION CNB23 \l 1033 </w:instrText>
          </w:r>
          <w:r w:rsidR="00581264">
            <w:rPr>
              <w:bCs/>
            </w:rPr>
            <w:fldChar w:fldCharType="separate"/>
          </w:r>
          <w:r w:rsidR="00C8403C">
            <w:rPr>
              <w:noProof/>
            </w:rPr>
            <w:t>(CNB, 2023)</w:t>
          </w:r>
          <w:r w:rsidR="00581264">
            <w:rPr>
              <w:bCs/>
            </w:rPr>
            <w:fldChar w:fldCharType="end"/>
          </w:r>
        </w:sdtContent>
      </w:sdt>
      <w:r w:rsidR="00581264">
        <w:t xml:space="preserve">. </w:t>
      </w:r>
      <w:r w:rsidR="00581264">
        <w:rPr>
          <w:bCs/>
        </w:rPr>
        <w:t xml:space="preserve">After applying the </w:t>
      </w:r>
      <w:r w:rsidR="00581264">
        <w:t xml:space="preserve">“conversion rate” we end up with the policy path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c</m:t>
                </m:r>
              </m:sub>
            </m:sSub>
          </m:e>
        </m:acc>
      </m:oMath>
      <w:r w:rsidR="00581264">
        <w:rPr>
          <w:bCs/>
        </w:rPr>
        <w:t>.</w:t>
      </w:r>
      <w:r w:rsidR="002E6F73">
        <w:rPr>
          <w:bCs/>
        </w:rPr>
        <w:t xml:space="preserve"> The historical CCyB policy measures for the </w:t>
      </w:r>
      <w:r w:rsidR="002E6F73">
        <w:t xml:space="preserve">Basel and </w:t>
      </w:r>
      <w:r w:rsidR="002E6F73">
        <w:rPr>
          <w:noProof/>
        </w:rPr>
        <w:t xml:space="preserve">CNB methods are presented in </w:t>
      </w:r>
      <w:r w:rsidR="002E6F73" w:rsidRPr="002E6F73">
        <w:rPr>
          <w:b/>
          <w:bCs/>
          <w:noProof/>
        </w:rPr>
        <w:fldChar w:fldCharType="begin"/>
      </w:r>
      <w:r w:rsidR="002E6F73" w:rsidRPr="002E6F73">
        <w:rPr>
          <w:b/>
          <w:bCs/>
          <w:noProof/>
        </w:rPr>
        <w:instrText xml:space="preserve"> REF _Ref176977486 \h </w:instrText>
      </w:r>
      <w:r w:rsidR="002E6F73">
        <w:rPr>
          <w:b/>
          <w:bCs/>
          <w:noProof/>
        </w:rPr>
        <w:instrText xml:space="preserve"> \* MERGEFORMAT </w:instrText>
      </w:r>
      <w:r w:rsidR="002E6F73" w:rsidRPr="002E6F73">
        <w:rPr>
          <w:b/>
          <w:bCs/>
          <w:noProof/>
        </w:rPr>
      </w:r>
      <w:r w:rsidR="002E6F73" w:rsidRPr="002E6F73">
        <w:rPr>
          <w:b/>
          <w:bCs/>
          <w:noProof/>
        </w:rPr>
        <w:fldChar w:fldCharType="separate"/>
      </w:r>
      <w:r w:rsidR="002E6F73" w:rsidRPr="002E6F73">
        <w:rPr>
          <w:b/>
          <w:bCs/>
        </w:rPr>
        <w:t xml:space="preserve">Figure </w:t>
      </w:r>
      <w:r w:rsidR="002E6F73" w:rsidRPr="002E6F73">
        <w:rPr>
          <w:b/>
          <w:bCs/>
          <w:noProof/>
        </w:rPr>
        <w:t>29</w:t>
      </w:r>
      <w:r w:rsidR="002E6F73" w:rsidRPr="002E6F73">
        <w:rPr>
          <w:b/>
          <w:bCs/>
          <w:noProof/>
        </w:rPr>
        <w:fldChar w:fldCharType="end"/>
      </w:r>
      <w:r w:rsidR="002E6F73">
        <w:rPr>
          <w:noProof/>
        </w:rPr>
        <w:t>.</w:t>
      </w:r>
    </w:p>
    <w:p w14:paraId="2419F46A" w14:textId="77777777" w:rsidR="009C520F" w:rsidRDefault="009C520F" w:rsidP="00476FD0">
      <w:pPr>
        <w:spacing w:after="0" w:line="240" w:lineRule="auto"/>
      </w:pPr>
      <w:r>
        <w:rPr>
          <w:noProof/>
        </w:rPr>
        <w:drawing>
          <wp:inline distT="0" distB="0" distL="0" distR="0" wp14:anchorId="21B517D5" wp14:editId="1E8BAEA4">
            <wp:extent cx="5943600" cy="27457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9"/>
                    <a:stretch>
                      <a:fillRect/>
                    </a:stretch>
                  </pic:blipFill>
                  <pic:spPr>
                    <a:xfrm>
                      <a:off x="0" y="0"/>
                      <a:ext cx="5943600" cy="2745740"/>
                    </a:xfrm>
                    <a:prstGeom prst="rect">
                      <a:avLst/>
                    </a:prstGeom>
                  </pic:spPr>
                </pic:pic>
              </a:graphicData>
            </a:graphic>
          </wp:inline>
        </w:drawing>
      </w:r>
    </w:p>
    <w:p w14:paraId="6E751474" w14:textId="079DEBAC" w:rsidR="00FB098A" w:rsidRPr="009F29DE" w:rsidRDefault="009C520F" w:rsidP="009F29DE">
      <w:pPr>
        <w:pStyle w:val="Caption"/>
        <w:jc w:val="both"/>
        <w:rPr>
          <w:b w:val="0"/>
        </w:rPr>
      </w:pPr>
      <w:bookmarkStart w:id="29" w:name="_Ref176977486"/>
      <w:r>
        <w:t xml:space="preserve">Figure </w:t>
      </w:r>
      <w:fldSimple w:instr=" SEQ Figure \* ARABIC ">
        <w:r w:rsidR="00E941CA">
          <w:rPr>
            <w:noProof/>
          </w:rPr>
          <w:t>29</w:t>
        </w:r>
      </w:fldSimple>
      <w:bookmarkEnd w:id="29"/>
      <w:r>
        <w:t xml:space="preserve">. </w:t>
      </w:r>
      <w:r w:rsidRPr="009C520F">
        <w:rPr>
          <w:b w:val="0"/>
          <w:bCs/>
        </w:rPr>
        <w:t xml:space="preserve">Optimal CCyB </w:t>
      </w:r>
      <w:r w:rsidR="001F14F6" w:rsidRPr="001F14F6">
        <w:rPr>
          <w:b w:val="0"/>
          <w:bCs/>
        </w:rPr>
        <w:t>tightening</w:t>
      </w:r>
      <w:r w:rsidR="001F14F6">
        <w:rPr>
          <w:b w:val="0"/>
          <w:bCs/>
        </w:rPr>
        <w:t xml:space="preserve"> measures derived</w:t>
      </w:r>
      <w:r w:rsidRPr="009C520F">
        <w:rPr>
          <w:b w:val="0"/>
          <w:bCs/>
        </w:rPr>
        <w:t xml:space="preserve"> using the Basel gap and </w:t>
      </w:r>
      <w:r w:rsidR="00F64216">
        <w:rPr>
          <w:b w:val="0"/>
          <w:bCs/>
        </w:rPr>
        <w:t>F</w:t>
      </w:r>
      <w:r w:rsidRPr="009C520F">
        <w:rPr>
          <w:b w:val="0"/>
          <w:bCs/>
        </w:rPr>
        <w:t xml:space="preserve">inancial </w:t>
      </w:r>
      <w:r w:rsidR="00F64216">
        <w:rPr>
          <w:b w:val="0"/>
          <w:bCs/>
        </w:rPr>
        <w:t>C</w:t>
      </w:r>
      <w:r w:rsidRPr="009C520F">
        <w:rPr>
          <w:b w:val="0"/>
          <w:bCs/>
        </w:rPr>
        <w:t xml:space="preserve">ycle </w:t>
      </w:r>
      <w:r w:rsidR="00F64216">
        <w:rPr>
          <w:b w:val="0"/>
          <w:bCs/>
        </w:rPr>
        <w:t>I</w:t>
      </w:r>
      <w:r w:rsidR="001F14F6">
        <w:rPr>
          <w:b w:val="0"/>
          <w:bCs/>
        </w:rPr>
        <w:t>ndex</w:t>
      </w:r>
      <w:r w:rsidR="00F64216">
        <w:rPr>
          <w:b w:val="0"/>
          <w:bCs/>
        </w:rPr>
        <w:t xml:space="preserve"> (CNB)</w:t>
      </w:r>
    </w:p>
    <w:p w14:paraId="4533AC69" w14:textId="77777777" w:rsidR="00773A81" w:rsidRDefault="00773A81" w:rsidP="00476FD0">
      <w:pPr>
        <w:spacing w:after="0" w:line="240" w:lineRule="auto"/>
      </w:pPr>
      <w:r>
        <w:rPr>
          <w:noProof/>
        </w:rPr>
        <w:drawing>
          <wp:inline distT="0" distB="0" distL="0" distR="0" wp14:anchorId="3C82BD6F" wp14:editId="7F4D47F3">
            <wp:extent cx="5943600" cy="292143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40"/>
                    <a:stretch>
                      <a:fillRect/>
                    </a:stretch>
                  </pic:blipFill>
                  <pic:spPr>
                    <a:xfrm>
                      <a:off x="0" y="0"/>
                      <a:ext cx="5943600" cy="2921430"/>
                    </a:xfrm>
                    <a:prstGeom prst="rect">
                      <a:avLst/>
                    </a:prstGeom>
                  </pic:spPr>
                </pic:pic>
              </a:graphicData>
            </a:graphic>
          </wp:inline>
        </w:drawing>
      </w:r>
    </w:p>
    <w:p w14:paraId="73D478A7" w14:textId="1B2F6616" w:rsidR="009C520F" w:rsidRDefault="00773A81" w:rsidP="00773A81">
      <w:pPr>
        <w:pStyle w:val="Caption"/>
        <w:jc w:val="both"/>
        <w:rPr>
          <w:bCs/>
        </w:rPr>
      </w:pPr>
      <w:bookmarkStart w:id="30" w:name="_Ref176977794"/>
      <w:r>
        <w:t xml:space="preserve">Figure </w:t>
      </w:r>
      <w:fldSimple w:instr=" SEQ Figure \* ARABIC ">
        <w:r w:rsidR="00E941CA">
          <w:rPr>
            <w:noProof/>
          </w:rPr>
          <w:t>30</w:t>
        </w:r>
      </w:fldSimple>
      <w:bookmarkEnd w:id="30"/>
      <w:r>
        <w:t xml:space="preserve">. </w:t>
      </w:r>
      <w:r w:rsidRPr="00773A81">
        <w:rPr>
          <w:b w:val="0"/>
          <w:bCs/>
        </w:rPr>
        <w:t xml:space="preserve">Policy </w:t>
      </w:r>
      <w:r w:rsidR="00697959">
        <w:rPr>
          <w:b w:val="0"/>
          <w:bCs/>
        </w:rPr>
        <w:t xml:space="preserve">path </w:t>
      </w:r>
      <w:r w:rsidRPr="00773A81">
        <w:rPr>
          <w:b w:val="0"/>
          <w:bCs/>
        </w:rPr>
        <w:t>simulation</w:t>
      </w:r>
      <w:r w:rsidR="00697959">
        <w:rPr>
          <w:b w:val="0"/>
          <w:bCs/>
        </w:rPr>
        <w:t xml:space="preserve"> given an </w:t>
      </w:r>
      <w:r w:rsidR="00697959" w:rsidRPr="00697959">
        <w:rPr>
          <w:b w:val="0"/>
          <w:bCs/>
        </w:rPr>
        <w:t xml:space="preserve">arbitrary </w:t>
      </w:r>
      <w:r w:rsidR="00697959">
        <w:rPr>
          <w:b w:val="0"/>
          <w:bCs/>
        </w:rPr>
        <w:t xml:space="preserve">value for </w:t>
      </w:r>
      <w:r w:rsidRPr="00773A81">
        <w:rPr>
          <w:b w:val="0"/>
          <w:bCs/>
        </w:rPr>
        <w:t>w</w:t>
      </w:r>
      <w:r w:rsidR="00697959">
        <w:rPr>
          <w:b w:val="0"/>
          <w:bCs/>
        </w:rPr>
        <w:t>.</w:t>
      </w:r>
    </w:p>
    <w:p w14:paraId="10F40919" w14:textId="6995ABAD" w:rsidR="009C520F" w:rsidRDefault="00A37A97" w:rsidP="009C520F">
      <w:pPr>
        <w:rPr>
          <w:bCs/>
        </w:rPr>
      </w:pPr>
      <w:r>
        <w:rPr>
          <w:bCs/>
        </w:rPr>
        <w:t xml:space="preserve">Next, to see which path is the most viable we compare all of the optimal paths </w:t>
      </w:r>
      <m:oMath>
        <m:sSub>
          <m:sSubPr>
            <m:ctrlPr>
              <w:rPr>
                <w:rFonts w:ascii="Cambria Math" w:hAnsi="Cambria Math"/>
                <w:bCs/>
                <w:i/>
              </w:rPr>
            </m:ctrlPr>
          </m:sSubPr>
          <m:e>
            <m:r>
              <w:rPr>
                <w:rFonts w:ascii="Cambria Math" w:hAnsi="Cambria Math"/>
              </w:rPr>
              <m:t>p</m:t>
            </m:r>
          </m:e>
          <m:sub>
            <m:r>
              <w:rPr>
                <w:rFonts w:ascii="Cambria Math" w:hAnsi="Cambria Math"/>
              </w:rPr>
              <m:t>w</m:t>
            </m:r>
          </m:sub>
        </m:sSub>
      </m:oMath>
      <w:r>
        <w:rPr>
          <w:bCs/>
        </w:rPr>
        <w:t xml:space="preserve"> with </w:t>
      </w:r>
      <w:r w:rsidRPr="00A37A97">
        <w:rPr>
          <w:bCs/>
        </w:rPr>
        <w:t xml:space="preserve">the 3 </w:t>
      </w:r>
      <w:r w:rsidR="00D730E1">
        <w:rPr>
          <w:bCs/>
        </w:rPr>
        <w:t xml:space="preserve">preferred </w:t>
      </w:r>
      <w:r w:rsidRPr="00A37A97">
        <w:rPr>
          <w:bCs/>
        </w:rPr>
        <w:t>policy paths</w:t>
      </w:r>
      <w:r>
        <w:rPr>
          <w:bCs/>
        </w:rPr>
        <w:t xml:space="preserve"> by taking the </w:t>
      </w:r>
      <w:r w:rsidRPr="00A37A97">
        <w:rPr>
          <w:bCs/>
        </w:rPr>
        <w:t>Euclidean distance</w:t>
      </w:r>
      <w:r>
        <w:rPr>
          <w:bCs/>
        </w:rPr>
        <w:t xml:space="preserve"> between them. </w:t>
      </w:r>
      <w:r w:rsidR="003C4FFC" w:rsidRPr="003C4FFC">
        <w:rPr>
          <w:b/>
        </w:rPr>
        <w:fldChar w:fldCharType="begin"/>
      </w:r>
      <w:r w:rsidR="003C4FFC" w:rsidRPr="003C4FFC">
        <w:rPr>
          <w:b/>
        </w:rPr>
        <w:instrText xml:space="preserve"> REF _Ref176980025 \h </w:instrText>
      </w:r>
      <w:r w:rsidR="003C4FFC">
        <w:rPr>
          <w:b/>
        </w:rPr>
        <w:instrText xml:space="preserve"> \* MERGEFORMAT </w:instrText>
      </w:r>
      <w:r w:rsidR="003C4FFC" w:rsidRPr="003C4FFC">
        <w:rPr>
          <w:b/>
        </w:rPr>
      </w:r>
      <w:r w:rsidR="003C4FFC" w:rsidRPr="003C4FFC">
        <w:rPr>
          <w:b/>
        </w:rPr>
        <w:fldChar w:fldCharType="separate"/>
      </w:r>
      <w:r w:rsidR="003C4FFC" w:rsidRPr="003C4FFC">
        <w:rPr>
          <w:b/>
        </w:rPr>
        <w:t xml:space="preserve">Figure </w:t>
      </w:r>
      <w:r w:rsidR="003C4FFC" w:rsidRPr="003C4FFC">
        <w:rPr>
          <w:b/>
          <w:noProof/>
        </w:rPr>
        <w:t>31</w:t>
      </w:r>
      <w:r w:rsidR="003C4FFC" w:rsidRPr="003C4FFC">
        <w:rPr>
          <w:b/>
        </w:rPr>
        <w:fldChar w:fldCharType="end"/>
      </w:r>
      <w:r w:rsidR="003C4FFC">
        <w:rPr>
          <w:bCs/>
        </w:rPr>
        <w:t xml:space="preserve"> shows the relationship between the choice of </w:t>
      </w:r>
      <m:oMath>
        <m:r>
          <w:rPr>
            <w:rFonts w:ascii="Cambria Math" w:hAnsi="Cambria Math"/>
          </w:rPr>
          <m:t>w</m:t>
        </m:r>
      </m:oMath>
      <w:r w:rsidR="003C4FFC">
        <w:rPr>
          <w:bCs/>
        </w:rPr>
        <w:t xml:space="preserve"> and the </w:t>
      </w:r>
      <w:r w:rsidR="003C4FFC" w:rsidRPr="00A37A97">
        <w:rPr>
          <w:bCs/>
        </w:rPr>
        <w:t xml:space="preserve">3 </w:t>
      </w:r>
      <w:r w:rsidR="00D730E1">
        <w:rPr>
          <w:bCs/>
        </w:rPr>
        <w:t xml:space="preserve">preferred </w:t>
      </w:r>
      <w:r w:rsidR="003C4FFC" w:rsidRPr="00A37A97">
        <w:rPr>
          <w:bCs/>
        </w:rPr>
        <w:t>policy</w:t>
      </w:r>
      <w:r w:rsidR="00930A2D">
        <w:rPr>
          <w:bCs/>
        </w:rPr>
        <w:t xml:space="preserve"> paths. Using the </w:t>
      </w:r>
      <w:r w:rsidR="00930A2D" w:rsidRPr="00930A2D">
        <w:rPr>
          <w:bCs/>
        </w:rPr>
        <w:t>elbow method</w:t>
      </w:r>
      <w:r w:rsidR="00930A2D">
        <w:rPr>
          <w:bCs/>
        </w:rPr>
        <w:t xml:space="preserve"> and optimal choices from the </w:t>
      </w:r>
      <w:r w:rsidR="00930A2D" w:rsidRPr="00930A2D">
        <w:rPr>
          <w:bCs/>
        </w:rPr>
        <w:t>Basel and CNB</w:t>
      </w:r>
      <w:r w:rsidR="00930A2D">
        <w:rPr>
          <w:bCs/>
        </w:rPr>
        <w:t xml:space="preserve"> methods, we believe that 0.11 is a </w:t>
      </w:r>
      <w:r w:rsidR="00930A2D" w:rsidRPr="00D53852">
        <w:rPr>
          <w:bCs/>
        </w:rPr>
        <w:t>representative</w:t>
      </w:r>
      <w:r w:rsidR="00930A2D">
        <w:rPr>
          <w:bCs/>
        </w:rPr>
        <w:t xml:space="preserve"> value.</w:t>
      </w:r>
    </w:p>
    <w:p w14:paraId="6090E833" w14:textId="77777777" w:rsidR="00A82718" w:rsidRDefault="00A82718" w:rsidP="00AB2869">
      <w:pPr>
        <w:spacing w:after="0" w:line="240" w:lineRule="auto"/>
      </w:pPr>
      <w:r>
        <w:rPr>
          <w:noProof/>
        </w:rPr>
        <w:drawing>
          <wp:inline distT="0" distB="0" distL="0" distR="0" wp14:anchorId="58D557DE" wp14:editId="10061428">
            <wp:extent cx="5943600" cy="2814955"/>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41"/>
                    <a:stretch>
                      <a:fillRect/>
                    </a:stretch>
                  </pic:blipFill>
                  <pic:spPr>
                    <a:xfrm>
                      <a:off x="0" y="0"/>
                      <a:ext cx="5943600" cy="2814955"/>
                    </a:xfrm>
                    <a:prstGeom prst="rect">
                      <a:avLst/>
                    </a:prstGeom>
                  </pic:spPr>
                </pic:pic>
              </a:graphicData>
            </a:graphic>
          </wp:inline>
        </w:drawing>
      </w:r>
    </w:p>
    <w:p w14:paraId="04B64A1F" w14:textId="66D1E98B" w:rsidR="00773A81" w:rsidRDefault="00A82718" w:rsidP="00A82718">
      <w:pPr>
        <w:pStyle w:val="Caption"/>
        <w:jc w:val="both"/>
        <w:rPr>
          <w:bCs/>
        </w:rPr>
      </w:pPr>
      <w:bookmarkStart w:id="31" w:name="_Ref176980025"/>
      <w:r>
        <w:t xml:space="preserve">Figure </w:t>
      </w:r>
      <w:fldSimple w:instr=" SEQ Figure \* ARABIC ">
        <w:r w:rsidR="00E941CA">
          <w:rPr>
            <w:noProof/>
          </w:rPr>
          <w:t>31</w:t>
        </w:r>
      </w:fldSimple>
      <w:bookmarkEnd w:id="31"/>
      <w:r>
        <w:t xml:space="preserve">. </w:t>
      </w:r>
      <w:r w:rsidR="00741921" w:rsidRPr="00741921">
        <w:rPr>
          <w:b w:val="0"/>
          <w:bCs/>
        </w:rPr>
        <w:t>Euclidean distance</w:t>
      </w:r>
      <w:r w:rsidR="00741921">
        <w:rPr>
          <w:b w:val="0"/>
          <w:bCs/>
        </w:rPr>
        <w:t xml:space="preserve"> between </w:t>
      </w:r>
      <m:oMath>
        <m:acc>
          <m:accPr>
            <m:chr m:val="⃗"/>
            <m:ctrlPr>
              <w:rPr>
                <w:rFonts w:ascii="Cambria Math" w:hAnsi="Cambria Math"/>
                <w:b w:val="0"/>
                <w:bCs/>
                <w:i/>
              </w:rPr>
            </m:ctrlPr>
          </m:accPr>
          <m:e>
            <m:sSub>
              <m:sSubPr>
                <m:ctrlPr>
                  <w:rPr>
                    <w:rFonts w:ascii="Cambria Math" w:hAnsi="Cambria Math"/>
                    <w:b w:val="0"/>
                    <w:bCs/>
                    <w:i/>
                  </w:rPr>
                </m:ctrlPr>
              </m:sSubPr>
              <m:e>
                <m:r>
                  <m:rPr>
                    <m:sty m:val="bi"/>
                  </m:rPr>
                  <w:rPr>
                    <w:rFonts w:ascii="Cambria Math" w:hAnsi="Cambria Math"/>
                  </w:rPr>
                  <m:t>p</m:t>
                </m:r>
              </m:e>
              <m:sub>
                <m:r>
                  <m:rPr>
                    <m:sty m:val="bi"/>
                  </m:rPr>
                  <w:rPr>
                    <w:rFonts w:ascii="Cambria Math" w:hAnsi="Cambria Math"/>
                  </w:rPr>
                  <m:t>w</m:t>
                </m:r>
              </m:sub>
            </m:sSub>
          </m:e>
        </m:acc>
      </m:oMath>
      <w:r w:rsidR="00741921">
        <w:rPr>
          <w:b w:val="0"/>
          <w:bCs/>
        </w:rPr>
        <w:t xml:space="preserve"> and the </w:t>
      </w:r>
      <w:r w:rsidR="00741921" w:rsidRPr="00741921">
        <w:rPr>
          <w:b w:val="0"/>
          <w:bCs/>
        </w:rPr>
        <w:t xml:space="preserve">3 </w:t>
      </w:r>
      <w:r w:rsidR="00D730E1">
        <w:rPr>
          <w:b w:val="0"/>
          <w:bCs/>
        </w:rPr>
        <w:t xml:space="preserve">preferred </w:t>
      </w:r>
      <w:r w:rsidR="00741921" w:rsidRPr="00741921">
        <w:rPr>
          <w:b w:val="0"/>
          <w:bCs/>
        </w:rPr>
        <w:t>policy paths</w:t>
      </w:r>
      <w:r w:rsidR="00741921">
        <w:rPr>
          <w:b w:val="0"/>
          <w:bCs/>
        </w:rPr>
        <w:t xml:space="preserve"> for all values of w</w:t>
      </w:r>
      <w:r w:rsidR="006D6B9A">
        <w:rPr>
          <w:b w:val="0"/>
          <w:bCs/>
        </w:rPr>
        <w:t>. Dotted lines show the points with the smallest distance.</w:t>
      </w:r>
    </w:p>
    <w:p w14:paraId="193154AC" w14:textId="16EB9578" w:rsidR="009C520F" w:rsidRDefault="00A37A97" w:rsidP="00FB098A">
      <w:pPr>
        <w:rPr>
          <w:bCs/>
        </w:rPr>
      </w:pPr>
      <w:r>
        <w:rPr>
          <w:bCs/>
        </w:rPr>
        <w:t xml:space="preserve">As a </w:t>
      </w:r>
      <w:r w:rsidRPr="00A37A97">
        <w:rPr>
          <w:bCs/>
        </w:rPr>
        <w:t>robustness</w:t>
      </w:r>
      <w:r>
        <w:rPr>
          <w:bCs/>
        </w:rPr>
        <w:t xml:space="preserve"> check for the calibration results above, we ignore </w:t>
      </w:r>
      <w:r w:rsidR="006B1A31">
        <w:rPr>
          <w:bCs/>
        </w:rPr>
        <w:t xml:space="preserve">the </w:t>
      </w:r>
      <w:r>
        <w:rPr>
          <w:bCs/>
        </w:rPr>
        <w:t>2</w:t>
      </w:r>
      <w:r w:rsidRPr="00741921">
        <w:rPr>
          <w:bCs/>
        </w:rPr>
        <w:t xml:space="preserve"> </w:t>
      </w:r>
      <w:r w:rsidR="00D730E1">
        <w:rPr>
          <w:bCs/>
        </w:rPr>
        <w:t xml:space="preserve">preferred </w:t>
      </w:r>
      <w:r w:rsidRPr="00741921">
        <w:rPr>
          <w:bCs/>
        </w:rPr>
        <w:t>policy paths</w:t>
      </w:r>
      <w:r>
        <w:rPr>
          <w:bCs/>
        </w:rPr>
        <w:t xml:space="preserve"> and instead allow the value of </w:t>
      </w:r>
      <m:oMath>
        <m:r>
          <w:rPr>
            <w:rFonts w:ascii="Cambria Math" w:hAnsi="Cambria Math"/>
          </w:rPr>
          <m:t>w</m:t>
        </m:r>
      </m:oMath>
      <w:r>
        <w:rPr>
          <w:bCs/>
        </w:rPr>
        <w:t xml:space="preserve"> to change over time. We then select the set </w:t>
      </w:r>
      <m:oMath>
        <m:acc>
          <m:accPr>
            <m:chr m:val="⃗"/>
            <m:ctrlPr>
              <w:rPr>
                <w:rFonts w:ascii="Cambria Math" w:hAnsi="Cambria Math"/>
                <w:bCs/>
                <w:i/>
              </w:rPr>
            </m:ctrlPr>
          </m:accPr>
          <m:e>
            <m:r>
              <w:rPr>
                <w:rFonts w:ascii="Cambria Math" w:hAnsi="Cambria Math"/>
              </w:rPr>
              <m:t>w</m:t>
            </m:r>
          </m:e>
        </m:acc>
      </m:oMath>
      <w:r>
        <w:rPr>
          <w:bCs/>
        </w:rPr>
        <w:t xml:space="preserve"> so that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acc>
                  <m:accPr>
                    <m:chr m:val="⃗"/>
                    <m:ctrlPr>
                      <w:rPr>
                        <w:rFonts w:ascii="Cambria Math" w:hAnsi="Cambria Math"/>
                        <w:bCs/>
                        <w:i/>
                      </w:rPr>
                    </m:ctrlPr>
                  </m:accPr>
                  <m:e>
                    <m:r>
                      <w:rPr>
                        <w:rFonts w:ascii="Cambria Math" w:hAnsi="Cambria Math"/>
                      </w:rPr>
                      <m:t>w</m:t>
                    </m:r>
                  </m:e>
                </m:acc>
              </m:sub>
            </m:sSub>
          </m:e>
        </m:acc>
      </m:oMath>
      <w:r w:rsidR="0018769C">
        <w:rPr>
          <w:bCs/>
        </w:rPr>
        <w:t xml:space="preserve"> matches almost exactly with </w:t>
      </w:r>
      <m:oMath>
        <m:acc>
          <m:accPr>
            <m:chr m:val="⃗"/>
            <m:ctrlPr>
              <w:rPr>
                <w:rFonts w:ascii="Cambria Math" w:hAnsi="Cambria Math"/>
                <w:bCs/>
                <w:i/>
              </w:rPr>
            </m:ctrlPr>
          </m:accPr>
          <m:e>
            <m:sSub>
              <m:sSubPr>
                <m:ctrlPr>
                  <w:rPr>
                    <w:rFonts w:ascii="Cambria Math" w:hAnsi="Cambria Math"/>
                    <w:bCs/>
                    <w:i/>
                  </w:rPr>
                </m:ctrlPr>
              </m:sSubPr>
              <m:e>
                <m:r>
                  <w:rPr>
                    <w:rFonts w:ascii="Cambria Math" w:hAnsi="Cambria Math"/>
                  </w:rPr>
                  <m:t>p</m:t>
                </m:r>
              </m:e>
              <m:sub>
                <m:r>
                  <w:rPr>
                    <w:rFonts w:ascii="Cambria Math" w:hAnsi="Cambria Math"/>
                  </w:rPr>
                  <m:t>h</m:t>
                </m:r>
              </m:sub>
            </m:sSub>
          </m:e>
        </m:acc>
      </m:oMath>
      <w:r w:rsidR="0018769C">
        <w:rPr>
          <w:bCs/>
        </w:rPr>
        <w:t xml:space="preserve">. Finally, we plot the </w:t>
      </w:r>
      <w:r w:rsidR="0018769C" w:rsidRPr="0018769C">
        <w:rPr>
          <w:bCs/>
        </w:rPr>
        <w:t>distribution</w:t>
      </w:r>
      <w:r w:rsidR="0018769C">
        <w:rPr>
          <w:bCs/>
        </w:rPr>
        <w:t xml:space="preserve"> for </w:t>
      </w:r>
      <m:oMath>
        <m:r>
          <w:rPr>
            <w:rFonts w:ascii="Cambria Math" w:hAnsi="Cambria Math"/>
          </w:rPr>
          <m:t>w</m:t>
        </m:r>
      </m:oMath>
      <w:r w:rsidR="0018769C">
        <w:rPr>
          <w:bCs/>
        </w:rPr>
        <w:t xml:space="preserve"> in </w:t>
      </w:r>
      <w:r w:rsidR="0018769C" w:rsidRPr="0018769C">
        <w:rPr>
          <w:b/>
        </w:rPr>
        <w:fldChar w:fldCharType="begin"/>
      </w:r>
      <w:r w:rsidR="0018769C" w:rsidRPr="0018769C">
        <w:rPr>
          <w:b/>
        </w:rPr>
        <w:instrText xml:space="preserve"> REF _Ref176979364 \h </w:instrText>
      </w:r>
      <w:r w:rsidR="0018769C">
        <w:rPr>
          <w:b/>
        </w:rPr>
        <w:instrText xml:space="preserve"> \* MERGEFORMAT </w:instrText>
      </w:r>
      <w:r w:rsidR="0018769C" w:rsidRPr="0018769C">
        <w:rPr>
          <w:b/>
        </w:rPr>
      </w:r>
      <w:r w:rsidR="0018769C" w:rsidRPr="0018769C">
        <w:rPr>
          <w:b/>
        </w:rPr>
        <w:fldChar w:fldCharType="separate"/>
      </w:r>
      <w:r w:rsidR="0018769C" w:rsidRPr="0018769C">
        <w:rPr>
          <w:b/>
        </w:rPr>
        <w:t xml:space="preserve">Figure </w:t>
      </w:r>
      <w:r w:rsidR="0018769C" w:rsidRPr="0018769C">
        <w:rPr>
          <w:b/>
          <w:noProof/>
        </w:rPr>
        <w:t>32</w:t>
      </w:r>
      <w:r w:rsidR="0018769C" w:rsidRPr="0018769C">
        <w:rPr>
          <w:b/>
        </w:rPr>
        <w:fldChar w:fldCharType="end"/>
      </w:r>
      <w:r w:rsidR="0018769C">
        <w:rPr>
          <w:bCs/>
        </w:rPr>
        <w:t xml:space="preserve">. </w:t>
      </w:r>
      <w:r w:rsidR="001100FA">
        <w:rPr>
          <w:bCs/>
        </w:rPr>
        <w:t>The selected value</w:t>
      </w:r>
      <w:r w:rsidR="00585CBF">
        <w:rPr>
          <w:bCs/>
        </w:rPr>
        <w:t xml:space="preserve"> of</w:t>
      </w:r>
      <w:r w:rsidR="001100FA">
        <w:rPr>
          <w:bCs/>
        </w:rPr>
        <w:t xml:space="preserve"> 0.11 is not </w:t>
      </w:r>
      <w:r w:rsidR="001100FA" w:rsidRPr="001100FA">
        <w:rPr>
          <w:bCs/>
        </w:rPr>
        <w:t>significantly</w:t>
      </w:r>
      <w:r w:rsidR="001100FA">
        <w:rPr>
          <w:bCs/>
        </w:rPr>
        <w:t xml:space="preserve"> different from the modes of these </w:t>
      </w:r>
      <w:r w:rsidR="001100FA" w:rsidRPr="001100FA">
        <w:rPr>
          <w:bCs/>
        </w:rPr>
        <w:t>distribution</w:t>
      </w:r>
      <w:r w:rsidR="001100FA">
        <w:rPr>
          <w:bCs/>
        </w:rPr>
        <w:t>s.</w:t>
      </w:r>
    </w:p>
    <w:p w14:paraId="58F79EDF" w14:textId="77777777" w:rsidR="00405CE8" w:rsidRDefault="00405CE8" w:rsidP="00AB2869">
      <w:pPr>
        <w:spacing w:after="0" w:line="240" w:lineRule="auto"/>
      </w:pPr>
      <w:r>
        <w:rPr>
          <w:noProof/>
        </w:rPr>
        <w:drawing>
          <wp:inline distT="0" distB="0" distL="0" distR="0" wp14:anchorId="150A1FC1" wp14:editId="31651DC5">
            <wp:extent cx="5943600" cy="256603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2"/>
                    <a:stretch>
                      <a:fillRect/>
                    </a:stretch>
                  </pic:blipFill>
                  <pic:spPr>
                    <a:xfrm>
                      <a:off x="0" y="0"/>
                      <a:ext cx="5943600" cy="2566035"/>
                    </a:xfrm>
                    <a:prstGeom prst="rect">
                      <a:avLst/>
                    </a:prstGeom>
                  </pic:spPr>
                </pic:pic>
              </a:graphicData>
            </a:graphic>
          </wp:inline>
        </w:drawing>
      </w:r>
    </w:p>
    <w:p w14:paraId="3B929088" w14:textId="145FC16F" w:rsidR="00405CE8" w:rsidRDefault="00405CE8" w:rsidP="00405CE8">
      <w:pPr>
        <w:pStyle w:val="Caption"/>
        <w:jc w:val="both"/>
        <w:rPr>
          <w:b w:val="0"/>
          <w:bCs/>
        </w:rPr>
      </w:pPr>
      <w:bookmarkStart w:id="32" w:name="_Ref176979364"/>
      <w:r>
        <w:t xml:space="preserve">Figure </w:t>
      </w:r>
      <w:fldSimple w:instr=" SEQ Figure \* ARABIC ">
        <w:r w:rsidR="00E941CA">
          <w:rPr>
            <w:noProof/>
          </w:rPr>
          <w:t>32</w:t>
        </w:r>
      </w:fldSimple>
      <w:bookmarkEnd w:id="32"/>
      <w:r>
        <w:t xml:space="preserve">. </w:t>
      </w:r>
      <w:r w:rsidR="006B1A31">
        <w:rPr>
          <w:b w:val="0"/>
          <w:bCs/>
        </w:rPr>
        <w:t>D</w:t>
      </w:r>
      <w:r w:rsidR="006B1A31" w:rsidRPr="006B1A31">
        <w:rPr>
          <w:b w:val="0"/>
          <w:bCs/>
        </w:rPr>
        <w:t>istribution</w:t>
      </w:r>
      <w:r w:rsidR="006B1A31">
        <w:rPr>
          <w:b w:val="0"/>
          <w:bCs/>
        </w:rPr>
        <w:t xml:space="preserve"> for the dynamic values of </w:t>
      </w:r>
      <m:oMath>
        <m:r>
          <m:rPr>
            <m:sty m:val="bi"/>
          </m:rPr>
          <w:rPr>
            <w:rFonts w:ascii="Cambria Math" w:hAnsi="Cambria Math"/>
          </w:rPr>
          <m:t>w</m:t>
        </m:r>
      </m:oMath>
      <w:r w:rsidR="006B1A31">
        <w:rPr>
          <w:b w:val="0"/>
          <w:bCs/>
        </w:rPr>
        <w:t xml:space="preserve"> over time.</w:t>
      </w:r>
    </w:p>
    <w:sectPr w:rsidR="00405CE8" w:rsidSect="001C298C">
      <w:pgSz w:w="12240" w:h="15840" w:code="1"/>
      <w:pgMar w:top="1440" w:right="1440" w:bottom="1440" w:left="1440" w:header="720" w:footer="288" w:gutter="0"/>
      <w:cols w:space="432"/>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78CB50" w14:textId="77777777" w:rsidR="00A711D3" w:rsidRDefault="00A711D3" w:rsidP="002263C9">
      <w:r>
        <w:separator/>
      </w:r>
    </w:p>
  </w:endnote>
  <w:endnote w:type="continuationSeparator" w:id="0">
    <w:p w14:paraId="2E71AF85" w14:textId="77777777" w:rsidR="00A711D3" w:rsidRDefault="00A711D3" w:rsidP="002263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Ebrima"/>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1CFA18" w14:textId="77777777" w:rsidR="00A711D3" w:rsidRDefault="00A711D3" w:rsidP="002263C9">
      <w:r>
        <w:separator/>
      </w:r>
    </w:p>
  </w:footnote>
  <w:footnote w:type="continuationSeparator" w:id="0">
    <w:p w14:paraId="4167D085" w14:textId="77777777" w:rsidR="00A711D3" w:rsidRDefault="00A711D3" w:rsidP="002263C9">
      <w:r>
        <w:continuationSeparator/>
      </w:r>
    </w:p>
  </w:footnote>
  <w:footnote w:id="1">
    <w:p w14:paraId="30AA8427" w14:textId="4290D362" w:rsidR="00DD7D78" w:rsidRDefault="00DD7D78">
      <w:pPr>
        <w:pStyle w:val="FootnoteText"/>
      </w:pPr>
      <w:r>
        <w:rPr>
          <w:rStyle w:val="FootnoteReference"/>
        </w:rPr>
        <w:footnoteRef/>
      </w:r>
      <w:r>
        <w:t xml:space="preserve"> </w:t>
      </w:r>
      <w:r w:rsidRPr="00DD7D78">
        <w:t>For detailed information on the calibration procedure, see Appendix D</w:t>
      </w:r>
      <w:r>
        <w:t>.</w:t>
      </w:r>
    </w:p>
  </w:footnote>
  <w:footnote w:id="2">
    <w:p w14:paraId="2CCFD550" w14:textId="2E24B211" w:rsidR="00B9450D" w:rsidRDefault="00B9450D">
      <w:pPr>
        <w:pStyle w:val="FootnoteText"/>
      </w:pPr>
      <w:r>
        <w:rPr>
          <w:rStyle w:val="FootnoteReference"/>
        </w:rPr>
        <w:footnoteRef/>
      </w:r>
      <w:r>
        <w:t xml:space="preserve"> To overview summary </w:t>
      </w:r>
      <w:r w:rsidRPr="00B9450D">
        <w:t>statistics</w:t>
      </w:r>
      <w:r>
        <w:t xml:space="preserve"> and data </w:t>
      </w:r>
      <w:r w:rsidRPr="00B9450D">
        <w:t>transformations</w:t>
      </w:r>
      <w:r>
        <w:t xml:space="preserve"> please </w:t>
      </w:r>
      <w:r w:rsidRPr="00B9450D">
        <w:t>refer</w:t>
      </w:r>
      <w:r>
        <w:t xml:space="preserve"> to </w:t>
      </w:r>
      <w:r w:rsidRPr="00B9450D">
        <w:t>appendix C</w:t>
      </w:r>
      <w:r>
        <w:t>.</w:t>
      </w:r>
    </w:p>
  </w:footnote>
  <w:footnote w:id="3">
    <w:p w14:paraId="29B37450" w14:textId="2DF7DE78" w:rsidR="00461A33" w:rsidRDefault="00461A33">
      <w:pPr>
        <w:pStyle w:val="FootnoteText"/>
      </w:pPr>
      <w:r>
        <w:rPr>
          <w:rStyle w:val="FootnoteReference"/>
        </w:rPr>
        <w:footnoteRef/>
      </w:r>
      <w:r>
        <w:t xml:space="preserve"> </w:t>
      </w:r>
      <w:r w:rsidRPr="00DD7D78">
        <w:t>For detail</w:t>
      </w:r>
      <w:r w:rsidR="00B506B0">
        <w:t>s</w:t>
      </w:r>
      <w:r w:rsidRPr="00DD7D78">
        <w:t xml:space="preserve"> on the </w:t>
      </w:r>
      <w:r>
        <w:t xml:space="preserve">methodology behind the </w:t>
      </w:r>
      <w:r w:rsidRPr="00E953F6">
        <w:rPr>
          <w:bCs/>
        </w:rPr>
        <w:t>frontier</w:t>
      </w:r>
      <w:r w:rsidRPr="00DD7D78">
        <w:t xml:space="preserve">, see Appendix </w:t>
      </w:r>
      <w:r>
        <w:t>B.</w:t>
      </w:r>
    </w:p>
  </w:footnote>
  <w:footnote w:id="4">
    <w:p w14:paraId="0CF68031" w14:textId="429DFC8A" w:rsidR="00E60DB3" w:rsidRDefault="00E60DB3">
      <w:pPr>
        <w:pStyle w:val="FootnoteText"/>
      </w:pPr>
      <w:r>
        <w:rPr>
          <w:rStyle w:val="FootnoteReference"/>
        </w:rPr>
        <w:footnoteRef/>
      </w:r>
      <w:r>
        <w:t xml:space="preserve"> The conversion </w:t>
      </w:r>
      <w:r w:rsidR="00E43783">
        <w:t>is</w:t>
      </w:r>
      <w:r>
        <w:t xml:space="preserve"> performed using a simple formula</w:t>
      </w:r>
      <w:r w:rsidR="00E43783">
        <w:t>:</w:t>
      </w:r>
      <m:oMath>
        <m:d>
          <m:dPr>
            <m:ctrlPr>
              <w:rPr>
                <w:rFonts w:ascii="Cambria Math" w:hAnsi="Cambria Math"/>
                <w:i/>
              </w:rPr>
            </m:ctrlPr>
          </m:dPr>
          <m:e>
            <m:f>
              <m:fPr>
                <m:ctrlPr>
                  <w:rPr>
                    <w:rFonts w:ascii="Cambria Math" w:hAnsi="Cambria Math"/>
                    <w:i/>
                  </w:rPr>
                </m:ctrlPr>
              </m:fPr>
              <m:num>
                <m:r>
                  <w:rPr>
                    <w:rFonts w:ascii="Cambria Math" w:hAnsi="Cambria Math"/>
                  </w:rPr>
                  <m:t>1.5⋅0.87</m:t>
                </m:r>
              </m:num>
              <m:den>
                <m:r>
                  <w:rPr>
                    <w:rFonts w:ascii="Cambria Math" w:hAnsi="Cambria Math"/>
                  </w:rPr>
                  <m:t>4</m:t>
                </m:r>
              </m:den>
            </m:f>
          </m:e>
        </m:d>
      </m:oMath>
      <w:r w:rsidR="00EB39DB">
        <w:t>.</w:t>
      </w:r>
      <w:r>
        <w:t xml:space="preserve"> </w:t>
      </w:r>
      <w:r w:rsidR="00E43783" w:rsidRPr="00DD7D78">
        <w:t>For detail</w:t>
      </w:r>
      <w:r w:rsidR="00E43783">
        <w:t>s</w:t>
      </w:r>
      <w:r w:rsidR="00E43783" w:rsidRPr="00DD7D78">
        <w:t xml:space="preserve"> on </w:t>
      </w:r>
      <w:r w:rsidR="00E43783">
        <w:t xml:space="preserve">the “conversion rate” see </w:t>
      </w:r>
      <w:r w:rsidR="00E43783" w:rsidRPr="00DD7D78">
        <w:t>Appendix</w:t>
      </w:r>
      <w:r w:rsidR="00E43783">
        <w:t xml:space="preserve"> 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F2EDC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55A5C2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F0C147E"/>
    <w:lvl w:ilvl="0">
      <w:start w:val="1"/>
      <w:numFmt w:val="decimal"/>
      <w:pStyle w:val="ListNumber3"/>
      <w:lvlText w:val="%1."/>
      <w:lvlJc w:val="left"/>
      <w:pPr>
        <w:tabs>
          <w:tab w:val="num" w:pos="1080"/>
        </w:tabs>
        <w:ind w:left="1080" w:hanging="360"/>
      </w:pPr>
    </w:lvl>
  </w:abstractNum>
  <w:abstractNum w:abstractNumId="3" w15:restartNumberingAfterBreak="0">
    <w:nsid w:val="14F40D04"/>
    <w:multiLevelType w:val="hybridMultilevel"/>
    <w:tmpl w:val="1D84BF60"/>
    <w:lvl w:ilvl="0" w:tplc="68A86BC8">
      <w:start w:val="1"/>
      <w:numFmt w:val="bullet"/>
      <w:pStyle w:val="BulletedLis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8EA71B2"/>
    <w:multiLevelType w:val="multilevel"/>
    <w:tmpl w:val="3C340030"/>
    <w:lvl w:ilvl="0">
      <w:start w:val="1"/>
      <w:numFmt w:val="decimal"/>
      <w:pStyle w:val="SectionHeading"/>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30F08CD"/>
    <w:multiLevelType w:val="multilevel"/>
    <w:tmpl w:val="DDEE8D5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58AD353F"/>
    <w:multiLevelType w:val="hybridMultilevel"/>
    <w:tmpl w:val="3D4E6844"/>
    <w:lvl w:ilvl="0" w:tplc="996432B4">
      <w:start w:val="1"/>
      <w:numFmt w:val="decimal"/>
      <w:pStyle w:val="NumberedList"/>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48E6170"/>
    <w:multiLevelType w:val="multilevel"/>
    <w:tmpl w:val="1EB447EC"/>
    <w:lvl w:ilvl="0">
      <w:start w:val="1"/>
      <w:numFmt w:val="decimal"/>
      <w:lvlText w:val="%1."/>
      <w:lvlJc w:val="left"/>
      <w:pPr>
        <w:ind w:left="360" w:hanging="360"/>
      </w:pPr>
      <w:rPr>
        <w:rFonts w:hint="default"/>
      </w:rPr>
    </w:lvl>
    <w:lvl w:ilvl="1">
      <w:start w:val="1"/>
      <w:numFmt w:val="decimal"/>
      <w:pStyle w:val="Sub-sectionHeader"/>
      <w:lvlText w:val="%1.%2."/>
      <w:lvlJc w:val="left"/>
      <w:pPr>
        <w:ind w:left="3402" w:hanging="432"/>
      </w:pPr>
      <w:rPr>
        <w:rFonts w:hint="default"/>
      </w:rPr>
    </w:lvl>
    <w:lvl w:ilvl="2">
      <w:start w:val="1"/>
      <w:numFmt w:val="decimal"/>
      <w:pStyle w:val="Sub-sub-sectionheader"/>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929581198">
    <w:abstractNumId w:val="2"/>
  </w:num>
  <w:num w:numId="2" w16cid:durableId="1907452077">
    <w:abstractNumId w:val="1"/>
  </w:num>
  <w:num w:numId="3" w16cid:durableId="266232261">
    <w:abstractNumId w:val="0"/>
  </w:num>
  <w:num w:numId="4" w16cid:durableId="1784303934">
    <w:abstractNumId w:val="5"/>
  </w:num>
  <w:num w:numId="5" w16cid:durableId="485391403">
    <w:abstractNumId w:val="6"/>
  </w:num>
  <w:num w:numId="6" w16cid:durableId="1763379483">
    <w:abstractNumId w:val="3"/>
  </w:num>
  <w:num w:numId="7" w16cid:durableId="879590502">
    <w:abstractNumId w:val="7"/>
  </w:num>
  <w:num w:numId="8" w16cid:durableId="776946757">
    <w:abstractNumId w:val="4"/>
  </w:num>
  <w:num w:numId="9" w16cid:durableId="1258518676">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O0MLIwMjcxMTK1MDRW0lEKTi0uzszPAykwrAUAEgRXpSwAAAA="/>
    <w:docVar w:name="CHIPaperNum" w:val="400"/>
  </w:docVars>
  <w:rsids>
    <w:rsidRoot w:val="004F7602"/>
    <w:rsid w:val="000007A5"/>
    <w:rsid w:val="0000131D"/>
    <w:rsid w:val="00002747"/>
    <w:rsid w:val="000036C9"/>
    <w:rsid w:val="000055E0"/>
    <w:rsid w:val="0000625C"/>
    <w:rsid w:val="00007496"/>
    <w:rsid w:val="00007791"/>
    <w:rsid w:val="00010842"/>
    <w:rsid w:val="00011694"/>
    <w:rsid w:val="00011807"/>
    <w:rsid w:val="00012912"/>
    <w:rsid w:val="00013ED9"/>
    <w:rsid w:val="00013F1B"/>
    <w:rsid w:val="00014D55"/>
    <w:rsid w:val="0001659E"/>
    <w:rsid w:val="0001707B"/>
    <w:rsid w:val="000201E9"/>
    <w:rsid w:val="000233B8"/>
    <w:rsid w:val="00025EA8"/>
    <w:rsid w:val="00025F47"/>
    <w:rsid w:val="000304AA"/>
    <w:rsid w:val="00032EC4"/>
    <w:rsid w:val="000333DE"/>
    <w:rsid w:val="00033994"/>
    <w:rsid w:val="0003450C"/>
    <w:rsid w:val="00040473"/>
    <w:rsid w:val="00040794"/>
    <w:rsid w:val="00044C89"/>
    <w:rsid w:val="00055598"/>
    <w:rsid w:val="00055B67"/>
    <w:rsid w:val="00056173"/>
    <w:rsid w:val="00057B5F"/>
    <w:rsid w:val="000617E1"/>
    <w:rsid w:val="00063446"/>
    <w:rsid w:val="000654D2"/>
    <w:rsid w:val="00066128"/>
    <w:rsid w:val="00066255"/>
    <w:rsid w:val="00067860"/>
    <w:rsid w:val="000707EF"/>
    <w:rsid w:val="000728F3"/>
    <w:rsid w:val="00072B3A"/>
    <w:rsid w:val="000734E0"/>
    <w:rsid w:val="00073DCD"/>
    <w:rsid w:val="0007555B"/>
    <w:rsid w:val="000770C1"/>
    <w:rsid w:val="000774AB"/>
    <w:rsid w:val="00082A1B"/>
    <w:rsid w:val="00083E46"/>
    <w:rsid w:val="00085A0D"/>
    <w:rsid w:val="0008755F"/>
    <w:rsid w:val="00087BEC"/>
    <w:rsid w:val="00097434"/>
    <w:rsid w:val="000A0748"/>
    <w:rsid w:val="000A3852"/>
    <w:rsid w:val="000A4A2A"/>
    <w:rsid w:val="000A6C04"/>
    <w:rsid w:val="000A7127"/>
    <w:rsid w:val="000A718C"/>
    <w:rsid w:val="000A7310"/>
    <w:rsid w:val="000B00CD"/>
    <w:rsid w:val="000B0AF8"/>
    <w:rsid w:val="000B3003"/>
    <w:rsid w:val="000B35DC"/>
    <w:rsid w:val="000B397D"/>
    <w:rsid w:val="000B4E4C"/>
    <w:rsid w:val="000B589C"/>
    <w:rsid w:val="000B6A11"/>
    <w:rsid w:val="000B72DA"/>
    <w:rsid w:val="000C4EE6"/>
    <w:rsid w:val="000C5388"/>
    <w:rsid w:val="000C6B7C"/>
    <w:rsid w:val="000C7B24"/>
    <w:rsid w:val="000D0E76"/>
    <w:rsid w:val="000D407E"/>
    <w:rsid w:val="000D4D6C"/>
    <w:rsid w:val="000D598D"/>
    <w:rsid w:val="000D73A4"/>
    <w:rsid w:val="000E3577"/>
    <w:rsid w:val="000E4445"/>
    <w:rsid w:val="000E4E64"/>
    <w:rsid w:val="000E5328"/>
    <w:rsid w:val="000E5572"/>
    <w:rsid w:val="000E5CC3"/>
    <w:rsid w:val="000E7144"/>
    <w:rsid w:val="000E77EE"/>
    <w:rsid w:val="000F19BD"/>
    <w:rsid w:val="000F2F7D"/>
    <w:rsid w:val="000F34E6"/>
    <w:rsid w:val="000F4B8F"/>
    <w:rsid w:val="000F5428"/>
    <w:rsid w:val="000F76EB"/>
    <w:rsid w:val="000F7AD3"/>
    <w:rsid w:val="000F7EAB"/>
    <w:rsid w:val="0010082E"/>
    <w:rsid w:val="00100D50"/>
    <w:rsid w:val="00100D64"/>
    <w:rsid w:val="0010210D"/>
    <w:rsid w:val="00102180"/>
    <w:rsid w:val="00103A12"/>
    <w:rsid w:val="00103A63"/>
    <w:rsid w:val="00105200"/>
    <w:rsid w:val="00105C7C"/>
    <w:rsid w:val="00106E5C"/>
    <w:rsid w:val="00107EC1"/>
    <w:rsid w:val="001100FA"/>
    <w:rsid w:val="00110310"/>
    <w:rsid w:val="001105CA"/>
    <w:rsid w:val="00114577"/>
    <w:rsid w:val="00116F75"/>
    <w:rsid w:val="00117AD6"/>
    <w:rsid w:val="00117CB3"/>
    <w:rsid w:val="00117CC2"/>
    <w:rsid w:val="0012152B"/>
    <w:rsid w:val="00121918"/>
    <w:rsid w:val="00121EE5"/>
    <w:rsid w:val="00122EA7"/>
    <w:rsid w:val="00123CFD"/>
    <w:rsid w:val="00124151"/>
    <w:rsid w:val="00137145"/>
    <w:rsid w:val="00137885"/>
    <w:rsid w:val="00140C70"/>
    <w:rsid w:val="00142F35"/>
    <w:rsid w:val="001453E0"/>
    <w:rsid w:val="00145694"/>
    <w:rsid w:val="001465AB"/>
    <w:rsid w:val="00146EE3"/>
    <w:rsid w:val="001478F8"/>
    <w:rsid w:val="00147EF4"/>
    <w:rsid w:val="00150551"/>
    <w:rsid w:val="00151036"/>
    <w:rsid w:val="00151FAA"/>
    <w:rsid w:val="0015541A"/>
    <w:rsid w:val="00156721"/>
    <w:rsid w:val="0016183A"/>
    <w:rsid w:val="00161911"/>
    <w:rsid w:val="00161A70"/>
    <w:rsid w:val="00164626"/>
    <w:rsid w:val="001649BC"/>
    <w:rsid w:val="00164EF0"/>
    <w:rsid w:val="0016743D"/>
    <w:rsid w:val="001714DF"/>
    <w:rsid w:val="00172400"/>
    <w:rsid w:val="001728AD"/>
    <w:rsid w:val="00173CC9"/>
    <w:rsid w:val="00173EEF"/>
    <w:rsid w:val="00174170"/>
    <w:rsid w:val="00175C00"/>
    <w:rsid w:val="0017786E"/>
    <w:rsid w:val="001778D7"/>
    <w:rsid w:val="0017799B"/>
    <w:rsid w:val="00180521"/>
    <w:rsid w:val="00183264"/>
    <w:rsid w:val="00184BC5"/>
    <w:rsid w:val="00186236"/>
    <w:rsid w:val="0018769C"/>
    <w:rsid w:val="00191462"/>
    <w:rsid w:val="0019328C"/>
    <w:rsid w:val="001961E4"/>
    <w:rsid w:val="00197B90"/>
    <w:rsid w:val="001A18F9"/>
    <w:rsid w:val="001A33B8"/>
    <w:rsid w:val="001A6452"/>
    <w:rsid w:val="001B2045"/>
    <w:rsid w:val="001B2444"/>
    <w:rsid w:val="001B25F0"/>
    <w:rsid w:val="001B3C47"/>
    <w:rsid w:val="001B65A9"/>
    <w:rsid w:val="001B6DCD"/>
    <w:rsid w:val="001B7CA8"/>
    <w:rsid w:val="001C0590"/>
    <w:rsid w:val="001C298C"/>
    <w:rsid w:val="001C2A81"/>
    <w:rsid w:val="001C2C8B"/>
    <w:rsid w:val="001C2D42"/>
    <w:rsid w:val="001C32C5"/>
    <w:rsid w:val="001C3F42"/>
    <w:rsid w:val="001C4294"/>
    <w:rsid w:val="001C4909"/>
    <w:rsid w:val="001D1314"/>
    <w:rsid w:val="001D2611"/>
    <w:rsid w:val="001D29E1"/>
    <w:rsid w:val="001D2F98"/>
    <w:rsid w:val="001D32F0"/>
    <w:rsid w:val="001D439C"/>
    <w:rsid w:val="001D572E"/>
    <w:rsid w:val="001E29CB"/>
    <w:rsid w:val="001E35CC"/>
    <w:rsid w:val="001E5C50"/>
    <w:rsid w:val="001E5DEF"/>
    <w:rsid w:val="001E7A47"/>
    <w:rsid w:val="001E7DDC"/>
    <w:rsid w:val="001E7DDE"/>
    <w:rsid w:val="001F042A"/>
    <w:rsid w:val="001F062E"/>
    <w:rsid w:val="001F14F6"/>
    <w:rsid w:val="001F2F23"/>
    <w:rsid w:val="001F40BF"/>
    <w:rsid w:val="001F4B3C"/>
    <w:rsid w:val="001F4BD1"/>
    <w:rsid w:val="001F78AB"/>
    <w:rsid w:val="0020192F"/>
    <w:rsid w:val="00201D29"/>
    <w:rsid w:val="002022E4"/>
    <w:rsid w:val="002028D3"/>
    <w:rsid w:val="00203BBD"/>
    <w:rsid w:val="00210191"/>
    <w:rsid w:val="00210810"/>
    <w:rsid w:val="00211004"/>
    <w:rsid w:val="002117DA"/>
    <w:rsid w:val="00214551"/>
    <w:rsid w:val="0021464F"/>
    <w:rsid w:val="00215ED0"/>
    <w:rsid w:val="00216396"/>
    <w:rsid w:val="00216511"/>
    <w:rsid w:val="00216CFA"/>
    <w:rsid w:val="00217DA5"/>
    <w:rsid w:val="00222CA3"/>
    <w:rsid w:val="002263C9"/>
    <w:rsid w:val="00227741"/>
    <w:rsid w:val="002314ED"/>
    <w:rsid w:val="0023205F"/>
    <w:rsid w:val="002326A8"/>
    <w:rsid w:val="002335B3"/>
    <w:rsid w:val="00233A38"/>
    <w:rsid w:val="002358EE"/>
    <w:rsid w:val="002364E2"/>
    <w:rsid w:val="00236D65"/>
    <w:rsid w:val="0024113A"/>
    <w:rsid w:val="0024145B"/>
    <w:rsid w:val="002433E3"/>
    <w:rsid w:val="0024388A"/>
    <w:rsid w:val="002465F2"/>
    <w:rsid w:val="00250B5D"/>
    <w:rsid w:val="00251B3D"/>
    <w:rsid w:val="00251F75"/>
    <w:rsid w:val="00253D81"/>
    <w:rsid w:val="00254C00"/>
    <w:rsid w:val="0025707B"/>
    <w:rsid w:val="00261E1B"/>
    <w:rsid w:val="00263558"/>
    <w:rsid w:val="002639F6"/>
    <w:rsid w:val="00264A97"/>
    <w:rsid w:val="00265AD8"/>
    <w:rsid w:val="002675A7"/>
    <w:rsid w:val="00267D0E"/>
    <w:rsid w:val="00271519"/>
    <w:rsid w:val="00272285"/>
    <w:rsid w:val="002727A0"/>
    <w:rsid w:val="00272DB6"/>
    <w:rsid w:val="002761E1"/>
    <w:rsid w:val="00276C37"/>
    <w:rsid w:val="0027790E"/>
    <w:rsid w:val="00280866"/>
    <w:rsid w:val="002811E6"/>
    <w:rsid w:val="002824C7"/>
    <w:rsid w:val="002862A4"/>
    <w:rsid w:val="0028662F"/>
    <w:rsid w:val="00286A29"/>
    <w:rsid w:val="00291C99"/>
    <w:rsid w:val="00294A14"/>
    <w:rsid w:val="0029705C"/>
    <w:rsid w:val="002A1519"/>
    <w:rsid w:val="002A17D4"/>
    <w:rsid w:val="002A6D9E"/>
    <w:rsid w:val="002C3318"/>
    <w:rsid w:val="002C6597"/>
    <w:rsid w:val="002D1C6C"/>
    <w:rsid w:val="002D2175"/>
    <w:rsid w:val="002D3CB2"/>
    <w:rsid w:val="002D41E8"/>
    <w:rsid w:val="002D639D"/>
    <w:rsid w:val="002D6AE0"/>
    <w:rsid w:val="002D7965"/>
    <w:rsid w:val="002E17BA"/>
    <w:rsid w:val="002E4203"/>
    <w:rsid w:val="002E5185"/>
    <w:rsid w:val="002E55B4"/>
    <w:rsid w:val="002E607B"/>
    <w:rsid w:val="002E6F73"/>
    <w:rsid w:val="002E7059"/>
    <w:rsid w:val="002E746E"/>
    <w:rsid w:val="002F1553"/>
    <w:rsid w:val="002F33F0"/>
    <w:rsid w:val="002F48EE"/>
    <w:rsid w:val="002F61EC"/>
    <w:rsid w:val="002F7A09"/>
    <w:rsid w:val="00301E0E"/>
    <w:rsid w:val="003046D5"/>
    <w:rsid w:val="00305DDF"/>
    <w:rsid w:val="00310291"/>
    <w:rsid w:val="00310376"/>
    <w:rsid w:val="003113CC"/>
    <w:rsid w:val="00311723"/>
    <w:rsid w:val="003123C3"/>
    <w:rsid w:val="00314889"/>
    <w:rsid w:val="003152A3"/>
    <w:rsid w:val="00317086"/>
    <w:rsid w:val="003208E8"/>
    <w:rsid w:val="00322E3B"/>
    <w:rsid w:val="003309FD"/>
    <w:rsid w:val="00331AFF"/>
    <w:rsid w:val="00331D5E"/>
    <w:rsid w:val="00334D5C"/>
    <w:rsid w:val="003365AF"/>
    <w:rsid w:val="00336877"/>
    <w:rsid w:val="0034039C"/>
    <w:rsid w:val="00340493"/>
    <w:rsid w:val="00340A9D"/>
    <w:rsid w:val="0034165D"/>
    <w:rsid w:val="0034259A"/>
    <w:rsid w:val="003442FF"/>
    <w:rsid w:val="00344BAB"/>
    <w:rsid w:val="0034513D"/>
    <w:rsid w:val="003453C9"/>
    <w:rsid w:val="003461A2"/>
    <w:rsid w:val="003500C6"/>
    <w:rsid w:val="003500F1"/>
    <w:rsid w:val="003521DC"/>
    <w:rsid w:val="003539AD"/>
    <w:rsid w:val="00354AC8"/>
    <w:rsid w:val="00354D90"/>
    <w:rsid w:val="00355877"/>
    <w:rsid w:val="00355923"/>
    <w:rsid w:val="00362042"/>
    <w:rsid w:val="00362985"/>
    <w:rsid w:val="003637B4"/>
    <w:rsid w:val="003644E7"/>
    <w:rsid w:val="003667DE"/>
    <w:rsid w:val="003675BC"/>
    <w:rsid w:val="0037036B"/>
    <w:rsid w:val="00372983"/>
    <w:rsid w:val="00373A0E"/>
    <w:rsid w:val="00373F8D"/>
    <w:rsid w:val="00377EAB"/>
    <w:rsid w:val="00377F84"/>
    <w:rsid w:val="003823AB"/>
    <w:rsid w:val="00383BDF"/>
    <w:rsid w:val="0038458B"/>
    <w:rsid w:val="0038618C"/>
    <w:rsid w:val="003871F7"/>
    <w:rsid w:val="00387953"/>
    <w:rsid w:val="003907EC"/>
    <w:rsid w:val="0039156C"/>
    <w:rsid w:val="00391CE0"/>
    <w:rsid w:val="003948CB"/>
    <w:rsid w:val="00396BBA"/>
    <w:rsid w:val="00397361"/>
    <w:rsid w:val="003A0E04"/>
    <w:rsid w:val="003A12EA"/>
    <w:rsid w:val="003A5393"/>
    <w:rsid w:val="003A6AB8"/>
    <w:rsid w:val="003A7DC7"/>
    <w:rsid w:val="003B0361"/>
    <w:rsid w:val="003B0677"/>
    <w:rsid w:val="003B07DF"/>
    <w:rsid w:val="003B1F3C"/>
    <w:rsid w:val="003B348B"/>
    <w:rsid w:val="003B469C"/>
    <w:rsid w:val="003B4EB4"/>
    <w:rsid w:val="003B5B69"/>
    <w:rsid w:val="003B7829"/>
    <w:rsid w:val="003C001C"/>
    <w:rsid w:val="003C0420"/>
    <w:rsid w:val="003C3006"/>
    <w:rsid w:val="003C3A72"/>
    <w:rsid w:val="003C4FFC"/>
    <w:rsid w:val="003C673E"/>
    <w:rsid w:val="003C732D"/>
    <w:rsid w:val="003C7D21"/>
    <w:rsid w:val="003C7D81"/>
    <w:rsid w:val="003D4265"/>
    <w:rsid w:val="003D43A0"/>
    <w:rsid w:val="003D5402"/>
    <w:rsid w:val="003D7F56"/>
    <w:rsid w:val="003E083F"/>
    <w:rsid w:val="003E1FB5"/>
    <w:rsid w:val="003E3C69"/>
    <w:rsid w:val="003E43AB"/>
    <w:rsid w:val="003E5A35"/>
    <w:rsid w:val="003E5F46"/>
    <w:rsid w:val="003E646E"/>
    <w:rsid w:val="003E7A96"/>
    <w:rsid w:val="003F0073"/>
    <w:rsid w:val="003F3765"/>
    <w:rsid w:val="003F4602"/>
    <w:rsid w:val="003F49CB"/>
    <w:rsid w:val="003F4AA0"/>
    <w:rsid w:val="003F70AB"/>
    <w:rsid w:val="003F70BA"/>
    <w:rsid w:val="003F749D"/>
    <w:rsid w:val="0040207D"/>
    <w:rsid w:val="00402976"/>
    <w:rsid w:val="004036E7"/>
    <w:rsid w:val="00404487"/>
    <w:rsid w:val="00404682"/>
    <w:rsid w:val="00405CE8"/>
    <w:rsid w:val="0041136C"/>
    <w:rsid w:val="00412630"/>
    <w:rsid w:val="0041270E"/>
    <w:rsid w:val="00413083"/>
    <w:rsid w:val="00413312"/>
    <w:rsid w:val="004160FF"/>
    <w:rsid w:val="00423F29"/>
    <w:rsid w:val="0042437D"/>
    <w:rsid w:val="00426587"/>
    <w:rsid w:val="004277A3"/>
    <w:rsid w:val="004317E9"/>
    <w:rsid w:val="00431B38"/>
    <w:rsid w:val="00433499"/>
    <w:rsid w:val="00433FD6"/>
    <w:rsid w:val="00434777"/>
    <w:rsid w:val="00435246"/>
    <w:rsid w:val="004370BC"/>
    <w:rsid w:val="00443E9F"/>
    <w:rsid w:val="00447621"/>
    <w:rsid w:val="004478D8"/>
    <w:rsid w:val="00450EE8"/>
    <w:rsid w:val="004525E8"/>
    <w:rsid w:val="00452DF8"/>
    <w:rsid w:val="004530BB"/>
    <w:rsid w:val="004535A6"/>
    <w:rsid w:val="00454A5E"/>
    <w:rsid w:val="0045652F"/>
    <w:rsid w:val="00461360"/>
    <w:rsid w:val="00461773"/>
    <w:rsid w:val="00461A33"/>
    <w:rsid w:val="00461A87"/>
    <w:rsid w:val="00461F0D"/>
    <w:rsid w:val="004624B0"/>
    <w:rsid w:val="0046262B"/>
    <w:rsid w:val="0046771C"/>
    <w:rsid w:val="00470738"/>
    <w:rsid w:val="00470ED8"/>
    <w:rsid w:val="00472FF1"/>
    <w:rsid w:val="00473BD4"/>
    <w:rsid w:val="0047539A"/>
    <w:rsid w:val="004754D0"/>
    <w:rsid w:val="00476FD0"/>
    <w:rsid w:val="00480565"/>
    <w:rsid w:val="004807C2"/>
    <w:rsid w:val="00480863"/>
    <w:rsid w:val="00480F98"/>
    <w:rsid w:val="004814EE"/>
    <w:rsid w:val="00481B72"/>
    <w:rsid w:val="00483B22"/>
    <w:rsid w:val="0049094D"/>
    <w:rsid w:val="00490DEF"/>
    <w:rsid w:val="00493EDB"/>
    <w:rsid w:val="004959EB"/>
    <w:rsid w:val="00495D2F"/>
    <w:rsid w:val="004A1F75"/>
    <w:rsid w:val="004A413E"/>
    <w:rsid w:val="004A4BED"/>
    <w:rsid w:val="004A588B"/>
    <w:rsid w:val="004A7879"/>
    <w:rsid w:val="004A7E31"/>
    <w:rsid w:val="004B1F17"/>
    <w:rsid w:val="004B241B"/>
    <w:rsid w:val="004B2FFF"/>
    <w:rsid w:val="004B35DA"/>
    <w:rsid w:val="004B3FFD"/>
    <w:rsid w:val="004B4E2C"/>
    <w:rsid w:val="004B54E4"/>
    <w:rsid w:val="004B5AF6"/>
    <w:rsid w:val="004B6BE7"/>
    <w:rsid w:val="004B7570"/>
    <w:rsid w:val="004C1A44"/>
    <w:rsid w:val="004C33E8"/>
    <w:rsid w:val="004C3AB4"/>
    <w:rsid w:val="004C7A86"/>
    <w:rsid w:val="004D1BCB"/>
    <w:rsid w:val="004D2DBC"/>
    <w:rsid w:val="004D4534"/>
    <w:rsid w:val="004D4F05"/>
    <w:rsid w:val="004E06E4"/>
    <w:rsid w:val="004E52DA"/>
    <w:rsid w:val="004E6530"/>
    <w:rsid w:val="004E7CB7"/>
    <w:rsid w:val="004F0FC6"/>
    <w:rsid w:val="004F1BA1"/>
    <w:rsid w:val="004F37CB"/>
    <w:rsid w:val="004F420A"/>
    <w:rsid w:val="004F5754"/>
    <w:rsid w:val="004F6521"/>
    <w:rsid w:val="004F7602"/>
    <w:rsid w:val="004F76B2"/>
    <w:rsid w:val="004F7A15"/>
    <w:rsid w:val="00500024"/>
    <w:rsid w:val="005004D4"/>
    <w:rsid w:val="00501066"/>
    <w:rsid w:val="00501783"/>
    <w:rsid w:val="00503BA8"/>
    <w:rsid w:val="00505DFC"/>
    <w:rsid w:val="00505E1B"/>
    <w:rsid w:val="00507848"/>
    <w:rsid w:val="005111CB"/>
    <w:rsid w:val="00514FE2"/>
    <w:rsid w:val="00516AEA"/>
    <w:rsid w:val="00517D2F"/>
    <w:rsid w:val="00520796"/>
    <w:rsid w:val="00523E3A"/>
    <w:rsid w:val="00526B0F"/>
    <w:rsid w:val="00526DFF"/>
    <w:rsid w:val="00526FB1"/>
    <w:rsid w:val="0053001A"/>
    <w:rsid w:val="005327F1"/>
    <w:rsid w:val="005328EB"/>
    <w:rsid w:val="00532969"/>
    <w:rsid w:val="00532C3E"/>
    <w:rsid w:val="00532EB5"/>
    <w:rsid w:val="0053481D"/>
    <w:rsid w:val="00536E67"/>
    <w:rsid w:val="00537D7E"/>
    <w:rsid w:val="00540BD6"/>
    <w:rsid w:val="0054143D"/>
    <w:rsid w:val="00541E5C"/>
    <w:rsid w:val="00542FC5"/>
    <w:rsid w:val="0054300D"/>
    <w:rsid w:val="005433B7"/>
    <w:rsid w:val="005439EF"/>
    <w:rsid w:val="0054609A"/>
    <w:rsid w:val="00547E53"/>
    <w:rsid w:val="00551456"/>
    <w:rsid w:val="005527ED"/>
    <w:rsid w:val="00552C72"/>
    <w:rsid w:val="00553092"/>
    <w:rsid w:val="00554FF5"/>
    <w:rsid w:val="0055722A"/>
    <w:rsid w:val="005606C8"/>
    <w:rsid w:val="00560E90"/>
    <w:rsid w:val="0056392F"/>
    <w:rsid w:val="00564AF7"/>
    <w:rsid w:val="005652A8"/>
    <w:rsid w:val="0057272B"/>
    <w:rsid w:val="00581264"/>
    <w:rsid w:val="00583589"/>
    <w:rsid w:val="005850FE"/>
    <w:rsid w:val="00585498"/>
    <w:rsid w:val="0058556E"/>
    <w:rsid w:val="00585CBF"/>
    <w:rsid w:val="00586FE5"/>
    <w:rsid w:val="00587B87"/>
    <w:rsid w:val="005906C6"/>
    <w:rsid w:val="00591C69"/>
    <w:rsid w:val="00591FCC"/>
    <w:rsid w:val="00592494"/>
    <w:rsid w:val="0059269E"/>
    <w:rsid w:val="0059270B"/>
    <w:rsid w:val="00592991"/>
    <w:rsid w:val="00597060"/>
    <w:rsid w:val="00597573"/>
    <w:rsid w:val="00597E5E"/>
    <w:rsid w:val="005A04D0"/>
    <w:rsid w:val="005A0D7A"/>
    <w:rsid w:val="005A1421"/>
    <w:rsid w:val="005A1DB7"/>
    <w:rsid w:val="005A21DE"/>
    <w:rsid w:val="005A2C27"/>
    <w:rsid w:val="005A36EB"/>
    <w:rsid w:val="005A4172"/>
    <w:rsid w:val="005A42E9"/>
    <w:rsid w:val="005A4A14"/>
    <w:rsid w:val="005A4F3A"/>
    <w:rsid w:val="005A6F8F"/>
    <w:rsid w:val="005B0DFB"/>
    <w:rsid w:val="005B1E89"/>
    <w:rsid w:val="005B2AA7"/>
    <w:rsid w:val="005B4601"/>
    <w:rsid w:val="005B7E84"/>
    <w:rsid w:val="005C0FDD"/>
    <w:rsid w:val="005C216A"/>
    <w:rsid w:val="005C3125"/>
    <w:rsid w:val="005C366F"/>
    <w:rsid w:val="005C42F3"/>
    <w:rsid w:val="005C4693"/>
    <w:rsid w:val="005C6284"/>
    <w:rsid w:val="005C632C"/>
    <w:rsid w:val="005D0854"/>
    <w:rsid w:val="005D1263"/>
    <w:rsid w:val="005D144D"/>
    <w:rsid w:val="005D3535"/>
    <w:rsid w:val="005D4A32"/>
    <w:rsid w:val="005D571F"/>
    <w:rsid w:val="005D5D79"/>
    <w:rsid w:val="005E3A00"/>
    <w:rsid w:val="005E44EB"/>
    <w:rsid w:val="005E4AEF"/>
    <w:rsid w:val="005E52B8"/>
    <w:rsid w:val="005E721B"/>
    <w:rsid w:val="005F359A"/>
    <w:rsid w:val="005F3FFC"/>
    <w:rsid w:val="00601246"/>
    <w:rsid w:val="0060399E"/>
    <w:rsid w:val="006039F1"/>
    <w:rsid w:val="006040B7"/>
    <w:rsid w:val="006048E3"/>
    <w:rsid w:val="0061007B"/>
    <w:rsid w:val="00612693"/>
    <w:rsid w:val="006127F1"/>
    <w:rsid w:val="00613D18"/>
    <w:rsid w:val="00616318"/>
    <w:rsid w:val="006200EB"/>
    <w:rsid w:val="00626221"/>
    <w:rsid w:val="006269FF"/>
    <w:rsid w:val="00626F42"/>
    <w:rsid w:val="00627420"/>
    <w:rsid w:val="00632F1C"/>
    <w:rsid w:val="006346B1"/>
    <w:rsid w:val="00634C20"/>
    <w:rsid w:val="006375E5"/>
    <w:rsid w:val="00640CF9"/>
    <w:rsid w:val="006412B4"/>
    <w:rsid w:val="00644E13"/>
    <w:rsid w:val="00645F82"/>
    <w:rsid w:val="00646075"/>
    <w:rsid w:val="00646813"/>
    <w:rsid w:val="00646C3B"/>
    <w:rsid w:val="00646E21"/>
    <w:rsid w:val="006548C6"/>
    <w:rsid w:val="00654E44"/>
    <w:rsid w:val="006563F6"/>
    <w:rsid w:val="00656421"/>
    <w:rsid w:val="00657A79"/>
    <w:rsid w:val="006619D3"/>
    <w:rsid w:val="00661CD5"/>
    <w:rsid w:val="006621E5"/>
    <w:rsid w:val="00662555"/>
    <w:rsid w:val="006637DD"/>
    <w:rsid w:val="00663A28"/>
    <w:rsid w:val="00670EDD"/>
    <w:rsid w:val="006718F0"/>
    <w:rsid w:val="00672138"/>
    <w:rsid w:val="0067248E"/>
    <w:rsid w:val="00674545"/>
    <w:rsid w:val="00676734"/>
    <w:rsid w:val="00677B59"/>
    <w:rsid w:val="0068341F"/>
    <w:rsid w:val="00683A9D"/>
    <w:rsid w:val="00684747"/>
    <w:rsid w:val="00691849"/>
    <w:rsid w:val="0069261B"/>
    <w:rsid w:val="00692BC4"/>
    <w:rsid w:val="00692CE3"/>
    <w:rsid w:val="00692F7A"/>
    <w:rsid w:val="00695F7C"/>
    <w:rsid w:val="00696C4B"/>
    <w:rsid w:val="006973A2"/>
    <w:rsid w:val="00697959"/>
    <w:rsid w:val="006A0257"/>
    <w:rsid w:val="006A0290"/>
    <w:rsid w:val="006A304B"/>
    <w:rsid w:val="006A378F"/>
    <w:rsid w:val="006A5F06"/>
    <w:rsid w:val="006A620B"/>
    <w:rsid w:val="006A64C7"/>
    <w:rsid w:val="006B00A7"/>
    <w:rsid w:val="006B0C82"/>
    <w:rsid w:val="006B1A31"/>
    <w:rsid w:val="006B1D5B"/>
    <w:rsid w:val="006B2921"/>
    <w:rsid w:val="006B3F1F"/>
    <w:rsid w:val="006B6514"/>
    <w:rsid w:val="006C28DF"/>
    <w:rsid w:val="006C5FE6"/>
    <w:rsid w:val="006D0017"/>
    <w:rsid w:val="006D1291"/>
    <w:rsid w:val="006D1912"/>
    <w:rsid w:val="006D1FE6"/>
    <w:rsid w:val="006D591E"/>
    <w:rsid w:val="006D5D31"/>
    <w:rsid w:val="006D6B9A"/>
    <w:rsid w:val="006D6F59"/>
    <w:rsid w:val="006D7C94"/>
    <w:rsid w:val="006E0390"/>
    <w:rsid w:val="006E0887"/>
    <w:rsid w:val="006E3063"/>
    <w:rsid w:val="006E401D"/>
    <w:rsid w:val="006E470F"/>
    <w:rsid w:val="006E4D5F"/>
    <w:rsid w:val="006F2893"/>
    <w:rsid w:val="006F61A5"/>
    <w:rsid w:val="006F6F45"/>
    <w:rsid w:val="006F7E70"/>
    <w:rsid w:val="00700242"/>
    <w:rsid w:val="00701311"/>
    <w:rsid w:val="007028EE"/>
    <w:rsid w:val="00702F3C"/>
    <w:rsid w:val="007031CC"/>
    <w:rsid w:val="0070343E"/>
    <w:rsid w:val="00705F1E"/>
    <w:rsid w:val="007078B9"/>
    <w:rsid w:val="00707ADB"/>
    <w:rsid w:val="00707E7F"/>
    <w:rsid w:val="00710E91"/>
    <w:rsid w:val="00711082"/>
    <w:rsid w:val="007121E1"/>
    <w:rsid w:val="007159A3"/>
    <w:rsid w:val="00715DD5"/>
    <w:rsid w:val="007206A8"/>
    <w:rsid w:val="00720C6F"/>
    <w:rsid w:val="00725786"/>
    <w:rsid w:val="00725863"/>
    <w:rsid w:val="00730B51"/>
    <w:rsid w:val="007313B0"/>
    <w:rsid w:val="00734875"/>
    <w:rsid w:val="00735992"/>
    <w:rsid w:val="00736679"/>
    <w:rsid w:val="00737544"/>
    <w:rsid w:val="00741921"/>
    <w:rsid w:val="00742829"/>
    <w:rsid w:val="00744C70"/>
    <w:rsid w:val="00746169"/>
    <w:rsid w:val="007476E9"/>
    <w:rsid w:val="00752A83"/>
    <w:rsid w:val="00755F57"/>
    <w:rsid w:val="0075790B"/>
    <w:rsid w:val="00760E83"/>
    <w:rsid w:val="00761FD3"/>
    <w:rsid w:val="007626C8"/>
    <w:rsid w:val="00762B57"/>
    <w:rsid w:val="00763B24"/>
    <w:rsid w:val="00764F75"/>
    <w:rsid w:val="00765F0E"/>
    <w:rsid w:val="00770435"/>
    <w:rsid w:val="007721BF"/>
    <w:rsid w:val="00773A81"/>
    <w:rsid w:val="0077447A"/>
    <w:rsid w:val="007744D3"/>
    <w:rsid w:val="007806A0"/>
    <w:rsid w:val="00780CC6"/>
    <w:rsid w:val="00782280"/>
    <w:rsid w:val="00782676"/>
    <w:rsid w:val="00782A36"/>
    <w:rsid w:val="00786A77"/>
    <w:rsid w:val="0079020B"/>
    <w:rsid w:val="0079094E"/>
    <w:rsid w:val="0079154E"/>
    <w:rsid w:val="00791975"/>
    <w:rsid w:val="007929B4"/>
    <w:rsid w:val="007957CE"/>
    <w:rsid w:val="00797E67"/>
    <w:rsid w:val="007A36CE"/>
    <w:rsid w:val="007A43F0"/>
    <w:rsid w:val="007A5E20"/>
    <w:rsid w:val="007B0DE9"/>
    <w:rsid w:val="007B132B"/>
    <w:rsid w:val="007B47DD"/>
    <w:rsid w:val="007B7E7B"/>
    <w:rsid w:val="007C0416"/>
    <w:rsid w:val="007C1651"/>
    <w:rsid w:val="007C67B0"/>
    <w:rsid w:val="007C73E4"/>
    <w:rsid w:val="007C7E48"/>
    <w:rsid w:val="007D5393"/>
    <w:rsid w:val="007D6A70"/>
    <w:rsid w:val="007E0A15"/>
    <w:rsid w:val="007E174B"/>
    <w:rsid w:val="007E566E"/>
    <w:rsid w:val="007E587A"/>
    <w:rsid w:val="007F175B"/>
    <w:rsid w:val="007F2574"/>
    <w:rsid w:val="007F3153"/>
    <w:rsid w:val="007F5421"/>
    <w:rsid w:val="007F5D17"/>
    <w:rsid w:val="007F61EF"/>
    <w:rsid w:val="007F645F"/>
    <w:rsid w:val="00803022"/>
    <w:rsid w:val="008036BC"/>
    <w:rsid w:val="008057DF"/>
    <w:rsid w:val="008058FB"/>
    <w:rsid w:val="008060C8"/>
    <w:rsid w:val="00812FE8"/>
    <w:rsid w:val="008134A2"/>
    <w:rsid w:val="00813F15"/>
    <w:rsid w:val="00815240"/>
    <w:rsid w:val="008228B2"/>
    <w:rsid w:val="0082338F"/>
    <w:rsid w:val="0082437C"/>
    <w:rsid w:val="008276EA"/>
    <w:rsid w:val="008362A6"/>
    <w:rsid w:val="00837BCC"/>
    <w:rsid w:val="008420FD"/>
    <w:rsid w:val="00844C9C"/>
    <w:rsid w:val="008462E8"/>
    <w:rsid w:val="00847243"/>
    <w:rsid w:val="008506FC"/>
    <w:rsid w:val="00851B4D"/>
    <w:rsid w:val="0085243A"/>
    <w:rsid w:val="00852943"/>
    <w:rsid w:val="00853A06"/>
    <w:rsid w:val="00855456"/>
    <w:rsid w:val="008557EC"/>
    <w:rsid w:val="00855DC2"/>
    <w:rsid w:val="00856062"/>
    <w:rsid w:val="00860CC1"/>
    <w:rsid w:val="008617EC"/>
    <w:rsid w:val="00861E51"/>
    <w:rsid w:val="00863703"/>
    <w:rsid w:val="008639E0"/>
    <w:rsid w:val="00864E74"/>
    <w:rsid w:val="00865D29"/>
    <w:rsid w:val="00867EE0"/>
    <w:rsid w:val="008716BC"/>
    <w:rsid w:val="00872752"/>
    <w:rsid w:val="00872ABF"/>
    <w:rsid w:val="00873997"/>
    <w:rsid w:val="0087457A"/>
    <w:rsid w:val="008761F1"/>
    <w:rsid w:val="0088145B"/>
    <w:rsid w:val="008826F1"/>
    <w:rsid w:val="00886A66"/>
    <w:rsid w:val="00886D28"/>
    <w:rsid w:val="00890225"/>
    <w:rsid w:val="00890771"/>
    <w:rsid w:val="00892B77"/>
    <w:rsid w:val="008A04EC"/>
    <w:rsid w:val="008A37AF"/>
    <w:rsid w:val="008A5DCD"/>
    <w:rsid w:val="008A5EB0"/>
    <w:rsid w:val="008B2183"/>
    <w:rsid w:val="008B45C6"/>
    <w:rsid w:val="008B6E63"/>
    <w:rsid w:val="008C0754"/>
    <w:rsid w:val="008C185F"/>
    <w:rsid w:val="008C2AE1"/>
    <w:rsid w:val="008C30F4"/>
    <w:rsid w:val="008C3181"/>
    <w:rsid w:val="008C3D7E"/>
    <w:rsid w:val="008C41ED"/>
    <w:rsid w:val="008C4A68"/>
    <w:rsid w:val="008C53AA"/>
    <w:rsid w:val="008C5E06"/>
    <w:rsid w:val="008D07FD"/>
    <w:rsid w:val="008D0B34"/>
    <w:rsid w:val="008D2003"/>
    <w:rsid w:val="008D45D4"/>
    <w:rsid w:val="008D4BB2"/>
    <w:rsid w:val="008E0260"/>
    <w:rsid w:val="008E048C"/>
    <w:rsid w:val="008E31AC"/>
    <w:rsid w:val="008E466F"/>
    <w:rsid w:val="008E5333"/>
    <w:rsid w:val="008F02AA"/>
    <w:rsid w:val="008F0A31"/>
    <w:rsid w:val="008F3260"/>
    <w:rsid w:val="008F3340"/>
    <w:rsid w:val="008F370D"/>
    <w:rsid w:val="008F3C4F"/>
    <w:rsid w:val="0090077D"/>
    <w:rsid w:val="00901095"/>
    <w:rsid w:val="009010D0"/>
    <w:rsid w:val="0090145C"/>
    <w:rsid w:val="009028F8"/>
    <w:rsid w:val="00902DAC"/>
    <w:rsid w:val="00902FC0"/>
    <w:rsid w:val="00904A50"/>
    <w:rsid w:val="00905628"/>
    <w:rsid w:val="009061CC"/>
    <w:rsid w:val="00910AE2"/>
    <w:rsid w:val="00910CD4"/>
    <w:rsid w:val="00912528"/>
    <w:rsid w:val="00912676"/>
    <w:rsid w:val="00913DC1"/>
    <w:rsid w:val="00916282"/>
    <w:rsid w:val="00916448"/>
    <w:rsid w:val="00921548"/>
    <w:rsid w:val="00922BB2"/>
    <w:rsid w:val="00923416"/>
    <w:rsid w:val="009259F0"/>
    <w:rsid w:val="00926024"/>
    <w:rsid w:val="00926C8D"/>
    <w:rsid w:val="009300A2"/>
    <w:rsid w:val="00930A2D"/>
    <w:rsid w:val="009327DC"/>
    <w:rsid w:val="00932CC3"/>
    <w:rsid w:val="00934451"/>
    <w:rsid w:val="009375E5"/>
    <w:rsid w:val="009402CA"/>
    <w:rsid w:val="00941803"/>
    <w:rsid w:val="00950166"/>
    <w:rsid w:val="009519F4"/>
    <w:rsid w:val="00951F5A"/>
    <w:rsid w:val="00954859"/>
    <w:rsid w:val="009560AE"/>
    <w:rsid w:val="009566AF"/>
    <w:rsid w:val="009576F5"/>
    <w:rsid w:val="0096183D"/>
    <w:rsid w:val="0096407F"/>
    <w:rsid w:val="0096450F"/>
    <w:rsid w:val="0096487C"/>
    <w:rsid w:val="009675FE"/>
    <w:rsid w:val="0097080A"/>
    <w:rsid w:val="00971C27"/>
    <w:rsid w:val="00971F30"/>
    <w:rsid w:val="00972396"/>
    <w:rsid w:val="009726EE"/>
    <w:rsid w:val="009863CF"/>
    <w:rsid w:val="00986CC8"/>
    <w:rsid w:val="00987973"/>
    <w:rsid w:val="0099072C"/>
    <w:rsid w:val="00990C45"/>
    <w:rsid w:val="00990CC5"/>
    <w:rsid w:val="009916CE"/>
    <w:rsid w:val="009917C2"/>
    <w:rsid w:val="00992727"/>
    <w:rsid w:val="00992D8D"/>
    <w:rsid w:val="009943A3"/>
    <w:rsid w:val="009944F0"/>
    <w:rsid w:val="00994A24"/>
    <w:rsid w:val="00995F45"/>
    <w:rsid w:val="009A3547"/>
    <w:rsid w:val="009A38F3"/>
    <w:rsid w:val="009A55D2"/>
    <w:rsid w:val="009A62ED"/>
    <w:rsid w:val="009B05BF"/>
    <w:rsid w:val="009B1CF8"/>
    <w:rsid w:val="009B1D87"/>
    <w:rsid w:val="009B78BA"/>
    <w:rsid w:val="009C36A9"/>
    <w:rsid w:val="009C48FC"/>
    <w:rsid w:val="009C520F"/>
    <w:rsid w:val="009C542C"/>
    <w:rsid w:val="009C72D9"/>
    <w:rsid w:val="009D0768"/>
    <w:rsid w:val="009D0E6F"/>
    <w:rsid w:val="009D1A17"/>
    <w:rsid w:val="009D1A98"/>
    <w:rsid w:val="009D316B"/>
    <w:rsid w:val="009D5C8A"/>
    <w:rsid w:val="009D6B16"/>
    <w:rsid w:val="009E0950"/>
    <w:rsid w:val="009E3B95"/>
    <w:rsid w:val="009E4729"/>
    <w:rsid w:val="009F29DE"/>
    <w:rsid w:val="009F2B73"/>
    <w:rsid w:val="00A037A7"/>
    <w:rsid w:val="00A03CDD"/>
    <w:rsid w:val="00A04BF1"/>
    <w:rsid w:val="00A078D8"/>
    <w:rsid w:val="00A112AE"/>
    <w:rsid w:val="00A11323"/>
    <w:rsid w:val="00A1173C"/>
    <w:rsid w:val="00A133F0"/>
    <w:rsid w:val="00A20776"/>
    <w:rsid w:val="00A207FF"/>
    <w:rsid w:val="00A30BF8"/>
    <w:rsid w:val="00A3272B"/>
    <w:rsid w:val="00A336F3"/>
    <w:rsid w:val="00A349F4"/>
    <w:rsid w:val="00A368FB"/>
    <w:rsid w:val="00A37A97"/>
    <w:rsid w:val="00A37C34"/>
    <w:rsid w:val="00A410A6"/>
    <w:rsid w:val="00A41216"/>
    <w:rsid w:val="00A43775"/>
    <w:rsid w:val="00A43B7E"/>
    <w:rsid w:val="00A445DE"/>
    <w:rsid w:val="00A45CEE"/>
    <w:rsid w:val="00A515D8"/>
    <w:rsid w:val="00A56217"/>
    <w:rsid w:val="00A565C8"/>
    <w:rsid w:val="00A56C13"/>
    <w:rsid w:val="00A572FA"/>
    <w:rsid w:val="00A576AB"/>
    <w:rsid w:val="00A61233"/>
    <w:rsid w:val="00A616AC"/>
    <w:rsid w:val="00A61CC1"/>
    <w:rsid w:val="00A62A70"/>
    <w:rsid w:val="00A631A3"/>
    <w:rsid w:val="00A6678D"/>
    <w:rsid w:val="00A711D3"/>
    <w:rsid w:val="00A7123E"/>
    <w:rsid w:val="00A71A34"/>
    <w:rsid w:val="00A71EF6"/>
    <w:rsid w:val="00A72455"/>
    <w:rsid w:val="00A724ED"/>
    <w:rsid w:val="00A7286E"/>
    <w:rsid w:val="00A729A3"/>
    <w:rsid w:val="00A73CFB"/>
    <w:rsid w:val="00A74F23"/>
    <w:rsid w:val="00A77027"/>
    <w:rsid w:val="00A80B64"/>
    <w:rsid w:val="00A8129C"/>
    <w:rsid w:val="00A8132E"/>
    <w:rsid w:val="00A82718"/>
    <w:rsid w:val="00A82C47"/>
    <w:rsid w:val="00A86B8B"/>
    <w:rsid w:val="00A86BA3"/>
    <w:rsid w:val="00A877A3"/>
    <w:rsid w:val="00A9084B"/>
    <w:rsid w:val="00A9272F"/>
    <w:rsid w:val="00A93AC0"/>
    <w:rsid w:val="00A942C6"/>
    <w:rsid w:val="00A94542"/>
    <w:rsid w:val="00A94DDF"/>
    <w:rsid w:val="00AA2AB2"/>
    <w:rsid w:val="00AA414E"/>
    <w:rsid w:val="00AA4EFA"/>
    <w:rsid w:val="00AA695B"/>
    <w:rsid w:val="00AA7718"/>
    <w:rsid w:val="00AA7C9C"/>
    <w:rsid w:val="00AB035B"/>
    <w:rsid w:val="00AB1973"/>
    <w:rsid w:val="00AB2711"/>
    <w:rsid w:val="00AB2869"/>
    <w:rsid w:val="00AB54B0"/>
    <w:rsid w:val="00AB6E70"/>
    <w:rsid w:val="00AC1EBE"/>
    <w:rsid w:val="00AC2759"/>
    <w:rsid w:val="00AC28EE"/>
    <w:rsid w:val="00AC2B33"/>
    <w:rsid w:val="00AC2E48"/>
    <w:rsid w:val="00AC313D"/>
    <w:rsid w:val="00AC6216"/>
    <w:rsid w:val="00AC6D68"/>
    <w:rsid w:val="00AC704D"/>
    <w:rsid w:val="00AC7B51"/>
    <w:rsid w:val="00AC7BE6"/>
    <w:rsid w:val="00AD07AE"/>
    <w:rsid w:val="00AD1CDC"/>
    <w:rsid w:val="00AD2744"/>
    <w:rsid w:val="00AD2DB8"/>
    <w:rsid w:val="00AD3AF6"/>
    <w:rsid w:val="00AD61E5"/>
    <w:rsid w:val="00AD6731"/>
    <w:rsid w:val="00AD7406"/>
    <w:rsid w:val="00AE281B"/>
    <w:rsid w:val="00AE45E6"/>
    <w:rsid w:val="00AE4F4A"/>
    <w:rsid w:val="00AE5286"/>
    <w:rsid w:val="00AE77CE"/>
    <w:rsid w:val="00AF155F"/>
    <w:rsid w:val="00AF347A"/>
    <w:rsid w:val="00AF5009"/>
    <w:rsid w:val="00AF7DC7"/>
    <w:rsid w:val="00B02FC8"/>
    <w:rsid w:val="00B06C45"/>
    <w:rsid w:val="00B07498"/>
    <w:rsid w:val="00B1098B"/>
    <w:rsid w:val="00B13567"/>
    <w:rsid w:val="00B13D81"/>
    <w:rsid w:val="00B15A93"/>
    <w:rsid w:val="00B20D70"/>
    <w:rsid w:val="00B22C95"/>
    <w:rsid w:val="00B25A49"/>
    <w:rsid w:val="00B261D5"/>
    <w:rsid w:val="00B26FEF"/>
    <w:rsid w:val="00B27CD5"/>
    <w:rsid w:val="00B27DA3"/>
    <w:rsid w:val="00B3050E"/>
    <w:rsid w:val="00B309B2"/>
    <w:rsid w:val="00B31760"/>
    <w:rsid w:val="00B31C8F"/>
    <w:rsid w:val="00B3357A"/>
    <w:rsid w:val="00B3523E"/>
    <w:rsid w:val="00B404CD"/>
    <w:rsid w:val="00B406AB"/>
    <w:rsid w:val="00B506B0"/>
    <w:rsid w:val="00B50B73"/>
    <w:rsid w:val="00B55950"/>
    <w:rsid w:val="00B55BA6"/>
    <w:rsid w:val="00B57493"/>
    <w:rsid w:val="00B578F4"/>
    <w:rsid w:val="00B61AA4"/>
    <w:rsid w:val="00B61DF3"/>
    <w:rsid w:val="00B62631"/>
    <w:rsid w:val="00B635BB"/>
    <w:rsid w:val="00B71281"/>
    <w:rsid w:val="00B7317F"/>
    <w:rsid w:val="00B77F4E"/>
    <w:rsid w:val="00B808FA"/>
    <w:rsid w:val="00B82F58"/>
    <w:rsid w:val="00B83D0C"/>
    <w:rsid w:val="00B84B99"/>
    <w:rsid w:val="00B85010"/>
    <w:rsid w:val="00B85EBD"/>
    <w:rsid w:val="00B909A6"/>
    <w:rsid w:val="00B91BB6"/>
    <w:rsid w:val="00B9450D"/>
    <w:rsid w:val="00B9488A"/>
    <w:rsid w:val="00B97B98"/>
    <w:rsid w:val="00BA2A62"/>
    <w:rsid w:val="00BA57F0"/>
    <w:rsid w:val="00BA6A77"/>
    <w:rsid w:val="00BA714B"/>
    <w:rsid w:val="00BB2078"/>
    <w:rsid w:val="00BB294B"/>
    <w:rsid w:val="00BB348C"/>
    <w:rsid w:val="00BB6500"/>
    <w:rsid w:val="00BC3EB5"/>
    <w:rsid w:val="00BC4006"/>
    <w:rsid w:val="00BC59BC"/>
    <w:rsid w:val="00BD0456"/>
    <w:rsid w:val="00BD186F"/>
    <w:rsid w:val="00BD2529"/>
    <w:rsid w:val="00BD4343"/>
    <w:rsid w:val="00BD44E2"/>
    <w:rsid w:val="00BD57AD"/>
    <w:rsid w:val="00BD5EE9"/>
    <w:rsid w:val="00BD5FC4"/>
    <w:rsid w:val="00BD6E2B"/>
    <w:rsid w:val="00BE132C"/>
    <w:rsid w:val="00BE58C7"/>
    <w:rsid w:val="00BE699C"/>
    <w:rsid w:val="00BF0E82"/>
    <w:rsid w:val="00BF12BD"/>
    <w:rsid w:val="00BF1387"/>
    <w:rsid w:val="00BF2EA0"/>
    <w:rsid w:val="00BF40A8"/>
    <w:rsid w:val="00BF7323"/>
    <w:rsid w:val="00C04FDF"/>
    <w:rsid w:val="00C0532B"/>
    <w:rsid w:val="00C06485"/>
    <w:rsid w:val="00C07EC8"/>
    <w:rsid w:val="00C10AFE"/>
    <w:rsid w:val="00C114F6"/>
    <w:rsid w:val="00C11569"/>
    <w:rsid w:val="00C11D90"/>
    <w:rsid w:val="00C13F98"/>
    <w:rsid w:val="00C144DB"/>
    <w:rsid w:val="00C16A83"/>
    <w:rsid w:val="00C21076"/>
    <w:rsid w:val="00C21BEE"/>
    <w:rsid w:val="00C315DD"/>
    <w:rsid w:val="00C31CEF"/>
    <w:rsid w:val="00C31EB8"/>
    <w:rsid w:val="00C3278D"/>
    <w:rsid w:val="00C33AAC"/>
    <w:rsid w:val="00C35524"/>
    <w:rsid w:val="00C3634A"/>
    <w:rsid w:val="00C363D3"/>
    <w:rsid w:val="00C36D8D"/>
    <w:rsid w:val="00C41C45"/>
    <w:rsid w:val="00C42DF6"/>
    <w:rsid w:val="00C44C28"/>
    <w:rsid w:val="00C46E74"/>
    <w:rsid w:val="00C5329E"/>
    <w:rsid w:val="00C54401"/>
    <w:rsid w:val="00C57A79"/>
    <w:rsid w:val="00C57CD6"/>
    <w:rsid w:val="00C60437"/>
    <w:rsid w:val="00C6068A"/>
    <w:rsid w:val="00C60A87"/>
    <w:rsid w:val="00C64D56"/>
    <w:rsid w:val="00C65897"/>
    <w:rsid w:val="00C668FF"/>
    <w:rsid w:val="00C70038"/>
    <w:rsid w:val="00C72312"/>
    <w:rsid w:val="00C73B7F"/>
    <w:rsid w:val="00C76287"/>
    <w:rsid w:val="00C76BAC"/>
    <w:rsid w:val="00C7705E"/>
    <w:rsid w:val="00C77313"/>
    <w:rsid w:val="00C77550"/>
    <w:rsid w:val="00C802B3"/>
    <w:rsid w:val="00C81722"/>
    <w:rsid w:val="00C8264C"/>
    <w:rsid w:val="00C8267E"/>
    <w:rsid w:val="00C82752"/>
    <w:rsid w:val="00C82FBB"/>
    <w:rsid w:val="00C830A8"/>
    <w:rsid w:val="00C831B6"/>
    <w:rsid w:val="00C83A28"/>
    <w:rsid w:val="00C83F7C"/>
    <w:rsid w:val="00C8403C"/>
    <w:rsid w:val="00C84C42"/>
    <w:rsid w:val="00C852D4"/>
    <w:rsid w:val="00C8552E"/>
    <w:rsid w:val="00C87975"/>
    <w:rsid w:val="00C94279"/>
    <w:rsid w:val="00C97F50"/>
    <w:rsid w:val="00CA14C1"/>
    <w:rsid w:val="00CA1878"/>
    <w:rsid w:val="00CA1F35"/>
    <w:rsid w:val="00CA3503"/>
    <w:rsid w:val="00CA3763"/>
    <w:rsid w:val="00CA4A8F"/>
    <w:rsid w:val="00CA5766"/>
    <w:rsid w:val="00CA57E1"/>
    <w:rsid w:val="00CB1311"/>
    <w:rsid w:val="00CB149D"/>
    <w:rsid w:val="00CB1DB1"/>
    <w:rsid w:val="00CB280A"/>
    <w:rsid w:val="00CC0EBA"/>
    <w:rsid w:val="00CC3C6C"/>
    <w:rsid w:val="00CC4FA4"/>
    <w:rsid w:val="00CC70F5"/>
    <w:rsid w:val="00CC7299"/>
    <w:rsid w:val="00CC7357"/>
    <w:rsid w:val="00CD1FFA"/>
    <w:rsid w:val="00CD290F"/>
    <w:rsid w:val="00CD33BE"/>
    <w:rsid w:val="00CD53A0"/>
    <w:rsid w:val="00CE021D"/>
    <w:rsid w:val="00CE0B43"/>
    <w:rsid w:val="00CE1896"/>
    <w:rsid w:val="00CE28F2"/>
    <w:rsid w:val="00CE3154"/>
    <w:rsid w:val="00CE3A8C"/>
    <w:rsid w:val="00CE4019"/>
    <w:rsid w:val="00CE503D"/>
    <w:rsid w:val="00CE6B90"/>
    <w:rsid w:val="00CE7D73"/>
    <w:rsid w:val="00CF128E"/>
    <w:rsid w:val="00CF2A42"/>
    <w:rsid w:val="00D0056E"/>
    <w:rsid w:val="00D026AD"/>
    <w:rsid w:val="00D04C40"/>
    <w:rsid w:val="00D074E4"/>
    <w:rsid w:val="00D10462"/>
    <w:rsid w:val="00D10AD2"/>
    <w:rsid w:val="00D112CB"/>
    <w:rsid w:val="00D12810"/>
    <w:rsid w:val="00D13411"/>
    <w:rsid w:val="00D14E81"/>
    <w:rsid w:val="00D1502B"/>
    <w:rsid w:val="00D155A0"/>
    <w:rsid w:val="00D16190"/>
    <w:rsid w:val="00D163F7"/>
    <w:rsid w:val="00D170CB"/>
    <w:rsid w:val="00D20326"/>
    <w:rsid w:val="00D20F22"/>
    <w:rsid w:val="00D21118"/>
    <w:rsid w:val="00D21594"/>
    <w:rsid w:val="00D223D6"/>
    <w:rsid w:val="00D2289D"/>
    <w:rsid w:val="00D2378E"/>
    <w:rsid w:val="00D24523"/>
    <w:rsid w:val="00D27E6B"/>
    <w:rsid w:val="00D30CC5"/>
    <w:rsid w:val="00D32315"/>
    <w:rsid w:val="00D32E62"/>
    <w:rsid w:val="00D3324C"/>
    <w:rsid w:val="00D33A1E"/>
    <w:rsid w:val="00D33A67"/>
    <w:rsid w:val="00D3725A"/>
    <w:rsid w:val="00D375EB"/>
    <w:rsid w:val="00D41405"/>
    <w:rsid w:val="00D41CAA"/>
    <w:rsid w:val="00D41E1E"/>
    <w:rsid w:val="00D42BD9"/>
    <w:rsid w:val="00D4430C"/>
    <w:rsid w:val="00D448CF"/>
    <w:rsid w:val="00D45340"/>
    <w:rsid w:val="00D45C72"/>
    <w:rsid w:val="00D50CF9"/>
    <w:rsid w:val="00D53852"/>
    <w:rsid w:val="00D547AD"/>
    <w:rsid w:val="00D565D6"/>
    <w:rsid w:val="00D56966"/>
    <w:rsid w:val="00D57B0A"/>
    <w:rsid w:val="00D6028A"/>
    <w:rsid w:val="00D60AFD"/>
    <w:rsid w:val="00D60FA7"/>
    <w:rsid w:val="00D62811"/>
    <w:rsid w:val="00D62A27"/>
    <w:rsid w:val="00D63A78"/>
    <w:rsid w:val="00D642A3"/>
    <w:rsid w:val="00D65617"/>
    <w:rsid w:val="00D67C69"/>
    <w:rsid w:val="00D730E1"/>
    <w:rsid w:val="00D74E5C"/>
    <w:rsid w:val="00D80BEB"/>
    <w:rsid w:val="00D82D53"/>
    <w:rsid w:val="00D8354D"/>
    <w:rsid w:val="00D84763"/>
    <w:rsid w:val="00D84A2C"/>
    <w:rsid w:val="00D90D15"/>
    <w:rsid w:val="00D90F52"/>
    <w:rsid w:val="00D92D6A"/>
    <w:rsid w:val="00D93431"/>
    <w:rsid w:val="00D93C10"/>
    <w:rsid w:val="00D94C7D"/>
    <w:rsid w:val="00D96D5D"/>
    <w:rsid w:val="00DA6596"/>
    <w:rsid w:val="00DA6A0B"/>
    <w:rsid w:val="00DB050A"/>
    <w:rsid w:val="00DB08D7"/>
    <w:rsid w:val="00DB0A4D"/>
    <w:rsid w:val="00DB22D1"/>
    <w:rsid w:val="00DB3118"/>
    <w:rsid w:val="00DB4E49"/>
    <w:rsid w:val="00DB55F3"/>
    <w:rsid w:val="00DB7B90"/>
    <w:rsid w:val="00DD1F46"/>
    <w:rsid w:val="00DD2955"/>
    <w:rsid w:val="00DD6E34"/>
    <w:rsid w:val="00DD7C55"/>
    <w:rsid w:val="00DD7D78"/>
    <w:rsid w:val="00DE1746"/>
    <w:rsid w:val="00DE35CA"/>
    <w:rsid w:val="00DE3B36"/>
    <w:rsid w:val="00DE4BFC"/>
    <w:rsid w:val="00DF35AB"/>
    <w:rsid w:val="00DF5AA0"/>
    <w:rsid w:val="00DF7266"/>
    <w:rsid w:val="00E0064E"/>
    <w:rsid w:val="00E03AB0"/>
    <w:rsid w:val="00E06FBA"/>
    <w:rsid w:val="00E073C6"/>
    <w:rsid w:val="00E105B6"/>
    <w:rsid w:val="00E11051"/>
    <w:rsid w:val="00E1334A"/>
    <w:rsid w:val="00E14E51"/>
    <w:rsid w:val="00E16E33"/>
    <w:rsid w:val="00E2096E"/>
    <w:rsid w:val="00E21718"/>
    <w:rsid w:val="00E245C8"/>
    <w:rsid w:val="00E24FCD"/>
    <w:rsid w:val="00E2777B"/>
    <w:rsid w:val="00E27D1E"/>
    <w:rsid w:val="00E309BC"/>
    <w:rsid w:val="00E31489"/>
    <w:rsid w:val="00E31A7A"/>
    <w:rsid w:val="00E33BA8"/>
    <w:rsid w:val="00E34172"/>
    <w:rsid w:val="00E343AD"/>
    <w:rsid w:val="00E34BDC"/>
    <w:rsid w:val="00E35232"/>
    <w:rsid w:val="00E35873"/>
    <w:rsid w:val="00E35A4C"/>
    <w:rsid w:val="00E3624C"/>
    <w:rsid w:val="00E37E79"/>
    <w:rsid w:val="00E40F8B"/>
    <w:rsid w:val="00E43783"/>
    <w:rsid w:val="00E4453C"/>
    <w:rsid w:val="00E44F55"/>
    <w:rsid w:val="00E473F0"/>
    <w:rsid w:val="00E500D6"/>
    <w:rsid w:val="00E52A61"/>
    <w:rsid w:val="00E5438B"/>
    <w:rsid w:val="00E546A0"/>
    <w:rsid w:val="00E548EC"/>
    <w:rsid w:val="00E55029"/>
    <w:rsid w:val="00E60788"/>
    <w:rsid w:val="00E60DB3"/>
    <w:rsid w:val="00E620BD"/>
    <w:rsid w:val="00E64DDD"/>
    <w:rsid w:val="00E650CA"/>
    <w:rsid w:val="00E6532B"/>
    <w:rsid w:val="00E65580"/>
    <w:rsid w:val="00E65B32"/>
    <w:rsid w:val="00E668A7"/>
    <w:rsid w:val="00E66CCF"/>
    <w:rsid w:val="00E67522"/>
    <w:rsid w:val="00E71EF6"/>
    <w:rsid w:val="00E727A1"/>
    <w:rsid w:val="00E76381"/>
    <w:rsid w:val="00E779A3"/>
    <w:rsid w:val="00E80680"/>
    <w:rsid w:val="00E807A9"/>
    <w:rsid w:val="00E8275B"/>
    <w:rsid w:val="00E833F8"/>
    <w:rsid w:val="00E83C9D"/>
    <w:rsid w:val="00E8575D"/>
    <w:rsid w:val="00E91C31"/>
    <w:rsid w:val="00E91E11"/>
    <w:rsid w:val="00E941CA"/>
    <w:rsid w:val="00E9479E"/>
    <w:rsid w:val="00E953F6"/>
    <w:rsid w:val="00E95DBD"/>
    <w:rsid w:val="00E96391"/>
    <w:rsid w:val="00E96680"/>
    <w:rsid w:val="00EA2FD2"/>
    <w:rsid w:val="00EA444F"/>
    <w:rsid w:val="00EB0D57"/>
    <w:rsid w:val="00EB1924"/>
    <w:rsid w:val="00EB1BC3"/>
    <w:rsid w:val="00EB39DB"/>
    <w:rsid w:val="00EB3CF4"/>
    <w:rsid w:val="00EB41AD"/>
    <w:rsid w:val="00EB490B"/>
    <w:rsid w:val="00EB5793"/>
    <w:rsid w:val="00EC2897"/>
    <w:rsid w:val="00EC2F47"/>
    <w:rsid w:val="00EC3271"/>
    <w:rsid w:val="00EC3EF5"/>
    <w:rsid w:val="00EC54AB"/>
    <w:rsid w:val="00ED34FA"/>
    <w:rsid w:val="00ED3D60"/>
    <w:rsid w:val="00ED6A45"/>
    <w:rsid w:val="00EE16AA"/>
    <w:rsid w:val="00EE1925"/>
    <w:rsid w:val="00EE2FDB"/>
    <w:rsid w:val="00EE476F"/>
    <w:rsid w:val="00EE4A38"/>
    <w:rsid w:val="00EE4CD1"/>
    <w:rsid w:val="00EE6FE6"/>
    <w:rsid w:val="00EF0704"/>
    <w:rsid w:val="00EF25B2"/>
    <w:rsid w:val="00EF28E5"/>
    <w:rsid w:val="00EF53FE"/>
    <w:rsid w:val="00EF561D"/>
    <w:rsid w:val="00F01986"/>
    <w:rsid w:val="00F02CB0"/>
    <w:rsid w:val="00F03D8C"/>
    <w:rsid w:val="00F05122"/>
    <w:rsid w:val="00F05F60"/>
    <w:rsid w:val="00F100EF"/>
    <w:rsid w:val="00F112F8"/>
    <w:rsid w:val="00F12981"/>
    <w:rsid w:val="00F141A9"/>
    <w:rsid w:val="00F22F42"/>
    <w:rsid w:val="00F30D8F"/>
    <w:rsid w:val="00F311C1"/>
    <w:rsid w:val="00F32162"/>
    <w:rsid w:val="00F32C54"/>
    <w:rsid w:val="00F369CB"/>
    <w:rsid w:val="00F41687"/>
    <w:rsid w:val="00F4583C"/>
    <w:rsid w:val="00F47D2B"/>
    <w:rsid w:val="00F52542"/>
    <w:rsid w:val="00F525DC"/>
    <w:rsid w:val="00F5437C"/>
    <w:rsid w:val="00F547C4"/>
    <w:rsid w:val="00F56305"/>
    <w:rsid w:val="00F57D81"/>
    <w:rsid w:val="00F62F84"/>
    <w:rsid w:val="00F64216"/>
    <w:rsid w:val="00F64B6C"/>
    <w:rsid w:val="00F64D84"/>
    <w:rsid w:val="00F64F43"/>
    <w:rsid w:val="00F65B98"/>
    <w:rsid w:val="00F70B82"/>
    <w:rsid w:val="00F70FB2"/>
    <w:rsid w:val="00F71803"/>
    <w:rsid w:val="00F741BA"/>
    <w:rsid w:val="00F75554"/>
    <w:rsid w:val="00F775F8"/>
    <w:rsid w:val="00F80394"/>
    <w:rsid w:val="00F80EFF"/>
    <w:rsid w:val="00F815A0"/>
    <w:rsid w:val="00F824A6"/>
    <w:rsid w:val="00F82DC3"/>
    <w:rsid w:val="00F831EB"/>
    <w:rsid w:val="00F85093"/>
    <w:rsid w:val="00F86EF1"/>
    <w:rsid w:val="00F90E70"/>
    <w:rsid w:val="00F93095"/>
    <w:rsid w:val="00F93478"/>
    <w:rsid w:val="00F9493F"/>
    <w:rsid w:val="00F94F22"/>
    <w:rsid w:val="00F959A5"/>
    <w:rsid w:val="00FA03F2"/>
    <w:rsid w:val="00FA14CB"/>
    <w:rsid w:val="00FA1B14"/>
    <w:rsid w:val="00FA272E"/>
    <w:rsid w:val="00FA38A2"/>
    <w:rsid w:val="00FA49ED"/>
    <w:rsid w:val="00FA519E"/>
    <w:rsid w:val="00FA5B5E"/>
    <w:rsid w:val="00FB02B7"/>
    <w:rsid w:val="00FB098A"/>
    <w:rsid w:val="00FB5217"/>
    <w:rsid w:val="00FB5FFE"/>
    <w:rsid w:val="00FB6C24"/>
    <w:rsid w:val="00FB6E3E"/>
    <w:rsid w:val="00FB786B"/>
    <w:rsid w:val="00FC0A47"/>
    <w:rsid w:val="00FC2578"/>
    <w:rsid w:val="00FC379B"/>
    <w:rsid w:val="00FC5A94"/>
    <w:rsid w:val="00FC5AB6"/>
    <w:rsid w:val="00FD08E5"/>
    <w:rsid w:val="00FD0BB6"/>
    <w:rsid w:val="00FD168C"/>
    <w:rsid w:val="00FD1ACE"/>
    <w:rsid w:val="00FD24FE"/>
    <w:rsid w:val="00FD34C9"/>
    <w:rsid w:val="00FD3E2C"/>
    <w:rsid w:val="00FD4B4B"/>
    <w:rsid w:val="00FE26C6"/>
    <w:rsid w:val="00FE45FD"/>
    <w:rsid w:val="00FE5DCC"/>
    <w:rsid w:val="00FE6173"/>
    <w:rsid w:val="00FE6EAB"/>
    <w:rsid w:val="00FF1AB0"/>
    <w:rsid w:val="00FF2DD4"/>
    <w:rsid w:val="00FF3354"/>
    <w:rsid w:val="00FF6D0D"/>
    <w:rsid w:val="00FF70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AA8D93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lsdException w:name="annotation text" w:semiHidden="1"/>
    <w:lsdException w:name="header" w:semiHidden="1" w:unhideWhenUsed="1"/>
    <w:lsdException w:name="footer" w:semiHidden="1"/>
    <w:lsdException w:name="index heading" w:semiHidden="1" w:unhideWhenUsed="1"/>
    <w:lsdException w:name="caption"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unhideWhenUsed="1"/>
    <w:lsdException w:name="toa heading" w:semiHidden="1" w:unhideWhenUsed="1"/>
    <w:lsdException w:name="List" w:semiHidden="1" w:unhideWhenUsed="1"/>
    <w:lsdException w:name="List Bullet" w:semiHidden="1"/>
    <w:lsdException w:name="List Number" w:semiHidden="1"/>
    <w:lsdException w:name="List 2" w:semiHidden="1"/>
    <w:lsdException w:name="List 3" w:semiHidden="1"/>
    <w:lsdException w:name="List 4" w:semiHidden="1" w:unhideWhenUsed="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unhideWhenUsed="1"/>
    <w:lsdException w:name="List Continue 3" w:semiHidden="1"/>
    <w:lsdException w:name="List Continue 4" w:semiHidden="1"/>
    <w:lsdException w:name="List Continue 5" w:semiHidden="1" w:unhideWhenUsed="1"/>
    <w:lsdException w:name="Message Header" w:semiHidden="1" w:unhideWhenUsed="1"/>
    <w:lsdException w:name="Subtitle" w:uiPriority="11"/>
    <w:lsdException w:name="Salutation" w:semiHidden="1" w:unhideWhenUsed="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iPriority="0" w:unhideWhenUsed="1"/>
    <w:lsdException w:name="FollowedHyperlink" w:semiHidden="1"/>
    <w:lsdException w:name="Strong" w:semiHidden="1"/>
    <w:lsdException w:name="Emphasis" w:semiHidden="1"/>
    <w:lsdException w:name="Document Map" w:semiHidden="1"/>
    <w:lsdException w:name="Plain Text" w:semiHidden="1" w:unhideWhenUsed="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lsdException w:name="Quote" w:semiHidden="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2263C9"/>
    <w:pPr>
      <w:spacing w:after="120" w:line="480" w:lineRule="auto"/>
      <w:jc w:val="both"/>
    </w:pPr>
    <w:rPr>
      <w:rFonts w:ascii="Times New Roman" w:eastAsia="Times New Roman" w:hAnsi="Times New Roman"/>
    </w:rPr>
  </w:style>
  <w:style w:type="paragraph" w:styleId="Heading1">
    <w:name w:val="heading 1"/>
    <w:basedOn w:val="Normal"/>
    <w:next w:val="Normal"/>
    <w:link w:val="Heading1Char"/>
    <w:uiPriority w:val="9"/>
    <w:qFormat/>
    <w:pPr>
      <w:keepNext/>
      <w:keepLines/>
      <w:spacing w:before="120" w:after="0"/>
      <w:outlineLvl w:val="0"/>
    </w:pPr>
    <w:rPr>
      <w:rFonts w:ascii="Arial" w:hAnsi="Arial"/>
      <w:b/>
      <w:caps/>
      <w:kern w:val="32"/>
      <w:sz w:val="18"/>
    </w:rPr>
  </w:style>
  <w:style w:type="paragraph" w:styleId="Heading2">
    <w:name w:val="heading 2"/>
    <w:basedOn w:val="Heading1"/>
    <w:next w:val="Normal"/>
    <w:link w:val="Heading2Char"/>
    <w:uiPriority w:val="99"/>
    <w:semiHidden/>
    <w:pPr>
      <w:outlineLvl w:val="1"/>
    </w:pPr>
    <w:rPr>
      <w:caps w:val="0"/>
    </w:rPr>
  </w:style>
  <w:style w:type="paragraph" w:styleId="Heading3">
    <w:name w:val="heading 3"/>
    <w:basedOn w:val="Heading2"/>
    <w:next w:val="Normal"/>
    <w:link w:val="Heading3Char"/>
    <w:uiPriority w:val="99"/>
    <w:semiHidden/>
    <w:pPr>
      <w:outlineLvl w:val="2"/>
    </w:pPr>
    <w:rPr>
      <w:b w:val="0"/>
      <w:i/>
    </w:rPr>
  </w:style>
  <w:style w:type="paragraph" w:styleId="Heading4">
    <w:name w:val="heading 4"/>
    <w:basedOn w:val="Normal"/>
    <w:next w:val="Normal"/>
    <w:uiPriority w:val="99"/>
    <w:semiHidden/>
    <w:pPr>
      <w:keepNext/>
      <w:numPr>
        <w:ilvl w:val="3"/>
        <w:numId w:val="4"/>
      </w:numPr>
      <w:spacing w:before="240" w:after="60"/>
      <w:outlineLvl w:val="3"/>
    </w:pPr>
    <w:rPr>
      <w:b/>
      <w:sz w:val="28"/>
    </w:rPr>
  </w:style>
  <w:style w:type="paragraph" w:styleId="Heading5">
    <w:name w:val="heading 5"/>
    <w:basedOn w:val="Normal"/>
    <w:next w:val="Normal"/>
    <w:uiPriority w:val="99"/>
    <w:semiHidden/>
    <w:pPr>
      <w:numPr>
        <w:ilvl w:val="4"/>
        <w:numId w:val="4"/>
      </w:numPr>
      <w:spacing w:before="240" w:after="60"/>
      <w:outlineLvl w:val="4"/>
    </w:pPr>
    <w:rPr>
      <w:b/>
      <w:i/>
      <w:sz w:val="26"/>
    </w:rPr>
  </w:style>
  <w:style w:type="paragraph" w:styleId="Heading6">
    <w:name w:val="heading 6"/>
    <w:basedOn w:val="Normal"/>
    <w:next w:val="Normal"/>
    <w:uiPriority w:val="99"/>
    <w:semiHidden/>
    <w:pPr>
      <w:numPr>
        <w:ilvl w:val="5"/>
        <w:numId w:val="4"/>
      </w:numPr>
      <w:spacing w:before="240" w:after="60"/>
      <w:outlineLvl w:val="5"/>
    </w:pPr>
    <w:rPr>
      <w:b/>
      <w:sz w:val="22"/>
    </w:rPr>
  </w:style>
  <w:style w:type="paragraph" w:styleId="Heading7">
    <w:name w:val="heading 7"/>
    <w:basedOn w:val="Normal"/>
    <w:next w:val="Normal"/>
    <w:uiPriority w:val="99"/>
    <w:semiHidden/>
    <w:pPr>
      <w:numPr>
        <w:ilvl w:val="6"/>
        <w:numId w:val="4"/>
      </w:numPr>
      <w:spacing w:before="240" w:after="60"/>
      <w:outlineLvl w:val="6"/>
    </w:pPr>
  </w:style>
  <w:style w:type="paragraph" w:styleId="Heading8">
    <w:name w:val="heading 8"/>
    <w:basedOn w:val="Normal"/>
    <w:next w:val="Normal"/>
    <w:uiPriority w:val="99"/>
    <w:semiHidden/>
    <w:pPr>
      <w:numPr>
        <w:ilvl w:val="7"/>
        <w:numId w:val="4"/>
      </w:numPr>
      <w:spacing w:before="240" w:after="60"/>
      <w:outlineLvl w:val="7"/>
    </w:pPr>
    <w:rPr>
      <w:i/>
    </w:rPr>
  </w:style>
  <w:style w:type="paragraph" w:styleId="Heading9">
    <w:name w:val="heading 9"/>
    <w:basedOn w:val="Normal"/>
    <w:next w:val="Normal"/>
    <w:uiPriority w:val="99"/>
    <w:semiHidden/>
    <w:pPr>
      <w:numPr>
        <w:ilvl w:val="8"/>
        <w:numId w:val="4"/>
      </w:numPr>
      <w:spacing w:before="240" w:after="60"/>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Email">
    <w:name w:val="Author Email"/>
    <w:basedOn w:val="Normal"/>
    <w:link w:val="AuthorEmailChar"/>
    <w:uiPriority w:val="99"/>
    <w:qFormat/>
    <w:rsid w:val="00013F1B"/>
    <w:rPr>
      <w:sz w:val="18"/>
    </w:rPr>
  </w:style>
  <w:style w:type="paragraph" w:styleId="Header">
    <w:name w:val="header"/>
    <w:basedOn w:val="Normal"/>
    <w:uiPriority w:val="99"/>
    <w:semiHidden/>
    <w:pPr>
      <w:tabs>
        <w:tab w:val="center" w:pos="4320"/>
        <w:tab w:val="right" w:pos="8640"/>
      </w:tabs>
    </w:pPr>
    <w:rPr>
      <w:rFonts w:ascii="Arial" w:hAnsi="Arial"/>
    </w:rPr>
  </w:style>
  <w:style w:type="paragraph" w:customStyle="1" w:styleId="Author">
    <w:name w:val="Author"/>
    <w:basedOn w:val="Normal"/>
    <w:link w:val="AuthorChar"/>
    <w:pPr>
      <w:spacing w:after="0"/>
      <w:jc w:val="center"/>
    </w:pPr>
    <w:rPr>
      <w:b/>
      <w:color w:val="000000"/>
      <w:sz w:val="24"/>
    </w:rPr>
  </w:style>
  <w:style w:type="character" w:styleId="PageNumber">
    <w:name w:val="page number"/>
    <w:basedOn w:val="DefaultParagraphFont"/>
    <w:uiPriority w:val="99"/>
    <w:semiHidden/>
  </w:style>
  <w:style w:type="paragraph" w:styleId="Title">
    <w:name w:val="Title"/>
    <w:basedOn w:val="Normal"/>
    <w:uiPriority w:val="99"/>
    <w:qFormat/>
    <w:rsid w:val="005A0D7A"/>
    <w:pPr>
      <w:jc w:val="center"/>
      <w:outlineLvl w:val="0"/>
    </w:pPr>
    <w:rPr>
      <w:b/>
      <w:kern w:val="28"/>
      <w:sz w:val="36"/>
    </w:rPr>
  </w:style>
  <w:style w:type="paragraph" w:customStyle="1" w:styleId="FigTableCaption">
    <w:name w:val="Fig/Table Caption"/>
    <w:basedOn w:val="Caption"/>
    <w:link w:val="FigTableCaptionChar"/>
    <w:uiPriority w:val="99"/>
    <w:semiHidden/>
    <w:qFormat/>
    <w:rsid w:val="00D10AD2"/>
  </w:style>
  <w:style w:type="paragraph" w:styleId="Caption">
    <w:name w:val="caption"/>
    <w:basedOn w:val="Normal"/>
    <w:next w:val="Normal"/>
    <w:link w:val="CaptionChar"/>
    <w:uiPriority w:val="99"/>
    <w:semiHidden/>
    <w:qFormat/>
    <w:rsid w:val="00D90F52"/>
    <w:pPr>
      <w:spacing w:before="60"/>
      <w:jc w:val="center"/>
    </w:pPr>
    <w:rPr>
      <w:b/>
      <w:sz w:val="18"/>
    </w:rPr>
  </w:style>
  <w:style w:type="paragraph" w:styleId="Footer">
    <w:name w:val="footer"/>
    <w:basedOn w:val="Normal"/>
    <w:link w:val="FooterChar"/>
    <w:uiPriority w:val="99"/>
    <w:rsid w:val="003907EC"/>
    <w:pPr>
      <w:tabs>
        <w:tab w:val="center" w:pos="4680"/>
        <w:tab w:val="right" w:pos="9360"/>
      </w:tabs>
      <w:spacing w:after="0"/>
    </w:pPr>
  </w:style>
  <w:style w:type="character" w:customStyle="1" w:styleId="AuthorEmailChar">
    <w:name w:val="Author Email Char"/>
    <w:basedOn w:val="DefaultParagraphFont"/>
    <w:link w:val="AuthorEmail"/>
    <w:uiPriority w:val="99"/>
    <w:rsid w:val="00013F1B"/>
    <w:rPr>
      <w:rFonts w:ascii="Times New Roman" w:eastAsia="Times New Roman" w:hAnsi="Times New Roman"/>
      <w:sz w:val="18"/>
    </w:rPr>
  </w:style>
  <w:style w:type="character" w:customStyle="1" w:styleId="FooterChar">
    <w:name w:val="Footer Char"/>
    <w:basedOn w:val="DefaultParagraphFont"/>
    <w:link w:val="Footer"/>
    <w:uiPriority w:val="99"/>
    <w:rsid w:val="003907EC"/>
    <w:rPr>
      <w:rFonts w:ascii="Times New Roman" w:eastAsia="Times New Roman" w:hAnsi="Times New Roman"/>
    </w:rPr>
  </w:style>
  <w:style w:type="paragraph" w:customStyle="1" w:styleId="CaptionFigureandTable">
    <w:name w:val="Caption (Figure and Table)"/>
    <w:basedOn w:val="Normal"/>
    <w:link w:val="CaptionFigureandTableChar"/>
    <w:uiPriority w:val="99"/>
    <w:qFormat/>
    <w:rsid w:val="004C7A86"/>
    <w:pPr>
      <w:jc w:val="center"/>
    </w:pPr>
    <w:rPr>
      <w:b/>
      <w:bCs/>
      <w:szCs w:val="18"/>
    </w:rPr>
  </w:style>
  <w:style w:type="paragraph" w:customStyle="1" w:styleId="Tabletext">
    <w:name w:val="Tabletext"/>
    <w:basedOn w:val="Normal"/>
    <w:link w:val="TabletextChar"/>
    <w:uiPriority w:val="99"/>
    <w:qFormat/>
    <w:rsid w:val="00D642A3"/>
    <w:pPr>
      <w:spacing w:line="240" w:lineRule="auto"/>
      <w:jc w:val="center"/>
    </w:pPr>
    <w:rPr>
      <w:szCs w:val="18"/>
    </w:rPr>
  </w:style>
  <w:style w:type="paragraph" w:styleId="Index1">
    <w:name w:val="index 1"/>
    <w:basedOn w:val="Normal"/>
    <w:next w:val="Normal"/>
    <w:autoRedefine/>
    <w:uiPriority w:val="99"/>
    <w:semiHidden/>
    <w:pPr>
      <w:ind w:left="240" w:hanging="240"/>
    </w:pPr>
  </w:style>
  <w:style w:type="paragraph" w:styleId="Index2">
    <w:name w:val="index 2"/>
    <w:basedOn w:val="Normal"/>
    <w:next w:val="Normal"/>
    <w:autoRedefine/>
    <w:uiPriority w:val="99"/>
    <w:semiHidden/>
    <w:pPr>
      <w:ind w:left="480" w:hanging="240"/>
    </w:pPr>
  </w:style>
  <w:style w:type="paragraph" w:styleId="Index3">
    <w:name w:val="index 3"/>
    <w:basedOn w:val="Normal"/>
    <w:next w:val="Normal"/>
    <w:autoRedefine/>
    <w:uiPriority w:val="99"/>
    <w:semiHidden/>
    <w:pPr>
      <w:ind w:left="720" w:hanging="240"/>
    </w:pPr>
  </w:style>
  <w:style w:type="paragraph" w:styleId="Index4">
    <w:name w:val="index 4"/>
    <w:basedOn w:val="Normal"/>
    <w:next w:val="Normal"/>
    <w:autoRedefine/>
    <w:uiPriority w:val="99"/>
    <w:semiHidden/>
    <w:pPr>
      <w:ind w:left="960" w:hanging="240"/>
    </w:pPr>
  </w:style>
  <w:style w:type="paragraph" w:styleId="Index5">
    <w:name w:val="index 5"/>
    <w:basedOn w:val="Normal"/>
    <w:next w:val="Normal"/>
    <w:autoRedefine/>
    <w:uiPriority w:val="99"/>
    <w:semiHidden/>
    <w:pPr>
      <w:ind w:left="1200" w:hanging="240"/>
    </w:pPr>
  </w:style>
  <w:style w:type="paragraph" w:styleId="Index6">
    <w:name w:val="index 6"/>
    <w:basedOn w:val="Normal"/>
    <w:next w:val="Normal"/>
    <w:autoRedefine/>
    <w:uiPriority w:val="99"/>
    <w:semiHidden/>
    <w:pPr>
      <w:ind w:left="1440" w:hanging="240"/>
    </w:pPr>
  </w:style>
  <w:style w:type="paragraph" w:styleId="Index7">
    <w:name w:val="index 7"/>
    <w:basedOn w:val="Normal"/>
    <w:next w:val="Normal"/>
    <w:autoRedefine/>
    <w:uiPriority w:val="99"/>
    <w:semiHidden/>
    <w:pPr>
      <w:ind w:left="1680" w:hanging="240"/>
    </w:pPr>
  </w:style>
  <w:style w:type="paragraph" w:styleId="Index8">
    <w:name w:val="index 8"/>
    <w:basedOn w:val="Normal"/>
    <w:next w:val="Normal"/>
    <w:autoRedefine/>
    <w:uiPriority w:val="99"/>
    <w:semiHidden/>
    <w:pPr>
      <w:ind w:left="1920" w:hanging="240"/>
    </w:pPr>
  </w:style>
  <w:style w:type="paragraph" w:styleId="Index9">
    <w:name w:val="index 9"/>
    <w:basedOn w:val="Normal"/>
    <w:next w:val="Normal"/>
    <w:autoRedefine/>
    <w:uiPriority w:val="99"/>
    <w:semiHidden/>
    <w:pPr>
      <w:ind w:left="2160" w:hanging="240"/>
    </w:pPr>
  </w:style>
  <w:style w:type="paragraph" w:styleId="IndexHeading">
    <w:name w:val="index heading"/>
    <w:basedOn w:val="Normal"/>
    <w:next w:val="Index1"/>
    <w:uiPriority w:val="99"/>
    <w:semiHidden/>
    <w:rPr>
      <w:rFonts w:ascii="Arial" w:hAnsi="Arial"/>
      <w:b/>
    </w:rPr>
  </w:style>
  <w:style w:type="paragraph" w:styleId="List">
    <w:name w:val="List"/>
    <w:basedOn w:val="Normal"/>
    <w:uiPriority w:val="99"/>
    <w:semiHidden/>
    <w:pPr>
      <w:ind w:left="360" w:hanging="360"/>
    </w:pPr>
  </w:style>
  <w:style w:type="character" w:customStyle="1" w:styleId="CaptionFigureandTableChar">
    <w:name w:val="Caption (Figure and Table) Char"/>
    <w:basedOn w:val="DefaultParagraphFont"/>
    <w:link w:val="CaptionFigureandTable"/>
    <w:uiPriority w:val="99"/>
    <w:rsid w:val="004C7A86"/>
    <w:rPr>
      <w:rFonts w:ascii="Times New Roman" w:eastAsia="Times New Roman" w:hAnsi="Times New Roman"/>
      <w:b/>
      <w:bCs/>
      <w:szCs w:val="18"/>
    </w:rPr>
  </w:style>
  <w:style w:type="character" w:customStyle="1" w:styleId="CaptionChar">
    <w:name w:val="Caption Char"/>
    <w:basedOn w:val="DefaultParagraphFont"/>
    <w:link w:val="Caption"/>
    <w:uiPriority w:val="99"/>
    <w:semiHidden/>
    <w:rsid w:val="00D10AD2"/>
    <w:rPr>
      <w:rFonts w:ascii="Times New Roman" w:eastAsia="Times New Roman" w:hAnsi="Times New Roman"/>
      <w:b/>
      <w:sz w:val="18"/>
    </w:rPr>
  </w:style>
  <w:style w:type="paragraph" w:styleId="List4">
    <w:name w:val="List 4"/>
    <w:basedOn w:val="Normal"/>
    <w:uiPriority w:val="99"/>
    <w:semiHidden/>
    <w:pPr>
      <w:ind w:left="1440" w:hanging="360"/>
    </w:pPr>
  </w:style>
  <w:style w:type="character" w:customStyle="1" w:styleId="FigTableCaptionChar">
    <w:name w:val="Fig/Table Caption Char"/>
    <w:basedOn w:val="CaptionChar"/>
    <w:link w:val="FigTableCaption"/>
    <w:uiPriority w:val="99"/>
    <w:semiHidden/>
    <w:rsid w:val="00D10AD2"/>
    <w:rPr>
      <w:rFonts w:ascii="Times New Roman" w:eastAsia="Times New Roman" w:hAnsi="Times New Roman"/>
      <w:b/>
      <w:sz w:val="18"/>
    </w:rPr>
  </w:style>
  <w:style w:type="character" w:styleId="CommentReference">
    <w:name w:val="annotation reference"/>
    <w:basedOn w:val="DefaultParagraphFont"/>
    <w:uiPriority w:val="99"/>
    <w:semiHidden/>
    <w:rsid w:val="00117CC2"/>
    <w:rPr>
      <w:sz w:val="16"/>
      <w:szCs w:val="16"/>
    </w:rPr>
  </w:style>
  <w:style w:type="character" w:customStyle="1" w:styleId="TabletextChar">
    <w:name w:val="Tabletext Char"/>
    <w:basedOn w:val="DefaultParagraphFont"/>
    <w:link w:val="Tabletext"/>
    <w:uiPriority w:val="99"/>
    <w:rsid w:val="00D642A3"/>
    <w:rPr>
      <w:rFonts w:ascii="Times New Roman" w:eastAsia="Times New Roman" w:hAnsi="Times New Roman"/>
      <w:szCs w:val="18"/>
    </w:rPr>
  </w:style>
  <w:style w:type="paragraph" w:styleId="CommentText">
    <w:name w:val="annotation text"/>
    <w:basedOn w:val="Normal"/>
    <w:link w:val="CommentTextChar"/>
    <w:uiPriority w:val="99"/>
    <w:semiHidden/>
    <w:rsid w:val="00117CC2"/>
  </w:style>
  <w:style w:type="character" w:customStyle="1" w:styleId="CommentTextChar">
    <w:name w:val="Comment Text Char"/>
    <w:basedOn w:val="DefaultParagraphFont"/>
    <w:link w:val="CommentText"/>
    <w:uiPriority w:val="99"/>
    <w:semiHidden/>
    <w:rsid w:val="00117CC2"/>
    <w:rPr>
      <w:rFonts w:ascii="Times New Roman" w:eastAsia="Times New Roman" w:hAnsi="Times New Roman"/>
    </w:rPr>
  </w:style>
  <w:style w:type="paragraph" w:styleId="CommentSubject">
    <w:name w:val="annotation subject"/>
    <w:basedOn w:val="CommentText"/>
    <w:next w:val="CommentText"/>
    <w:link w:val="CommentSubjectChar"/>
    <w:uiPriority w:val="99"/>
    <w:semiHidden/>
    <w:rsid w:val="00117CC2"/>
    <w:rPr>
      <w:b/>
      <w:bCs/>
    </w:rPr>
  </w:style>
  <w:style w:type="character" w:customStyle="1" w:styleId="CommentSubjectChar">
    <w:name w:val="Comment Subject Char"/>
    <w:basedOn w:val="CommentTextChar"/>
    <w:link w:val="CommentSubject"/>
    <w:uiPriority w:val="99"/>
    <w:semiHidden/>
    <w:rsid w:val="00117CC2"/>
    <w:rPr>
      <w:rFonts w:ascii="Times New Roman" w:eastAsia="Times New Roman" w:hAnsi="Times New Roman"/>
      <w:b/>
      <w:bCs/>
    </w:rPr>
  </w:style>
  <w:style w:type="paragraph" w:styleId="ListContinue2">
    <w:name w:val="List Continue 2"/>
    <w:basedOn w:val="Normal"/>
    <w:uiPriority w:val="99"/>
    <w:semiHidden/>
    <w:pPr>
      <w:ind w:left="720"/>
    </w:pPr>
  </w:style>
  <w:style w:type="paragraph" w:styleId="BalloonText">
    <w:name w:val="Balloon Text"/>
    <w:basedOn w:val="Normal"/>
    <w:link w:val="BalloonTextChar"/>
    <w:uiPriority w:val="99"/>
    <w:semiHidden/>
    <w:rsid w:val="00117CC2"/>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7CC2"/>
    <w:rPr>
      <w:rFonts w:ascii="Segoe UI" w:eastAsia="Times New Roman" w:hAnsi="Segoe UI" w:cs="Segoe UI"/>
      <w:sz w:val="18"/>
      <w:szCs w:val="18"/>
    </w:rPr>
  </w:style>
  <w:style w:type="paragraph" w:styleId="ListContinue5">
    <w:name w:val="List Continue 5"/>
    <w:basedOn w:val="Normal"/>
    <w:uiPriority w:val="99"/>
    <w:semiHidden/>
    <w:pPr>
      <w:ind w:left="1800"/>
    </w:pPr>
  </w:style>
  <w:style w:type="paragraph" w:styleId="ListParagraph">
    <w:name w:val="List Paragraph"/>
    <w:basedOn w:val="Normal"/>
    <w:uiPriority w:val="99"/>
    <w:semiHidden/>
    <w:rsid w:val="00902FC0"/>
    <w:pPr>
      <w:ind w:left="720"/>
      <w:contextualSpacing/>
    </w:pPr>
  </w:style>
  <w:style w:type="paragraph" w:styleId="ListNumber3">
    <w:name w:val="List Number 3"/>
    <w:basedOn w:val="Normal"/>
    <w:uiPriority w:val="99"/>
    <w:semiHidden/>
    <w:pPr>
      <w:numPr>
        <w:numId w:val="1"/>
      </w:numPr>
    </w:pPr>
  </w:style>
  <w:style w:type="paragraph" w:styleId="ListNumber4">
    <w:name w:val="List Number 4"/>
    <w:basedOn w:val="Normal"/>
    <w:uiPriority w:val="99"/>
    <w:semiHidden/>
    <w:pPr>
      <w:numPr>
        <w:numId w:val="2"/>
      </w:numPr>
    </w:pPr>
  </w:style>
  <w:style w:type="paragraph" w:styleId="ListNumber5">
    <w:name w:val="List Number 5"/>
    <w:basedOn w:val="Normal"/>
    <w:uiPriority w:val="99"/>
    <w:semiHidden/>
    <w:pPr>
      <w:numPr>
        <w:numId w:val="3"/>
      </w:numPr>
    </w:pPr>
  </w:style>
  <w:style w:type="paragraph" w:styleId="MacroText">
    <w:name w:val="macro"/>
    <w:uiPriority w:val="99"/>
    <w:semiHidden/>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MessageHeader">
    <w:name w:val="Message Header"/>
    <w:basedOn w:val="Normal"/>
    <w:uiPriority w:val="99"/>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PlainText">
    <w:name w:val="Plain Text"/>
    <w:basedOn w:val="Normal"/>
    <w:uiPriority w:val="99"/>
    <w:semiHidden/>
    <w:rPr>
      <w:rFonts w:ascii="Courier New" w:hAnsi="Courier New"/>
    </w:rPr>
  </w:style>
  <w:style w:type="paragraph" w:styleId="Salutation">
    <w:name w:val="Salutation"/>
    <w:basedOn w:val="Normal"/>
    <w:next w:val="Normal"/>
    <w:uiPriority w:val="99"/>
    <w:semiHidden/>
  </w:style>
  <w:style w:type="paragraph" w:styleId="Signature">
    <w:name w:val="Signature"/>
    <w:basedOn w:val="Normal"/>
    <w:uiPriority w:val="99"/>
    <w:semiHidden/>
    <w:pPr>
      <w:ind w:left="4320"/>
    </w:pPr>
  </w:style>
  <w:style w:type="paragraph" w:styleId="Subtitle">
    <w:name w:val="Subtitle"/>
    <w:basedOn w:val="Normal"/>
    <w:uiPriority w:val="99"/>
    <w:semiHidden/>
    <w:pPr>
      <w:spacing w:after="60"/>
      <w:jc w:val="center"/>
      <w:outlineLvl w:val="1"/>
    </w:pPr>
    <w:rPr>
      <w:rFonts w:ascii="Arial" w:hAnsi="Arial"/>
    </w:rPr>
  </w:style>
  <w:style w:type="paragraph" w:styleId="TOAHeading">
    <w:name w:val="toa heading"/>
    <w:basedOn w:val="Normal"/>
    <w:next w:val="Normal"/>
    <w:uiPriority w:val="99"/>
    <w:semiHidden/>
    <w:pPr>
      <w:spacing w:before="120"/>
    </w:pPr>
    <w:rPr>
      <w:rFonts w:ascii="Arial" w:hAnsi="Arial"/>
      <w:b/>
    </w:rPr>
  </w:style>
  <w:style w:type="paragraph" w:styleId="TOC1">
    <w:name w:val="toc 1"/>
    <w:basedOn w:val="Normal"/>
    <w:next w:val="Normal"/>
    <w:autoRedefine/>
    <w:uiPriority w:val="99"/>
    <w:semiHidden/>
  </w:style>
  <w:style w:type="paragraph" w:styleId="TOC2">
    <w:name w:val="toc 2"/>
    <w:basedOn w:val="Normal"/>
    <w:next w:val="Normal"/>
    <w:autoRedefine/>
    <w:uiPriority w:val="99"/>
    <w:semiHidden/>
    <w:pPr>
      <w:ind w:left="240"/>
    </w:pPr>
  </w:style>
  <w:style w:type="paragraph" w:styleId="TOC3">
    <w:name w:val="toc 3"/>
    <w:basedOn w:val="Normal"/>
    <w:next w:val="Normal"/>
    <w:autoRedefine/>
    <w:uiPriority w:val="99"/>
    <w:semiHidden/>
    <w:pPr>
      <w:ind w:left="480"/>
    </w:pPr>
  </w:style>
  <w:style w:type="paragraph" w:styleId="TOC4">
    <w:name w:val="toc 4"/>
    <w:basedOn w:val="Normal"/>
    <w:next w:val="Normal"/>
    <w:autoRedefine/>
    <w:uiPriority w:val="99"/>
    <w:semiHidden/>
    <w:pPr>
      <w:ind w:left="720"/>
    </w:pPr>
  </w:style>
  <w:style w:type="paragraph" w:styleId="TOC5">
    <w:name w:val="toc 5"/>
    <w:basedOn w:val="Normal"/>
    <w:next w:val="Normal"/>
    <w:autoRedefine/>
    <w:uiPriority w:val="99"/>
    <w:semiHidden/>
    <w:pPr>
      <w:ind w:left="960"/>
    </w:pPr>
  </w:style>
  <w:style w:type="paragraph" w:styleId="TOC6">
    <w:name w:val="toc 6"/>
    <w:basedOn w:val="Normal"/>
    <w:next w:val="Normal"/>
    <w:autoRedefine/>
    <w:uiPriority w:val="99"/>
    <w:semiHidden/>
    <w:pPr>
      <w:ind w:left="1200"/>
    </w:pPr>
  </w:style>
  <w:style w:type="paragraph" w:styleId="TOC7">
    <w:name w:val="toc 7"/>
    <w:basedOn w:val="Normal"/>
    <w:next w:val="Normal"/>
    <w:autoRedefine/>
    <w:uiPriority w:val="99"/>
    <w:semiHidden/>
    <w:pPr>
      <w:ind w:left="1440"/>
    </w:pPr>
  </w:style>
  <w:style w:type="paragraph" w:styleId="TOC8">
    <w:name w:val="toc 8"/>
    <w:basedOn w:val="Normal"/>
    <w:next w:val="Normal"/>
    <w:autoRedefine/>
    <w:uiPriority w:val="99"/>
    <w:semiHidden/>
    <w:pPr>
      <w:ind w:left="1680"/>
    </w:pPr>
  </w:style>
  <w:style w:type="paragraph" w:styleId="TOC9">
    <w:name w:val="toc 9"/>
    <w:basedOn w:val="Normal"/>
    <w:next w:val="Normal"/>
    <w:autoRedefine/>
    <w:uiPriority w:val="99"/>
    <w:semiHidden/>
    <w:pPr>
      <w:ind w:left="1920"/>
    </w:pPr>
  </w:style>
  <w:style w:type="paragraph" w:customStyle="1" w:styleId="References">
    <w:name w:val="References"/>
    <w:basedOn w:val="Normal"/>
    <w:link w:val="ReferencesChar"/>
    <w:autoRedefine/>
    <w:qFormat/>
    <w:rsid w:val="003D43A0"/>
    <w:pPr>
      <w:overflowPunct w:val="0"/>
      <w:autoSpaceDE w:val="0"/>
      <w:autoSpaceDN w:val="0"/>
      <w:adjustRightInd w:val="0"/>
      <w:ind w:left="720" w:hanging="720"/>
      <w:textAlignment w:val="baseline"/>
    </w:pPr>
  </w:style>
  <w:style w:type="paragraph" w:customStyle="1" w:styleId="Abstract">
    <w:name w:val="Abstract"/>
    <w:basedOn w:val="Heading1"/>
    <w:pPr>
      <w:spacing w:before="40"/>
      <w:outlineLvl w:val="9"/>
    </w:pPr>
    <w:rPr>
      <w:rFonts w:ascii="Times New Roman" w:hAnsi="Times New Roman"/>
      <w:kern w:val="28"/>
      <w:sz w:val="24"/>
    </w:rPr>
  </w:style>
  <w:style w:type="character" w:styleId="Hyperlink">
    <w:name w:val="Hyperlink"/>
    <w:uiPriority w:val="99"/>
    <w:semiHidden/>
    <w:rsid w:val="00480565"/>
    <w:rPr>
      <w:color w:val="4173AF"/>
      <w:sz w:val="20"/>
      <w:szCs w:val="20"/>
    </w:rPr>
  </w:style>
  <w:style w:type="paragraph" w:customStyle="1" w:styleId="Affiliation">
    <w:name w:val="Affiliation"/>
    <w:basedOn w:val="Author"/>
    <w:link w:val="AffiliationChar"/>
    <w:rPr>
      <w:b w:val="0"/>
    </w:rPr>
  </w:style>
  <w:style w:type="paragraph" w:customStyle="1" w:styleId="TableText0">
    <w:name w:val="Table Text"/>
    <w:basedOn w:val="Normal"/>
    <w:rsid w:val="00D90F52"/>
    <w:pPr>
      <w:keepLines/>
      <w:spacing w:before="40" w:after="40"/>
      <w:jc w:val="center"/>
    </w:pPr>
  </w:style>
  <w:style w:type="paragraph" w:customStyle="1" w:styleId="AuthorName">
    <w:name w:val="Author Name"/>
    <w:basedOn w:val="Author"/>
    <w:link w:val="AuthorNameChar"/>
    <w:qFormat/>
    <w:rsid w:val="005A0D7A"/>
    <w:pPr>
      <w:jc w:val="left"/>
    </w:pPr>
    <w:rPr>
      <w:sz w:val="20"/>
    </w:rPr>
  </w:style>
  <w:style w:type="paragraph" w:customStyle="1" w:styleId="AuthorAffiliation">
    <w:name w:val="Author Affiliation"/>
    <w:basedOn w:val="Affiliation"/>
    <w:link w:val="AuthorAffiliationChar"/>
    <w:qFormat/>
    <w:rsid w:val="0042437D"/>
    <w:pPr>
      <w:jc w:val="left"/>
    </w:pPr>
    <w:rPr>
      <w:sz w:val="20"/>
    </w:rPr>
  </w:style>
  <w:style w:type="character" w:customStyle="1" w:styleId="AuthorChar">
    <w:name w:val="Author Char"/>
    <w:basedOn w:val="DefaultParagraphFont"/>
    <w:link w:val="Author"/>
    <w:rsid w:val="005A2C27"/>
    <w:rPr>
      <w:rFonts w:ascii="Times New Roman" w:eastAsia="Times New Roman" w:hAnsi="Times New Roman"/>
      <w:b/>
      <w:color w:val="000000"/>
      <w:sz w:val="24"/>
    </w:rPr>
  </w:style>
  <w:style w:type="character" w:customStyle="1" w:styleId="AuthorNameChar">
    <w:name w:val="Author Name Char"/>
    <w:basedOn w:val="AuthorChar"/>
    <w:link w:val="AuthorName"/>
    <w:rsid w:val="005A0D7A"/>
    <w:rPr>
      <w:rFonts w:ascii="Times New Roman" w:eastAsia="Times New Roman" w:hAnsi="Times New Roman"/>
      <w:b/>
      <w:color w:val="000000"/>
      <w:sz w:val="24"/>
    </w:rPr>
  </w:style>
  <w:style w:type="character" w:customStyle="1" w:styleId="AffiliationChar">
    <w:name w:val="Affiliation Char"/>
    <w:basedOn w:val="AuthorChar"/>
    <w:link w:val="Affiliation"/>
    <w:rsid w:val="005A2C27"/>
    <w:rPr>
      <w:rFonts w:ascii="Times New Roman" w:eastAsia="Times New Roman" w:hAnsi="Times New Roman"/>
      <w:b w:val="0"/>
      <w:color w:val="000000"/>
      <w:sz w:val="24"/>
    </w:rPr>
  </w:style>
  <w:style w:type="character" w:customStyle="1" w:styleId="AuthorAffiliationChar">
    <w:name w:val="Author Affiliation Char"/>
    <w:basedOn w:val="AffiliationChar"/>
    <w:link w:val="AuthorAffiliation"/>
    <w:rsid w:val="0042437D"/>
    <w:rPr>
      <w:rFonts w:ascii="Times New Roman" w:eastAsia="Times New Roman" w:hAnsi="Times New Roman"/>
      <w:b w:val="0"/>
      <w:color w:val="000000"/>
      <w:sz w:val="24"/>
    </w:rPr>
  </w:style>
  <w:style w:type="paragraph" w:customStyle="1" w:styleId="SectionHeading">
    <w:name w:val="Section Heading"/>
    <w:basedOn w:val="Heading1"/>
    <w:link w:val="SectionHeadingChar"/>
    <w:qFormat/>
    <w:rsid w:val="002263C9"/>
    <w:pPr>
      <w:numPr>
        <w:numId w:val="9"/>
      </w:numPr>
      <w:tabs>
        <w:tab w:val="left" w:pos="360"/>
      </w:tabs>
      <w:spacing w:before="0" w:after="120"/>
      <w:jc w:val="left"/>
    </w:pPr>
    <w:rPr>
      <w:rFonts w:ascii="Times New Roman" w:hAnsi="Times New Roman"/>
      <w:caps w:val="0"/>
      <w:sz w:val="20"/>
    </w:rPr>
  </w:style>
  <w:style w:type="character" w:customStyle="1" w:styleId="ReferencesChar">
    <w:name w:val="References Char"/>
    <w:basedOn w:val="DefaultParagraphFont"/>
    <w:link w:val="References"/>
    <w:rsid w:val="003D43A0"/>
    <w:rPr>
      <w:rFonts w:ascii="Times New Roman" w:eastAsia="Times New Roman" w:hAnsi="Times New Roman"/>
    </w:rPr>
  </w:style>
  <w:style w:type="paragraph" w:customStyle="1" w:styleId="NumberedList">
    <w:name w:val="Numbered List"/>
    <w:basedOn w:val="Normal"/>
    <w:link w:val="NumberedListChar"/>
    <w:qFormat/>
    <w:rsid w:val="003D43A0"/>
    <w:pPr>
      <w:numPr>
        <w:numId w:val="5"/>
      </w:numPr>
      <w:tabs>
        <w:tab w:val="left" w:pos="180"/>
      </w:tabs>
      <w:overflowPunct w:val="0"/>
      <w:autoSpaceDE w:val="0"/>
      <w:autoSpaceDN w:val="0"/>
      <w:adjustRightInd w:val="0"/>
      <w:ind w:left="187" w:hanging="187"/>
      <w:jc w:val="left"/>
      <w:textAlignment w:val="baseline"/>
    </w:pPr>
  </w:style>
  <w:style w:type="character" w:customStyle="1" w:styleId="Heading1Char">
    <w:name w:val="Heading 1 Char"/>
    <w:basedOn w:val="DefaultParagraphFont"/>
    <w:link w:val="Heading1"/>
    <w:uiPriority w:val="9"/>
    <w:rsid w:val="00D10AD2"/>
    <w:rPr>
      <w:rFonts w:ascii="Arial" w:eastAsia="Times New Roman" w:hAnsi="Arial"/>
      <w:b/>
      <w:caps/>
      <w:kern w:val="32"/>
      <w:sz w:val="18"/>
    </w:rPr>
  </w:style>
  <w:style w:type="character" w:customStyle="1" w:styleId="SectionHeadingChar">
    <w:name w:val="Section Heading Char"/>
    <w:basedOn w:val="Heading1Char"/>
    <w:link w:val="SectionHeading"/>
    <w:rsid w:val="002263C9"/>
    <w:rPr>
      <w:rFonts w:ascii="Times New Roman" w:eastAsia="Times New Roman" w:hAnsi="Times New Roman"/>
      <w:b/>
      <w:caps w:val="0"/>
      <w:kern w:val="32"/>
      <w:sz w:val="18"/>
    </w:rPr>
  </w:style>
  <w:style w:type="paragraph" w:customStyle="1" w:styleId="Sub-sectionHeader">
    <w:name w:val="Sub-section Header"/>
    <w:basedOn w:val="Heading2"/>
    <w:link w:val="Sub-sectionHeaderChar"/>
    <w:qFormat/>
    <w:rsid w:val="002263C9"/>
    <w:pPr>
      <w:numPr>
        <w:ilvl w:val="1"/>
        <w:numId w:val="7"/>
      </w:numPr>
      <w:tabs>
        <w:tab w:val="left" w:pos="360"/>
      </w:tabs>
      <w:spacing w:before="0" w:after="120"/>
      <w:ind w:left="0" w:firstLine="0"/>
      <w:jc w:val="left"/>
    </w:pPr>
    <w:rPr>
      <w:rFonts w:ascii="Times New Roman" w:hAnsi="Times New Roman"/>
      <w:sz w:val="20"/>
    </w:rPr>
  </w:style>
  <w:style w:type="character" w:customStyle="1" w:styleId="NumberedListChar">
    <w:name w:val="Numbered List Char"/>
    <w:basedOn w:val="DefaultParagraphFont"/>
    <w:link w:val="NumberedList"/>
    <w:rsid w:val="003D43A0"/>
    <w:rPr>
      <w:rFonts w:ascii="Times New Roman" w:eastAsia="Times New Roman" w:hAnsi="Times New Roman"/>
    </w:rPr>
  </w:style>
  <w:style w:type="paragraph" w:customStyle="1" w:styleId="Sub-sub-sectionheader">
    <w:name w:val="Sub-sub-section header"/>
    <w:basedOn w:val="Sub-sectionHeader"/>
    <w:link w:val="Sub-sub-sectionheaderChar"/>
    <w:qFormat/>
    <w:rsid w:val="002263C9"/>
    <w:pPr>
      <w:numPr>
        <w:ilvl w:val="2"/>
      </w:numPr>
      <w:ind w:left="0" w:firstLine="0"/>
    </w:pPr>
  </w:style>
  <w:style w:type="character" w:customStyle="1" w:styleId="Heading2Char">
    <w:name w:val="Heading 2 Char"/>
    <w:basedOn w:val="Heading1Char"/>
    <w:link w:val="Heading2"/>
    <w:uiPriority w:val="99"/>
    <w:semiHidden/>
    <w:rsid w:val="00D10AD2"/>
    <w:rPr>
      <w:rFonts w:ascii="Arial" w:eastAsia="Times New Roman" w:hAnsi="Arial"/>
      <w:b/>
      <w:caps w:val="0"/>
      <w:kern w:val="32"/>
      <w:sz w:val="18"/>
    </w:rPr>
  </w:style>
  <w:style w:type="character" w:customStyle="1" w:styleId="Sub-sectionHeaderChar">
    <w:name w:val="Sub-section Header Char"/>
    <w:basedOn w:val="Heading2Char"/>
    <w:link w:val="Sub-sectionHeader"/>
    <w:rsid w:val="002263C9"/>
    <w:rPr>
      <w:rFonts w:ascii="Times New Roman" w:eastAsia="Times New Roman" w:hAnsi="Times New Roman"/>
      <w:b/>
      <w:caps w:val="0"/>
      <w:kern w:val="32"/>
      <w:sz w:val="18"/>
    </w:rPr>
  </w:style>
  <w:style w:type="paragraph" w:customStyle="1" w:styleId="BulletedList">
    <w:name w:val="Bulleted List"/>
    <w:basedOn w:val="NumberedList"/>
    <w:link w:val="BulletedListChar"/>
    <w:qFormat/>
    <w:rsid w:val="003D43A0"/>
    <w:pPr>
      <w:numPr>
        <w:numId w:val="6"/>
      </w:numPr>
    </w:pPr>
  </w:style>
  <w:style w:type="character" w:customStyle="1" w:styleId="Heading3Char">
    <w:name w:val="Heading 3 Char"/>
    <w:basedOn w:val="Heading2Char"/>
    <w:link w:val="Heading3"/>
    <w:uiPriority w:val="99"/>
    <w:semiHidden/>
    <w:rsid w:val="00D10AD2"/>
    <w:rPr>
      <w:rFonts w:ascii="Arial" w:eastAsia="Times New Roman" w:hAnsi="Arial"/>
      <w:b w:val="0"/>
      <w:i/>
      <w:caps w:val="0"/>
      <w:kern w:val="32"/>
      <w:sz w:val="18"/>
    </w:rPr>
  </w:style>
  <w:style w:type="character" w:customStyle="1" w:styleId="Sub-sub-sectionheaderChar">
    <w:name w:val="Sub-sub-section header Char"/>
    <w:basedOn w:val="Heading3Char"/>
    <w:link w:val="Sub-sub-sectionheader"/>
    <w:rsid w:val="002263C9"/>
    <w:rPr>
      <w:rFonts w:ascii="Times New Roman" w:eastAsia="Times New Roman" w:hAnsi="Times New Roman"/>
      <w:b/>
      <w:i w:val="0"/>
      <w:caps w:val="0"/>
      <w:kern w:val="32"/>
      <w:sz w:val="18"/>
    </w:rPr>
  </w:style>
  <w:style w:type="character" w:customStyle="1" w:styleId="BulletedListChar">
    <w:name w:val="Bulleted List Char"/>
    <w:basedOn w:val="NumberedListChar"/>
    <w:link w:val="BulletedList"/>
    <w:rsid w:val="003D43A0"/>
    <w:rPr>
      <w:rFonts w:ascii="Times New Roman" w:eastAsia="Times New Roman" w:hAnsi="Times New Roman"/>
    </w:rPr>
  </w:style>
  <w:style w:type="paragraph" w:styleId="Bibliography">
    <w:name w:val="Bibliography"/>
    <w:basedOn w:val="Normal"/>
    <w:next w:val="Normal"/>
    <w:uiPriority w:val="99"/>
    <w:unhideWhenUsed/>
    <w:rsid w:val="000D0E76"/>
  </w:style>
  <w:style w:type="character" w:styleId="FollowedHyperlink">
    <w:name w:val="FollowedHyperlink"/>
    <w:basedOn w:val="DefaultParagraphFont"/>
    <w:uiPriority w:val="99"/>
    <w:semiHidden/>
    <w:rsid w:val="000D0E76"/>
    <w:rPr>
      <w:color w:val="800080" w:themeColor="followedHyperlink"/>
      <w:u w:val="single"/>
    </w:rPr>
  </w:style>
  <w:style w:type="character" w:styleId="PlaceholderText">
    <w:name w:val="Placeholder Text"/>
    <w:basedOn w:val="DefaultParagraphFont"/>
    <w:uiPriority w:val="99"/>
    <w:semiHidden/>
    <w:rsid w:val="00B62631"/>
    <w:rPr>
      <w:color w:val="808080"/>
    </w:rPr>
  </w:style>
  <w:style w:type="table" w:styleId="TableGrid">
    <w:name w:val="Table Grid"/>
    <w:basedOn w:val="TableNormal"/>
    <w:uiPriority w:val="59"/>
    <w:rsid w:val="00702F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rsid w:val="00B9450D"/>
    <w:pPr>
      <w:spacing w:after="0" w:line="240" w:lineRule="auto"/>
    </w:pPr>
  </w:style>
  <w:style w:type="character" w:customStyle="1" w:styleId="EndnoteTextChar">
    <w:name w:val="Endnote Text Char"/>
    <w:basedOn w:val="DefaultParagraphFont"/>
    <w:link w:val="EndnoteText"/>
    <w:uiPriority w:val="99"/>
    <w:semiHidden/>
    <w:rsid w:val="00B9450D"/>
    <w:rPr>
      <w:rFonts w:ascii="Times New Roman" w:eastAsia="Times New Roman" w:hAnsi="Times New Roman"/>
    </w:rPr>
  </w:style>
  <w:style w:type="character" w:styleId="EndnoteReference">
    <w:name w:val="endnote reference"/>
    <w:basedOn w:val="DefaultParagraphFont"/>
    <w:uiPriority w:val="99"/>
    <w:semiHidden/>
    <w:rsid w:val="00B9450D"/>
    <w:rPr>
      <w:vertAlign w:val="superscript"/>
    </w:rPr>
  </w:style>
  <w:style w:type="paragraph" w:styleId="FootnoteText">
    <w:name w:val="footnote text"/>
    <w:basedOn w:val="Normal"/>
    <w:link w:val="FootnoteTextChar"/>
    <w:uiPriority w:val="99"/>
    <w:semiHidden/>
    <w:rsid w:val="00B9450D"/>
    <w:pPr>
      <w:spacing w:after="0" w:line="240" w:lineRule="auto"/>
    </w:pPr>
  </w:style>
  <w:style w:type="character" w:customStyle="1" w:styleId="FootnoteTextChar">
    <w:name w:val="Footnote Text Char"/>
    <w:basedOn w:val="DefaultParagraphFont"/>
    <w:link w:val="FootnoteText"/>
    <w:uiPriority w:val="99"/>
    <w:semiHidden/>
    <w:rsid w:val="00B9450D"/>
    <w:rPr>
      <w:rFonts w:ascii="Times New Roman" w:eastAsia="Times New Roman" w:hAnsi="Times New Roman"/>
    </w:rPr>
  </w:style>
  <w:style w:type="character" w:styleId="FootnoteReference">
    <w:name w:val="footnote reference"/>
    <w:basedOn w:val="DefaultParagraphFont"/>
    <w:uiPriority w:val="99"/>
    <w:semiHidden/>
    <w:rsid w:val="00B9450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7390">
      <w:bodyDiv w:val="1"/>
      <w:marLeft w:val="0"/>
      <w:marRight w:val="0"/>
      <w:marTop w:val="0"/>
      <w:marBottom w:val="0"/>
      <w:divBdr>
        <w:top w:val="none" w:sz="0" w:space="0" w:color="auto"/>
        <w:left w:val="none" w:sz="0" w:space="0" w:color="auto"/>
        <w:bottom w:val="none" w:sz="0" w:space="0" w:color="auto"/>
        <w:right w:val="none" w:sz="0" w:space="0" w:color="auto"/>
      </w:divBdr>
    </w:div>
    <w:div w:id="11999592">
      <w:bodyDiv w:val="1"/>
      <w:marLeft w:val="0"/>
      <w:marRight w:val="0"/>
      <w:marTop w:val="0"/>
      <w:marBottom w:val="0"/>
      <w:divBdr>
        <w:top w:val="none" w:sz="0" w:space="0" w:color="auto"/>
        <w:left w:val="none" w:sz="0" w:space="0" w:color="auto"/>
        <w:bottom w:val="none" w:sz="0" w:space="0" w:color="auto"/>
        <w:right w:val="none" w:sz="0" w:space="0" w:color="auto"/>
      </w:divBdr>
    </w:div>
    <w:div w:id="13385155">
      <w:bodyDiv w:val="1"/>
      <w:marLeft w:val="0"/>
      <w:marRight w:val="0"/>
      <w:marTop w:val="0"/>
      <w:marBottom w:val="0"/>
      <w:divBdr>
        <w:top w:val="none" w:sz="0" w:space="0" w:color="auto"/>
        <w:left w:val="none" w:sz="0" w:space="0" w:color="auto"/>
        <w:bottom w:val="none" w:sz="0" w:space="0" w:color="auto"/>
        <w:right w:val="none" w:sz="0" w:space="0" w:color="auto"/>
      </w:divBdr>
    </w:div>
    <w:div w:id="24449364">
      <w:bodyDiv w:val="1"/>
      <w:marLeft w:val="0"/>
      <w:marRight w:val="0"/>
      <w:marTop w:val="0"/>
      <w:marBottom w:val="0"/>
      <w:divBdr>
        <w:top w:val="none" w:sz="0" w:space="0" w:color="auto"/>
        <w:left w:val="none" w:sz="0" w:space="0" w:color="auto"/>
        <w:bottom w:val="none" w:sz="0" w:space="0" w:color="auto"/>
        <w:right w:val="none" w:sz="0" w:space="0" w:color="auto"/>
      </w:divBdr>
    </w:div>
    <w:div w:id="25565633">
      <w:bodyDiv w:val="1"/>
      <w:marLeft w:val="0"/>
      <w:marRight w:val="0"/>
      <w:marTop w:val="0"/>
      <w:marBottom w:val="0"/>
      <w:divBdr>
        <w:top w:val="none" w:sz="0" w:space="0" w:color="auto"/>
        <w:left w:val="none" w:sz="0" w:space="0" w:color="auto"/>
        <w:bottom w:val="none" w:sz="0" w:space="0" w:color="auto"/>
        <w:right w:val="none" w:sz="0" w:space="0" w:color="auto"/>
      </w:divBdr>
    </w:div>
    <w:div w:id="36052991">
      <w:bodyDiv w:val="1"/>
      <w:marLeft w:val="0"/>
      <w:marRight w:val="0"/>
      <w:marTop w:val="0"/>
      <w:marBottom w:val="0"/>
      <w:divBdr>
        <w:top w:val="none" w:sz="0" w:space="0" w:color="auto"/>
        <w:left w:val="none" w:sz="0" w:space="0" w:color="auto"/>
        <w:bottom w:val="none" w:sz="0" w:space="0" w:color="auto"/>
        <w:right w:val="none" w:sz="0" w:space="0" w:color="auto"/>
      </w:divBdr>
    </w:div>
    <w:div w:id="47534080">
      <w:bodyDiv w:val="1"/>
      <w:marLeft w:val="0"/>
      <w:marRight w:val="0"/>
      <w:marTop w:val="0"/>
      <w:marBottom w:val="0"/>
      <w:divBdr>
        <w:top w:val="none" w:sz="0" w:space="0" w:color="auto"/>
        <w:left w:val="none" w:sz="0" w:space="0" w:color="auto"/>
        <w:bottom w:val="none" w:sz="0" w:space="0" w:color="auto"/>
        <w:right w:val="none" w:sz="0" w:space="0" w:color="auto"/>
      </w:divBdr>
    </w:div>
    <w:div w:id="55862480">
      <w:bodyDiv w:val="1"/>
      <w:marLeft w:val="0"/>
      <w:marRight w:val="0"/>
      <w:marTop w:val="0"/>
      <w:marBottom w:val="0"/>
      <w:divBdr>
        <w:top w:val="none" w:sz="0" w:space="0" w:color="auto"/>
        <w:left w:val="none" w:sz="0" w:space="0" w:color="auto"/>
        <w:bottom w:val="none" w:sz="0" w:space="0" w:color="auto"/>
        <w:right w:val="none" w:sz="0" w:space="0" w:color="auto"/>
      </w:divBdr>
    </w:div>
    <w:div w:id="67533855">
      <w:bodyDiv w:val="1"/>
      <w:marLeft w:val="0"/>
      <w:marRight w:val="0"/>
      <w:marTop w:val="0"/>
      <w:marBottom w:val="0"/>
      <w:divBdr>
        <w:top w:val="none" w:sz="0" w:space="0" w:color="auto"/>
        <w:left w:val="none" w:sz="0" w:space="0" w:color="auto"/>
        <w:bottom w:val="none" w:sz="0" w:space="0" w:color="auto"/>
        <w:right w:val="none" w:sz="0" w:space="0" w:color="auto"/>
      </w:divBdr>
    </w:div>
    <w:div w:id="70741467">
      <w:bodyDiv w:val="1"/>
      <w:marLeft w:val="0"/>
      <w:marRight w:val="0"/>
      <w:marTop w:val="0"/>
      <w:marBottom w:val="0"/>
      <w:divBdr>
        <w:top w:val="none" w:sz="0" w:space="0" w:color="auto"/>
        <w:left w:val="none" w:sz="0" w:space="0" w:color="auto"/>
        <w:bottom w:val="none" w:sz="0" w:space="0" w:color="auto"/>
        <w:right w:val="none" w:sz="0" w:space="0" w:color="auto"/>
      </w:divBdr>
    </w:div>
    <w:div w:id="70859974">
      <w:bodyDiv w:val="1"/>
      <w:marLeft w:val="0"/>
      <w:marRight w:val="0"/>
      <w:marTop w:val="0"/>
      <w:marBottom w:val="0"/>
      <w:divBdr>
        <w:top w:val="none" w:sz="0" w:space="0" w:color="auto"/>
        <w:left w:val="none" w:sz="0" w:space="0" w:color="auto"/>
        <w:bottom w:val="none" w:sz="0" w:space="0" w:color="auto"/>
        <w:right w:val="none" w:sz="0" w:space="0" w:color="auto"/>
      </w:divBdr>
    </w:div>
    <w:div w:id="71589747">
      <w:bodyDiv w:val="1"/>
      <w:marLeft w:val="0"/>
      <w:marRight w:val="0"/>
      <w:marTop w:val="0"/>
      <w:marBottom w:val="0"/>
      <w:divBdr>
        <w:top w:val="none" w:sz="0" w:space="0" w:color="auto"/>
        <w:left w:val="none" w:sz="0" w:space="0" w:color="auto"/>
        <w:bottom w:val="none" w:sz="0" w:space="0" w:color="auto"/>
        <w:right w:val="none" w:sz="0" w:space="0" w:color="auto"/>
      </w:divBdr>
    </w:div>
    <w:div w:id="76826730">
      <w:bodyDiv w:val="1"/>
      <w:marLeft w:val="0"/>
      <w:marRight w:val="0"/>
      <w:marTop w:val="0"/>
      <w:marBottom w:val="0"/>
      <w:divBdr>
        <w:top w:val="none" w:sz="0" w:space="0" w:color="auto"/>
        <w:left w:val="none" w:sz="0" w:space="0" w:color="auto"/>
        <w:bottom w:val="none" w:sz="0" w:space="0" w:color="auto"/>
        <w:right w:val="none" w:sz="0" w:space="0" w:color="auto"/>
      </w:divBdr>
    </w:div>
    <w:div w:id="80760784">
      <w:bodyDiv w:val="1"/>
      <w:marLeft w:val="0"/>
      <w:marRight w:val="0"/>
      <w:marTop w:val="0"/>
      <w:marBottom w:val="0"/>
      <w:divBdr>
        <w:top w:val="none" w:sz="0" w:space="0" w:color="auto"/>
        <w:left w:val="none" w:sz="0" w:space="0" w:color="auto"/>
        <w:bottom w:val="none" w:sz="0" w:space="0" w:color="auto"/>
        <w:right w:val="none" w:sz="0" w:space="0" w:color="auto"/>
      </w:divBdr>
    </w:div>
    <w:div w:id="82772003">
      <w:bodyDiv w:val="1"/>
      <w:marLeft w:val="0"/>
      <w:marRight w:val="0"/>
      <w:marTop w:val="0"/>
      <w:marBottom w:val="0"/>
      <w:divBdr>
        <w:top w:val="none" w:sz="0" w:space="0" w:color="auto"/>
        <w:left w:val="none" w:sz="0" w:space="0" w:color="auto"/>
        <w:bottom w:val="none" w:sz="0" w:space="0" w:color="auto"/>
        <w:right w:val="none" w:sz="0" w:space="0" w:color="auto"/>
      </w:divBdr>
    </w:div>
    <w:div w:id="86854749">
      <w:bodyDiv w:val="1"/>
      <w:marLeft w:val="0"/>
      <w:marRight w:val="0"/>
      <w:marTop w:val="0"/>
      <w:marBottom w:val="0"/>
      <w:divBdr>
        <w:top w:val="none" w:sz="0" w:space="0" w:color="auto"/>
        <w:left w:val="none" w:sz="0" w:space="0" w:color="auto"/>
        <w:bottom w:val="none" w:sz="0" w:space="0" w:color="auto"/>
        <w:right w:val="none" w:sz="0" w:space="0" w:color="auto"/>
      </w:divBdr>
    </w:div>
    <w:div w:id="87894223">
      <w:bodyDiv w:val="1"/>
      <w:marLeft w:val="0"/>
      <w:marRight w:val="0"/>
      <w:marTop w:val="0"/>
      <w:marBottom w:val="0"/>
      <w:divBdr>
        <w:top w:val="none" w:sz="0" w:space="0" w:color="auto"/>
        <w:left w:val="none" w:sz="0" w:space="0" w:color="auto"/>
        <w:bottom w:val="none" w:sz="0" w:space="0" w:color="auto"/>
        <w:right w:val="none" w:sz="0" w:space="0" w:color="auto"/>
      </w:divBdr>
    </w:div>
    <w:div w:id="91751002">
      <w:bodyDiv w:val="1"/>
      <w:marLeft w:val="0"/>
      <w:marRight w:val="0"/>
      <w:marTop w:val="0"/>
      <w:marBottom w:val="0"/>
      <w:divBdr>
        <w:top w:val="none" w:sz="0" w:space="0" w:color="auto"/>
        <w:left w:val="none" w:sz="0" w:space="0" w:color="auto"/>
        <w:bottom w:val="none" w:sz="0" w:space="0" w:color="auto"/>
        <w:right w:val="none" w:sz="0" w:space="0" w:color="auto"/>
      </w:divBdr>
    </w:div>
    <w:div w:id="93282089">
      <w:bodyDiv w:val="1"/>
      <w:marLeft w:val="0"/>
      <w:marRight w:val="0"/>
      <w:marTop w:val="0"/>
      <w:marBottom w:val="0"/>
      <w:divBdr>
        <w:top w:val="none" w:sz="0" w:space="0" w:color="auto"/>
        <w:left w:val="none" w:sz="0" w:space="0" w:color="auto"/>
        <w:bottom w:val="none" w:sz="0" w:space="0" w:color="auto"/>
        <w:right w:val="none" w:sz="0" w:space="0" w:color="auto"/>
      </w:divBdr>
    </w:div>
    <w:div w:id="93332318">
      <w:bodyDiv w:val="1"/>
      <w:marLeft w:val="0"/>
      <w:marRight w:val="0"/>
      <w:marTop w:val="0"/>
      <w:marBottom w:val="0"/>
      <w:divBdr>
        <w:top w:val="none" w:sz="0" w:space="0" w:color="auto"/>
        <w:left w:val="none" w:sz="0" w:space="0" w:color="auto"/>
        <w:bottom w:val="none" w:sz="0" w:space="0" w:color="auto"/>
        <w:right w:val="none" w:sz="0" w:space="0" w:color="auto"/>
      </w:divBdr>
    </w:div>
    <w:div w:id="93525158">
      <w:bodyDiv w:val="1"/>
      <w:marLeft w:val="0"/>
      <w:marRight w:val="0"/>
      <w:marTop w:val="0"/>
      <w:marBottom w:val="0"/>
      <w:divBdr>
        <w:top w:val="none" w:sz="0" w:space="0" w:color="auto"/>
        <w:left w:val="none" w:sz="0" w:space="0" w:color="auto"/>
        <w:bottom w:val="none" w:sz="0" w:space="0" w:color="auto"/>
        <w:right w:val="none" w:sz="0" w:space="0" w:color="auto"/>
      </w:divBdr>
    </w:div>
    <w:div w:id="96216646">
      <w:bodyDiv w:val="1"/>
      <w:marLeft w:val="0"/>
      <w:marRight w:val="0"/>
      <w:marTop w:val="0"/>
      <w:marBottom w:val="0"/>
      <w:divBdr>
        <w:top w:val="none" w:sz="0" w:space="0" w:color="auto"/>
        <w:left w:val="none" w:sz="0" w:space="0" w:color="auto"/>
        <w:bottom w:val="none" w:sz="0" w:space="0" w:color="auto"/>
        <w:right w:val="none" w:sz="0" w:space="0" w:color="auto"/>
      </w:divBdr>
      <w:divsChild>
        <w:div w:id="235675820">
          <w:marLeft w:val="0"/>
          <w:marRight w:val="0"/>
          <w:marTop w:val="0"/>
          <w:marBottom w:val="0"/>
          <w:divBdr>
            <w:top w:val="none" w:sz="0" w:space="0" w:color="auto"/>
            <w:left w:val="none" w:sz="0" w:space="0" w:color="auto"/>
            <w:bottom w:val="none" w:sz="0" w:space="0" w:color="auto"/>
            <w:right w:val="none" w:sz="0" w:space="0" w:color="auto"/>
          </w:divBdr>
          <w:divsChild>
            <w:div w:id="2070807569">
              <w:marLeft w:val="0"/>
              <w:marRight w:val="0"/>
              <w:marTop w:val="0"/>
              <w:marBottom w:val="0"/>
              <w:divBdr>
                <w:top w:val="none" w:sz="0" w:space="0" w:color="auto"/>
                <w:left w:val="none" w:sz="0" w:space="0" w:color="auto"/>
                <w:bottom w:val="none" w:sz="0" w:space="0" w:color="auto"/>
                <w:right w:val="none" w:sz="0" w:space="0" w:color="auto"/>
              </w:divBdr>
              <w:divsChild>
                <w:div w:id="579218415">
                  <w:marLeft w:val="0"/>
                  <w:marRight w:val="0"/>
                  <w:marTop w:val="0"/>
                  <w:marBottom w:val="120"/>
                  <w:divBdr>
                    <w:top w:val="none" w:sz="0" w:space="0" w:color="auto"/>
                    <w:left w:val="none" w:sz="0" w:space="0" w:color="auto"/>
                    <w:bottom w:val="none" w:sz="0" w:space="0" w:color="auto"/>
                    <w:right w:val="none" w:sz="0" w:space="0" w:color="auto"/>
                  </w:divBdr>
                  <w:divsChild>
                    <w:div w:id="39617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689110">
          <w:marLeft w:val="0"/>
          <w:marRight w:val="0"/>
          <w:marTop w:val="0"/>
          <w:marBottom w:val="0"/>
          <w:divBdr>
            <w:top w:val="none" w:sz="0" w:space="0" w:color="auto"/>
            <w:left w:val="none" w:sz="0" w:space="0" w:color="auto"/>
            <w:bottom w:val="none" w:sz="0" w:space="0" w:color="auto"/>
            <w:right w:val="none" w:sz="0" w:space="0" w:color="auto"/>
          </w:divBdr>
        </w:div>
      </w:divsChild>
    </w:div>
    <w:div w:id="97213635">
      <w:bodyDiv w:val="1"/>
      <w:marLeft w:val="0"/>
      <w:marRight w:val="0"/>
      <w:marTop w:val="0"/>
      <w:marBottom w:val="0"/>
      <w:divBdr>
        <w:top w:val="none" w:sz="0" w:space="0" w:color="auto"/>
        <w:left w:val="none" w:sz="0" w:space="0" w:color="auto"/>
        <w:bottom w:val="none" w:sz="0" w:space="0" w:color="auto"/>
        <w:right w:val="none" w:sz="0" w:space="0" w:color="auto"/>
      </w:divBdr>
    </w:div>
    <w:div w:id="99419493">
      <w:bodyDiv w:val="1"/>
      <w:marLeft w:val="0"/>
      <w:marRight w:val="0"/>
      <w:marTop w:val="0"/>
      <w:marBottom w:val="0"/>
      <w:divBdr>
        <w:top w:val="none" w:sz="0" w:space="0" w:color="auto"/>
        <w:left w:val="none" w:sz="0" w:space="0" w:color="auto"/>
        <w:bottom w:val="none" w:sz="0" w:space="0" w:color="auto"/>
        <w:right w:val="none" w:sz="0" w:space="0" w:color="auto"/>
      </w:divBdr>
    </w:div>
    <w:div w:id="106697904">
      <w:bodyDiv w:val="1"/>
      <w:marLeft w:val="0"/>
      <w:marRight w:val="0"/>
      <w:marTop w:val="0"/>
      <w:marBottom w:val="0"/>
      <w:divBdr>
        <w:top w:val="none" w:sz="0" w:space="0" w:color="auto"/>
        <w:left w:val="none" w:sz="0" w:space="0" w:color="auto"/>
        <w:bottom w:val="none" w:sz="0" w:space="0" w:color="auto"/>
        <w:right w:val="none" w:sz="0" w:space="0" w:color="auto"/>
      </w:divBdr>
    </w:div>
    <w:div w:id="111557756">
      <w:bodyDiv w:val="1"/>
      <w:marLeft w:val="0"/>
      <w:marRight w:val="0"/>
      <w:marTop w:val="0"/>
      <w:marBottom w:val="0"/>
      <w:divBdr>
        <w:top w:val="none" w:sz="0" w:space="0" w:color="auto"/>
        <w:left w:val="none" w:sz="0" w:space="0" w:color="auto"/>
        <w:bottom w:val="none" w:sz="0" w:space="0" w:color="auto"/>
        <w:right w:val="none" w:sz="0" w:space="0" w:color="auto"/>
      </w:divBdr>
    </w:div>
    <w:div w:id="123739683">
      <w:bodyDiv w:val="1"/>
      <w:marLeft w:val="0"/>
      <w:marRight w:val="0"/>
      <w:marTop w:val="0"/>
      <w:marBottom w:val="0"/>
      <w:divBdr>
        <w:top w:val="none" w:sz="0" w:space="0" w:color="auto"/>
        <w:left w:val="none" w:sz="0" w:space="0" w:color="auto"/>
        <w:bottom w:val="none" w:sz="0" w:space="0" w:color="auto"/>
        <w:right w:val="none" w:sz="0" w:space="0" w:color="auto"/>
      </w:divBdr>
    </w:div>
    <w:div w:id="147290644">
      <w:bodyDiv w:val="1"/>
      <w:marLeft w:val="0"/>
      <w:marRight w:val="0"/>
      <w:marTop w:val="0"/>
      <w:marBottom w:val="0"/>
      <w:divBdr>
        <w:top w:val="none" w:sz="0" w:space="0" w:color="auto"/>
        <w:left w:val="none" w:sz="0" w:space="0" w:color="auto"/>
        <w:bottom w:val="none" w:sz="0" w:space="0" w:color="auto"/>
        <w:right w:val="none" w:sz="0" w:space="0" w:color="auto"/>
      </w:divBdr>
    </w:div>
    <w:div w:id="150098269">
      <w:bodyDiv w:val="1"/>
      <w:marLeft w:val="0"/>
      <w:marRight w:val="0"/>
      <w:marTop w:val="0"/>
      <w:marBottom w:val="0"/>
      <w:divBdr>
        <w:top w:val="none" w:sz="0" w:space="0" w:color="auto"/>
        <w:left w:val="none" w:sz="0" w:space="0" w:color="auto"/>
        <w:bottom w:val="none" w:sz="0" w:space="0" w:color="auto"/>
        <w:right w:val="none" w:sz="0" w:space="0" w:color="auto"/>
      </w:divBdr>
    </w:div>
    <w:div w:id="151408082">
      <w:bodyDiv w:val="1"/>
      <w:marLeft w:val="0"/>
      <w:marRight w:val="0"/>
      <w:marTop w:val="0"/>
      <w:marBottom w:val="0"/>
      <w:divBdr>
        <w:top w:val="none" w:sz="0" w:space="0" w:color="auto"/>
        <w:left w:val="none" w:sz="0" w:space="0" w:color="auto"/>
        <w:bottom w:val="none" w:sz="0" w:space="0" w:color="auto"/>
        <w:right w:val="none" w:sz="0" w:space="0" w:color="auto"/>
      </w:divBdr>
    </w:div>
    <w:div w:id="178352421">
      <w:bodyDiv w:val="1"/>
      <w:marLeft w:val="0"/>
      <w:marRight w:val="0"/>
      <w:marTop w:val="0"/>
      <w:marBottom w:val="0"/>
      <w:divBdr>
        <w:top w:val="none" w:sz="0" w:space="0" w:color="auto"/>
        <w:left w:val="none" w:sz="0" w:space="0" w:color="auto"/>
        <w:bottom w:val="none" w:sz="0" w:space="0" w:color="auto"/>
        <w:right w:val="none" w:sz="0" w:space="0" w:color="auto"/>
      </w:divBdr>
    </w:div>
    <w:div w:id="185675135">
      <w:bodyDiv w:val="1"/>
      <w:marLeft w:val="0"/>
      <w:marRight w:val="0"/>
      <w:marTop w:val="0"/>
      <w:marBottom w:val="0"/>
      <w:divBdr>
        <w:top w:val="none" w:sz="0" w:space="0" w:color="auto"/>
        <w:left w:val="none" w:sz="0" w:space="0" w:color="auto"/>
        <w:bottom w:val="none" w:sz="0" w:space="0" w:color="auto"/>
        <w:right w:val="none" w:sz="0" w:space="0" w:color="auto"/>
      </w:divBdr>
    </w:div>
    <w:div w:id="190730378">
      <w:bodyDiv w:val="1"/>
      <w:marLeft w:val="0"/>
      <w:marRight w:val="0"/>
      <w:marTop w:val="0"/>
      <w:marBottom w:val="0"/>
      <w:divBdr>
        <w:top w:val="none" w:sz="0" w:space="0" w:color="auto"/>
        <w:left w:val="none" w:sz="0" w:space="0" w:color="auto"/>
        <w:bottom w:val="none" w:sz="0" w:space="0" w:color="auto"/>
        <w:right w:val="none" w:sz="0" w:space="0" w:color="auto"/>
      </w:divBdr>
    </w:div>
    <w:div w:id="191915911">
      <w:bodyDiv w:val="1"/>
      <w:marLeft w:val="0"/>
      <w:marRight w:val="0"/>
      <w:marTop w:val="0"/>
      <w:marBottom w:val="0"/>
      <w:divBdr>
        <w:top w:val="none" w:sz="0" w:space="0" w:color="auto"/>
        <w:left w:val="none" w:sz="0" w:space="0" w:color="auto"/>
        <w:bottom w:val="none" w:sz="0" w:space="0" w:color="auto"/>
        <w:right w:val="none" w:sz="0" w:space="0" w:color="auto"/>
      </w:divBdr>
    </w:div>
    <w:div w:id="192697031">
      <w:bodyDiv w:val="1"/>
      <w:marLeft w:val="0"/>
      <w:marRight w:val="0"/>
      <w:marTop w:val="0"/>
      <w:marBottom w:val="0"/>
      <w:divBdr>
        <w:top w:val="none" w:sz="0" w:space="0" w:color="auto"/>
        <w:left w:val="none" w:sz="0" w:space="0" w:color="auto"/>
        <w:bottom w:val="none" w:sz="0" w:space="0" w:color="auto"/>
        <w:right w:val="none" w:sz="0" w:space="0" w:color="auto"/>
      </w:divBdr>
    </w:div>
    <w:div w:id="193734163">
      <w:bodyDiv w:val="1"/>
      <w:marLeft w:val="0"/>
      <w:marRight w:val="0"/>
      <w:marTop w:val="0"/>
      <w:marBottom w:val="0"/>
      <w:divBdr>
        <w:top w:val="none" w:sz="0" w:space="0" w:color="auto"/>
        <w:left w:val="none" w:sz="0" w:space="0" w:color="auto"/>
        <w:bottom w:val="none" w:sz="0" w:space="0" w:color="auto"/>
        <w:right w:val="none" w:sz="0" w:space="0" w:color="auto"/>
      </w:divBdr>
    </w:div>
    <w:div w:id="197742389">
      <w:bodyDiv w:val="1"/>
      <w:marLeft w:val="0"/>
      <w:marRight w:val="0"/>
      <w:marTop w:val="0"/>
      <w:marBottom w:val="0"/>
      <w:divBdr>
        <w:top w:val="none" w:sz="0" w:space="0" w:color="auto"/>
        <w:left w:val="none" w:sz="0" w:space="0" w:color="auto"/>
        <w:bottom w:val="none" w:sz="0" w:space="0" w:color="auto"/>
        <w:right w:val="none" w:sz="0" w:space="0" w:color="auto"/>
      </w:divBdr>
    </w:div>
    <w:div w:id="208960111">
      <w:bodyDiv w:val="1"/>
      <w:marLeft w:val="0"/>
      <w:marRight w:val="0"/>
      <w:marTop w:val="0"/>
      <w:marBottom w:val="0"/>
      <w:divBdr>
        <w:top w:val="none" w:sz="0" w:space="0" w:color="auto"/>
        <w:left w:val="none" w:sz="0" w:space="0" w:color="auto"/>
        <w:bottom w:val="none" w:sz="0" w:space="0" w:color="auto"/>
        <w:right w:val="none" w:sz="0" w:space="0" w:color="auto"/>
      </w:divBdr>
    </w:div>
    <w:div w:id="213078838">
      <w:bodyDiv w:val="1"/>
      <w:marLeft w:val="0"/>
      <w:marRight w:val="0"/>
      <w:marTop w:val="0"/>
      <w:marBottom w:val="0"/>
      <w:divBdr>
        <w:top w:val="none" w:sz="0" w:space="0" w:color="auto"/>
        <w:left w:val="none" w:sz="0" w:space="0" w:color="auto"/>
        <w:bottom w:val="none" w:sz="0" w:space="0" w:color="auto"/>
        <w:right w:val="none" w:sz="0" w:space="0" w:color="auto"/>
      </w:divBdr>
    </w:div>
    <w:div w:id="214893769">
      <w:bodyDiv w:val="1"/>
      <w:marLeft w:val="0"/>
      <w:marRight w:val="0"/>
      <w:marTop w:val="0"/>
      <w:marBottom w:val="0"/>
      <w:divBdr>
        <w:top w:val="none" w:sz="0" w:space="0" w:color="auto"/>
        <w:left w:val="none" w:sz="0" w:space="0" w:color="auto"/>
        <w:bottom w:val="none" w:sz="0" w:space="0" w:color="auto"/>
        <w:right w:val="none" w:sz="0" w:space="0" w:color="auto"/>
      </w:divBdr>
    </w:div>
    <w:div w:id="217211737">
      <w:bodyDiv w:val="1"/>
      <w:marLeft w:val="0"/>
      <w:marRight w:val="0"/>
      <w:marTop w:val="0"/>
      <w:marBottom w:val="0"/>
      <w:divBdr>
        <w:top w:val="none" w:sz="0" w:space="0" w:color="auto"/>
        <w:left w:val="none" w:sz="0" w:space="0" w:color="auto"/>
        <w:bottom w:val="none" w:sz="0" w:space="0" w:color="auto"/>
        <w:right w:val="none" w:sz="0" w:space="0" w:color="auto"/>
      </w:divBdr>
    </w:div>
    <w:div w:id="221795641">
      <w:bodyDiv w:val="1"/>
      <w:marLeft w:val="0"/>
      <w:marRight w:val="0"/>
      <w:marTop w:val="0"/>
      <w:marBottom w:val="0"/>
      <w:divBdr>
        <w:top w:val="none" w:sz="0" w:space="0" w:color="auto"/>
        <w:left w:val="none" w:sz="0" w:space="0" w:color="auto"/>
        <w:bottom w:val="none" w:sz="0" w:space="0" w:color="auto"/>
        <w:right w:val="none" w:sz="0" w:space="0" w:color="auto"/>
      </w:divBdr>
    </w:div>
    <w:div w:id="227957192">
      <w:bodyDiv w:val="1"/>
      <w:marLeft w:val="0"/>
      <w:marRight w:val="0"/>
      <w:marTop w:val="0"/>
      <w:marBottom w:val="0"/>
      <w:divBdr>
        <w:top w:val="none" w:sz="0" w:space="0" w:color="auto"/>
        <w:left w:val="none" w:sz="0" w:space="0" w:color="auto"/>
        <w:bottom w:val="none" w:sz="0" w:space="0" w:color="auto"/>
        <w:right w:val="none" w:sz="0" w:space="0" w:color="auto"/>
      </w:divBdr>
    </w:div>
    <w:div w:id="228197336">
      <w:bodyDiv w:val="1"/>
      <w:marLeft w:val="0"/>
      <w:marRight w:val="0"/>
      <w:marTop w:val="0"/>
      <w:marBottom w:val="0"/>
      <w:divBdr>
        <w:top w:val="none" w:sz="0" w:space="0" w:color="auto"/>
        <w:left w:val="none" w:sz="0" w:space="0" w:color="auto"/>
        <w:bottom w:val="none" w:sz="0" w:space="0" w:color="auto"/>
        <w:right w:val="none" w:sz="0" w:space="0" w:color="auto"/>
      </w:divBdr>
    </w:div>
    <w:div w:id="229586919">
      <w:bodyDiv w:val="1"/>
      <w:marLeft w:val="0"/>
      <w:marRight w:val="0"/>
      <w:marTop w:val="0"/>
      <w:marBottom w:val="0"/>
      <w:divBdr>
        <w:top w:val="none" w:sz="0" w:space="0" w:color="auto"/>
        <w:left w:val="none" w:sz="0" w:space="0" w:color="auto"/>
        <w:bottom w:val="none" w:sz="0" w:space="0" w:color="auto"/>
        <w:right w:val="none" w:sz="0" w:space="0" w:color="auto"/>
      </w:divBdr>
    </w:div>
    <w:div w:id="233516359">
      <w:bodyDiv w:val="1"/>
      <w:marLeft w:val="0"/>
      <w:marRight w:val="0"/>
      <w:marTop w:val="0"/>
      <w:marBottom w:val="0"/>
      <w:divBdr>
        <w:top w:val="none" w:sz="0" w:space="0" w:color="auto"/>
        <w:left w:val="none" w:sz="0" w:space="0" w:color="auto"/>
        <w:bottom w:val="none" w:sz="0" w:space="0" w:color="auto"/>
        <w:right w:val="none" w:sz="0" w:space="0" w:color="auto"/>
      </w:divBdr>
    </w:div>
    <w:div w:id="237054574">
      <w:bodyDiv w:val="1"/>
      <w:marLeft w:val="0"/>
      <w:marRight w:val="0"/>
      <w:marTop w:val="0"/>
      <w:marBottom w:val="0"/>
      <w:divBdr>
        <w:top w:val="none" w:sz="0" w:space="0" w:color="auto"/>
        <w:left w:val="none" w:sz="0" w:space="0" w:color="auto"/>
        <w:bottom w:val="none" w:sz="0" w:space="0" w:color="auto"/>
        <w:right w:val="none" w:sz="0" w:space="0" w:color="auto"/>
      </w:divBdr>
    </w:div>
    <w:div w:id="243149459">
      <w:bodyDiv w:val="1"/>
      <w:marLeft w:val="0"/>
      <w:marRight w:val="0"/>
      <w:marTop w:val="0"/>
      <w:marBottom w:val="0"/>
      <w:divBdr>
        <w:top w:val="none" w:sz="0" w:space="0" w:color="auto"/>
        <w:left w:val="none" w:sz="0" w:space="0" w:color="auto"/>
        <w:bottom w:val="none" w:sz="0" w:space="0" w:color="auto"/>
        <w:right w:val="none" w:sz="0" w:space="0" w:color="auto"/>
      </w:divBdr>
    </w:div>
    <w:div w:id="252858928">
      <w:bodyDiv w:val="1"/>
      <w:marLeft w:val="0"/>
      <w:marRight w:val="0"/>
      <w:marTop w:val="0"/>
      <w:marBottom w:val="0"/>
      <w:divBdr>
        <w:top w:val="none" w:sz="0" w:space="0" w:color="auto"/>
        <w:left w:val="none" w:sz="0" w:space="0" w:color="auto"/>
        <w:bottom w:val="none" w:sz="0" w:space="0" w:color="auto"/>
        <w:right w:val="none" w:sz="0" w:space="0" w:color="auto"/>
      </w:divBdr>
    </w:div>
    <w:div w:id="260266431">
      <w:bodyDiv w:val="1"/>
      <w:marLeft w:val="0"/>
      <w:marRight w:val="0"/>
      <w:marTop w:val="0"/>
      <w:marBottom w:val="0"/>
      <w:divBdr>
        <w:top w:val="none" w:sz="0" w:space="0" w:color="auto"/>
        <w:left w:val="none" w:sz="0" w:space="0" w:color="auto"/>
        <w:bottom w:val="none" w:sz="0" w:space="0" w:color="auto"/>
        <w:right w:val="none" w:sz="0" w:space="0" w:color="auto"/>
      </w:divBdr>
    </w:div>
    <w:div w:id="264584159">
      <w:bodyDiv w:val="1"/>
      <w:marLeft w:val="0"/>
      <w:marRight w:val="0"/>
      <w:marTop w:val="0"/>
      <w:marBottom w:val="0"/>
      <w:divBdr>
        <w:top w:val="none" w:sz="0" w:space="0" w:color="auto"/>
        <w:left w:val="none" w:sz="0" w:space="0" w:color="auto"/>
        <w:bottom w:val="none" w:sz="0" w:space="0" w:color="auto"/>
        <w:right w:val="none" w:sz="0" w:space="0" w:color="auto"/>
      </w:divBdr>
    </w:div>
    <w:div w:id="282736086">
      <w:bodyDiv w:val="1"/>
      <w:marLeft w:val="0"/>
      <w:marRight w:val="0"/>
      <w:marTop w:val="0"/>
      <w:marBottom w:val="0"/>
      <w:divBdr>
        <w:top w:val="none" w:sz="0" w:space="0" w:color="auto"/>
        <w:left w:val="none" w:sz="0" w:space="0" w:color="auto"/>
        <w:bottom w:val="none" w:sz="0" w:space="0" w:color="auto"/>
        <w:right w:val="none" w:sz="0" w:space="0" w:color="auto"/>
      </w:divBdr>
    </w:div>
    <w:div w:id="290016995">
      <w:bodyDiv w:val="1"/>
      <w:marLeft w:val="0"/>
      <w:marRight w:val="0"/>
      <w:marTop w:val="0"/>
      <w:marBottom w:val="0"/>
      <w:divBdr>
        <w:top w:val="none" w:sz="0" w:space="0" w:color="auto"/>
        <w:left w:val="none" w:sz="0" w:space="0" w:color="auto"/>
        <w:bottom w:val="none" w:sz="0" w:space="0" w:color="auto"/>
        <w:right w:val="none" w:sz="0" w:space="0" w:color="auto"/>
      </w:divBdr>
    </w:div>
    <w:div w:id="295764882">
      <w:bodyDiv w:val="1"/>
      <w:marLeft w:val="0"/>
      <w:marRight w:val="0"/>
      <w:marTop w:val="0"/>
      <w:marBottom w:val="0"/>
      <w:divBdr>
        <w:top w:val="none" w:sz="0" w:space="0" w:color="auto"/>
        <w:left w:val="none" w:sz="0" w:space="0" w:color="auto"/>
        <w:bottom w:val="none" w:sz="0" w:space="0" w:color="auto"/>
        <w:right w:val="none" w:sz="0" w:space="0" w:color="auto"/>
      </w:divBdr>
    </w:div>
    <w:div w:id="299380670">
      <w:bodyDiv w:val="1"/>
      <w:marLeft w:val="0"/>
      <w:marRight w:val="0"/>
      <w:marTop w:val="0"/>
      <w:marBottom w:val="0"/>
      <w:divBdr>
        <w:top w:val="none" w:sz="0" w:space="0" w:color="auto"/>
        <w:left w:val="none" w:sz="0" w:space="0" w:color="auto"/>
        <w:bottom w:val="none" w:sz="0" w:space="0" w:color="auto"/>
        <w:right w:val="none" w:sz="0" w:space="0" w:color="auto"/>
      </w:divBdr>
    </w:div>
    <w:div w:id="309217288">
      <w:bodyDiv w:val="1"/>
      <w:marLeft w:val="0"/>
      <w:marRight w:val="0"/>
      <w:marTop w:val="0"/>
      <w:marBottom w:val="0"/>
      <w:divBdr>
        <w:top w:val="none" w:sz="0" w:space="0" w:color="auto"/>
        <w:left w:val="none" w:sz="0" w:space="0" w:color="auto"/>
        <w:bottom w:val="none" w:sz="0" w:space="0" w:color="auto"/>
        <w:right w:val="none" w:sz="0" w:space="0" w:color="auto"/>
      </w:divBdr>
    </w:div>
    <w:div w:id="322509894">
      <w:bodyDiv w:val="1"/>
      <w:marLeft w:val="0"/>
      <w:marRight w:val="0"/>
      <w:marTop w:val="0"/>
      <w:marBottom w:val="0"/>
      <w:divBdr>
        <w:top w:val="none" w:sz="0" w:space="0" w:color="auto"/>
        <w:left w:val="none" w:sz="0" w:space="0" w:color="auto"/>
        <w:bottom w:val="none" w:sz="0" w:space="0" w:color="auto"/>
        <w:right w:val="none" w:sz="0" w:space="0" w:color="auto"/>
      </w:divBdr>
    </w:div>
    <w:div w:id="326133940">
      <w:bodyDiv w:val="1"/>
      <w:marLeft w:val="0"/>
      <w:marRight w:val="0"/>
      <w:marTop w:val="0"/>
      <w:marBottom w:val="0"/>
      <w:divBdr>
        <w:top w:val="none" w:sz="0" w:space="0" w:color="auto"/>
        <w:left w:val="none" w:sz="0" w:space="0" w:color="auto"/>
        <w:bottom w:val="none" w:sz="0" w:space="0" w:color="auto"/>
        <w:right w:val="none" w:sz="0" w:space="0" w:color="auto"/>
      </w:divBdr>
    </w:div>
    <w:div w:id="337730872">
      <w:bodyDiv w:val="1"/>
      <w:marLeft w:val="0"/>
      <w:marRight w:val="0"/>
      <w:marTop w:val="0"/>
      <w:marBottom w:val="0"/>
      <w:divBdr>
        <w:top w:val="none" w:sz="0" w:space="0" w:color="auto"/>
        <w:left w:val="none" w:sz="0" w:space="0" w:color="auto"/>
        <w:bottom w:val="none" w:sz="0" w:space="0" w:color="auto"/>
        <w:right w:val="none" w:sz="0" w:space="0" w:color="auto"/>
      </w:divBdr>
    </w:div>
    <w:div w:id="338512072">
      <w:bodyDiv w:val="1"/>
      <w:marLeft w:val="0"/>
      <w:marRight w:val="0"/>
      <w:marTop w:val="0"/>
      <w:marBottom w:val="0"/>
      <w:divBdr>
        <w:top w:val="none" w:sz="0" w:space="0" w:color="auto"/>
        <w:left w:val="none" w:sz="0" w:space="0" w:color="auto"/>
        <w:bottom w:val="none" w:sz="0" w:space="0" w:color="auto"/>
        <w:right w:val="none" w:sz="0" w:space="0" w:color="auto"/>
      </w:divBdr>
    </w:div>
    <w:div w:id="341014069">
      <w:bodyDiv w:val="1"/>
      <w:marLeft w:val="0"/>
      <w:marRight w:val="0"/>
      <w:marTop w:val="0"/>
      <w:marBottom w:val="0"/>
      <w:divBdr>
        <w:top w:val="none" w:sz="0" w:space="0" w:color="auto"/>
        <w:left w:val="none" w:sz="0" w:space="0" w:color="auto"/>
        <w:bottom w:val="none" w:sz="0" w:space="0" w:color="auto"/>
        <w:right w:val="none" w:sz="0" w:space="0" w:color="auto"/>
      </w:divBdr>
    </w:div>
    <w:div w:id="343174370">
      <w:bodyDiv w:val="1"/>
      <w:marLeft w:val="0"/>
      <w:marRight w:val="0"/>
      <w:marTop w:val="0"/>
      <w:marBottom w:val="0"/>
      <w:divBdr>
        <w:top w:val="none" w:sz="0" w:space="0" w:color="auto"/>
        <w:left w:val="none" w:sz="0" w:space="0" w:color="auto"/>
        <w:bottom w:val="none" w:sz="0" w:space="0" w:color="auto"/>
        <w:right w:val="none" w:sz="0" w:space="0" w:color="auto"/>
      </w:divBdr>
    </w:div>
    <w:div w:id="349141722">
      <w:bodyDiv w:val="1"/>
      <w:marLeft w:val="0"/>
      <w:marRight w:val="0"/>
      <w:marTop w:val="0"/>
      <w:marBottom w:val="0"/>
      <w:divBdr>
        <w:top w:val="none" w:sz="0" w:space="0" w:color="auto"/>
        <w:left w:val="none" w:sz="0" w:space="0" w:color="auto"/>
        <w:bottom w:val="none" w:sz="0" w:space="0" w:color="auto"/>
        <w:right w:val="none" w:sz="0" w:space="0" w:color="auto"/>
      </w:divBdr>
    </w:div>
    <w:div w:id="352222512">
      <w:bodyDiv w:val="1"/>
      <w:marLeft w:val="0"/>
      <w:marRight w:val="0"/>
      <w:marTop w:val="0"/>
      <w:marBottom w:val="0"/>
      <w:divBdr>
        <w:top w:val="none" w:sz="0" w:space="0" w:color="auto"/>
        <w:left w:val="none" w:sz="0" w:space="0" w:color="auto"/>
        <w:bottom w:val="none" w:sz="0" w:space="0" w:color="auto"/>
        <w:right w:val="none" w:sz="0" w:space="0" w:color="auto"/>
      </w:divBdr>
    </w:div>
    <w:div w:id="353000195">
      <w:bodyDiv w:val="1"/>
      <w:marLeft w:val="0"/>
      <w:marRight w:val="0"/>
      <w:marTop w:val="0"/>
      <w:marBottom w:val="0"/>
      <w:divBdr>
        <w:top w:val="none" w:sz="0" w:space="0" w:color="auto"/>
        <w:left w:val="none" w:sz="0" w:space="0" w:color="auto"/>
        <w:bottom w:val="none" w:sz="0" w:space="0" w:color="auto"/>
        <w:right w:val="none" w:sz="0" w:space="0" w:color="auto"/>
      </w:divBdr>
    </w:div>
    <w:div w:id="358968350">
      <w:bodyDiv w:val="1"/>
      <w:marLeft w:val="0"/>
      <w:marRight w:val="0"/>
      <w:marTop w:val="0"/>
      <w:marBottom w:val="0"/>
      <w:divBdr>
        <w:top w:val="none" w:sz="0" w:space="0" w:color="auto"/>
        <w:left w:val="none" w:sz="0" w:space="0" w:color="auto"/>
        <w:bottom w:val="none" w:sz="0" w:space="0" w:color="auto"/>
        <w:right w:val="none" w:sz="0" w:space="0" w:color="auto"/>
      </w:divBdr>
    </w:div>
    <w:div w:id="360129973">
      <w:bodyDiv w:val="1"/>
      <w:marLeft w:val="0"/>
      <w:marRight w:val="0"/>
      <w:marTop w:val="0"/>
      <w:marBottom w:val="0"/>
      <w:divBdr>
        <w:top w:val="none" w:sz="0" w:space="0" w:color="auto"/>
        <w:left w:val="none" w:sz="0" w:space="0" w:color="auto"/>
        <w:bottom w:val="none" w:sz="0" w:space="0" w:color="auto"/>
        <w:right w:val="none" w:sz="0" w:space="0" w:color="auto"/>
      </w:divBdr>
    </w:div>
    <w:div w:id="361782672">
      <w:bodyDiv w:val="1"/>
      <w:marLeft w:val="0"/>
      <w:marRight w:val="0"/>
      <w:marTop w:val="0"/>
      <w:marBottom w:val="0"/>
      <w:divBdr>
        <w:top w:val="none" w:sz="0" w:space="0" w:color="auto"/>
        <w:left w:val="none" w:sz="0" w:space="0" w:color="auto"/>
        <w:bottom w:val="none" w:sz="0" w:space="0" w:color="auto"/>
        <w:right w:val="none" w:sz="0" w:space="0" w:color="auto"/>
      </w:divBdr>
    </w:div>
    <w:div w:id="372921631">
      <w:bodyDiv w:val="1"/>
      <w:marLeft w:val="0"/>
      <w:marRight w:val="0"/>
      <w:marTop w:val="0"/>
      <w:marBottom w:val="0"/>
      <w:divBdr>
        <w:top w:val="none" w:sz="0" w:space="0" w:color="auto"/>
        <w:left w:val="none" w:sz="0" w:space="0" w:color="auto"/>
        <w:bottom w:val="none" w:sz="0" w:space="0" w:color="auto"/>
        <w:right w:val="none" w:sz="0" w:space="0" w:color="auto"/>
      </w:divBdr>
    </w:div>
    <w:div w:id="381902928">
      <w:bodyDiv w:val="1"/>
      <w:marLeft w:val="0"/>
      <w:marRight w:val="0"/>
      <w:marTop w:val="0"/>
      <w:marBottom w:val="0"/>
      <w:divBdr>
        <w:top w:val="none" w:sz="0" w:space="0" w:color="auto"/>
        <w:left w:val="none" w:sz="0" w:space="0" w:color="auto"/>
        <w:bottom w:val="none" w:sz="0" w:space="0" w:color="auto"/>
        <w:right w:val="none" w:sz="0" w:space="0" w:color="auto"/>
      </w:divBdr>
    </w:div>
    <w:div w:id="383138059">
      <w:bodyDiv w:val="1"/>
      <w:marLeft w:val="0"/>
      <w:marRight w:val="0"/>
      <w:marTop w:val="0"/>
      <w:marBottom w:val="0"/>
      <w:divBdr>
        <w:top w:val="none" w:sz="0" w:space="0" w:color="auto"/>
        <w:left w:val="none" w:sz="0" w:space="0" w:color="auto"/>
        <w:bottom w:val="none" w:sz="0" w:space="0" w:color="auto"/>
        <w:right w:val="none" w:sz="0" w:space="0" w:color="auto"/>
      </w:divBdr>
    </w:div>
    <w:div w:id="384958825">
      <w:bodyDiv w:val="1"/>
      <w:marLeft w:val="0"/>
      <w:marRight w:val="0"/>
      <w:marTop w:val="0"/>
      <w:marBottom w:val="0"/>
      <w:divBdr>
        <w:top w:val="none" w:sz="0" w:space="0" w:color="auto"/>
        <w:left w:val="none" w:sz="0" w:space="0" w:color="auto"/>
        <w:bottom w:val="none" w:sz="0" w:space="0" w:color="auto"/>
        <w:right w:val="none" w:sz="0" w:space="0" w:color="auto"/>
      </w:divBdr>
    </w:div>
    <w:div w:id="389307585">
      <w:bodyDiv w:val="1"/>
      <w:marLeft w:val="0"/>
      <w:marRight w:val="0"/>
      <w:marTop w:val="0"/>
      <w:marBottom w:val="0"/>
      <w:divBdr>
        <w:top w:val="none" w:sz="0" w:space="0" w:color="auto"/>
        <w:left w:val="none" w:sz="0" w:space="0" w:color="auto"/>
        <w:bottom w:val="none" w:sz="0" w:space="0" w:color="auto"/>
        <w:right w:val="none" w:sz="0" w:space="0" w:color="auto"/>
      </w:divBdr>
    </w:div>
    <w:div w:id="390466868">
      <w:bodyDiv w:val="1"/>
      <w:marLeft w:val="0"/>
      <w:marRight w:val="0"/>
      <w:marTop w:val="0"/>
      <w:marBottom w:val="0"/>
      <w:divBdr>
        <w:top w:val="none" w:sz="0" w:space="0" w:color="auto"/>
        <w:left w:val="none" w:sz="0" w:space="0" w:color="auto"/>
        <w:bottom w:val="none" w:sz="0" w:space="0" w:color="auto"/>
        <w:right w:val="none" w:sz="0" w:space="0" w:color="auto"/>
      </w:divBdr>
    </w:div>
    <w:div w:id="398867300">
      <w:bodyDiv w:val="1"/>
      <w:marLeft w:val="0"/>
      <w:marRight w:val="0"/>
      <w:marTop w:val="0"/>
      <w:marBottom w:val="0"/>
      <w:divBdr>
        <w:top w:val="none" w:sz="0" w:space="0" w:color="auto"/>
        <w:left w:val="none" w:sz="0" w:space="0" w:color="auto"/>
        <w:bottom w:val="none" w:sz="0" w:space="0" w:color="auto"/>
        <w:right w:val="none" w:sz="0" w:space="0" w:color="auto"/>
      </w:divBdr>
    </w:div>
    <w:div w:id="419133701">
      <w:bodyDiv w:val="1"/>
      <w:marLeft w:val="0"/>
      <w:marRight w:val="0"/>
      <w:marTop w:val="0"/>
      <w:marBottom w:val="0"/>
      <w:divBdr>
        <w:top w:val="none" w:sz="0" w:space="0" w:color="auto"/>
        <w:left w:val="none" w:sz="0" w:space="0" w:color="auto"/>
        <w:bottom w:val="none" w:sz="0" w:space="0" w:color="auto"/>
        <w:right w:val="none" w:sz="0" w:space="0" w:color="auto"/>
      </w:divBdr>
    </w:div>
    <w:div w:id="423380183">
      <w:bodyDiv w:val="1"/>
      <w:marLeft w:val="0"/>
      <w:marRight w:val="0"/>
      <w:marTop w:val="0"/>
      <w:marBottom w:val="0"/>
      <w:divBdr>
        <w:top w:val="none" w:sz="0" w:space="0" w:color="auto"/>
        <w:left w:val="none" w:sz="0" w:space="0" w:color="auto"/>
        <w:bottom w:val="none" w:sz="0" w:space="0" w:color="auto"/>
        <w:right w:val="none" w:sz="0" w:space="0" w:color="auto"/>
      </w:divBdr>
      <w:divsChild>
        <w:div w:id="693533682">
          <w:marLeft w:val="0"/>
          <w:marRight w:val="0"/>
          <w:marTop w:val="0"/>
          <w:marBottom w:val="0"/>
          <w:divBdr>
            <w:top w:val="none" w:sz="0" w:space="0" w:color="auto"/>
            <w:left w:val="none" w:sz="0" w:space="0" w:color="auto"/>
            <w:bottom w:val="none" w:sz="0" w:space="0" w:color="auto"/>
            <w:right w:val="none" w:sz="0" w:space="0" w:color="auto"/>
          </w:divBdr>
        </w:div>
        <w:div w:id="1282300762">
          <w:marLeft w:val="0"/>
          <w:marRight w:val="0"/>
          <w:marTop w:val="0"/>
          <w:marBottom w:val="0"/>
          <w:divBdr>
            <w:top w:val="none" w:sz="0" w:space="0" w:color="auto"/>
            <w:left w:val="none" w:sz="0" w:space="0" w:color="auto"/>
            <w:bottom w:val="none" w:sz="0" w:space="0" w:color="auto"/>
            <w:right w:val="none" w:sz="0" w:space="0" w:color="auto"/>
          </w:divBdr>
        </w:div>
        <w:div w:id="1769616079">
          <w:marLeft w:val="0"/>
          <w:marRight w:val="0"/>
          <w:marTop w:val="0"/>
          <w:marBottom w:val="0"/>
          <w:divBdr>
            <w:top w:val="none" w:sz="0" w:space="0" w:color="auto"/>
            <w:left w:val="none" w:sz="0" w:space="0" w:color="auto"/>
            <w:bottom w:val="none" w:sz="0" w:space="0" w:color="auto"/>
            <w:right w:val="none" w:sz="0" w:space="0" w:color="auto"/>
          </w:divBdr>
        </w:div>
      </w:divsChild>
    </w:div>
    <w:div w:id="432557469">
      <w:bodyDiv w:val="1"/>
      <w:marLeft w:val="0"/>
      <w:marRight w:val="0"/>
      <w:marTop w:val="0"/>
      <w:marBottom w:val="0"/>
      <w:divBdr>
        <w:top w:val="none" w:sz="0" w:space="0" w:color="auto"/>
        <w:left w:val="none" w:sz="0" w:space="0" w:color="auto"/>
        <w:bottom w:val="none" w:sz="0" w:space="0" w:color="auto"/>
        <w:right w:val="none" w:sz="0" w:space="0" w:color="auto"/>
      </w:divBdr>
    </w:div>
    <w:div w:id="433940920">
      <w:bodyDiv w:val="1"/>
      <w:marLeft w:val="0"/>
      <w:marRight w:val="0"/>
      <w:marTop w:val="0"/>
      <w:marBottom w:val="0"/>
      <w:divBdr>
        <w:top w:val="none" w:sz="0" w:space="0" w:color="auto"/>
        <w:left w:val="none" w:sz="0" w:space="0" w:color="auto"/>
        <w:bottom w:val="none" w:sz="0" w:space="0" w:color="auto"/>
        <w:right w:val="none" w:sz="0" w:space="0" w:color="auto"/>
      </w:divBdr>
    </w:div>
    <w:div w:id="435029084">
      <w:bodyDiv w:val="1"/>
      <w:marLeft w:val="0"/>
      <w:marRight w:val="0"/>
      <w:marTop w:val="0"/>
      <w:marBottom w:val="0"/>
      <w:divBdr>
        <w:top w:val="none" w:sz="0" w:space="0" w:color="auto"/>
        <w:left w:val="none" w:sz="0" w:space="0" w:color="auto"/>
        <w:bottom w:val="none" w:sz="0" w:space="0" w:color="auto"/>
        <w:right w:val="none" w:sz="0" w:space="0" w:color="auto"/>
      </w:divBdr>
    </w:div>
    <w:div w:id="435445939">
      <w:bodyDiv w:val="1"/>
      <w:marLeft w:val="0"/>
      <w:marRight w:val="0"/>
      <w:marTop w:val="0"/>
      <w:marBottom w:val="0"/>
      <w:divBdr>
        <w:top w:val="none" w:sz="0" w:space="0" w:color="auto"/>
        <w:left w:val="none" w:sz="0" w:space="0" w:color="auto"/>
        <w:bottom w:val="none" w:sz="0" w:space="0" w:color="auto"/>
        <w:right w:val="none" w:sz="0" w:space="0" w:color="auto"/>
      </w:divBdr>
    </w:div>
    <w:div w:id="438064261">
      <w:bodyDiv w:val="1"/>
      <w:marLeft w:val="0"/>
      <w:marRight w:val="0"/>
      <w:marTop w:val="0"/>
      <w:marBottom w:val="0"/>
      <w:divBdr>
        <w:top w:val="none" w:sz="0" w:space="0" w:color="auto"/>
        <w:left w:val="none" w:sz="0" w:space="0" w:color="auto"/>
        <w:bottom w:val="none" w:sz="0" w:space="0" w:color="auto"/>
        <w:right w:val="none" w:sz="0" w:space="0" w:color="auto"/>
      </w:divBdr>
    </w:div>
    <w:div w:id="441149411">
      <w:bodyDiv w:val="1"/>
      <w:marLeft w:val="0"/>
      <w:marRight w:val="0"/>
      <w:marTop w:val="0"/>
      <w:marBottom w:val="0"/>
      <w:divBdr>
        <w:top w:val="none" w:sz="0" w:space="0" w:color="auto"/>
        <w:left w:val="none" w:sz="0" w:space="0" w:color="auto"/>
        <w:bottom w:val="none" w:sz="0" w:space="0" w:color="auto"/>
        <w:right w:val="none" w:sz="0" w:space="0" w:color="auto"/>
      </w:divBdr>
    </w:div>
    <w:div w:id="442529891">
      <w:bodyDiv w:val="1"/>
      <w:marLeft w:val="0"/>
      <w:marRight w:val="0"/>
      <w:marTop w:val="0"/>
      <w:marBottom w:val="0"/>
      <w:divBdr>
        <w:top w:val="none" w:sz="0" w:space="0" w:color="auto"/>
        <w:left w:val="none" w:sz="0" w:space="0" w:color="auto"/>
        <w:bottom w:val="none" w:sz="0" w:space="0" w:color="auto"/>
        <w:right w:val="none" w:sz="0" w:space="0" w:color="auto"/>
      </w:divBdr>
    </w:div>
    <w:div w:id="446891412">
      <w:bodyDiv w:val="1"/>
      <w:marLeft w:val="0"/>
      <w:marRight w:val="0"/>
      <w:marTop w:val="0"/>
      <w:marBottom w:val="0"/>
      <w:divBdr>
        <w:top w:val="none" w:sz="0" w:space="0" w:color="auto"/>
        <w:left w:val="none" w:sz="0" w:space="0" w:color="auto"/>
        <w:bottom w:val="none" w:sz="0" w:space="0" w:color="auto"/>
        <w:right w:val="none" w:sz="0" w:space="0" w:color="auto"/>
      </w:divBdr>
    </w:div>
    <w:div w:id="452212545">
      <w:bodyDiv w:val="1"/>
      <w:marLeft w:val="0"/>
      <w:marRight w:val="0"/>
      <w:marTop w:val="0"/>
      <w:marBottom w:val="0"/>
      <w:divBdr>
        <w:top w:val="none" w:sz="0" w:space="0" w:color="auto"/>
        <w:left w:val="none" w:sz="0" w:space="0" w:color="auto"/>
        <w:bottom w:val="none" w:sz="0" w:space="0" w:color="auto"/>
        <w:right w:val="none" w:sz="0" w:space="0" w:color="auto"/>
      </w:divBdr>
    </w:div>
    <w:div w:id="458108448">
      <w:bodyDiv w:val="1"/>
      <w:marLeft w:val="0"/>
      <w:marRight w:val="0"/>
      <w:marTop w:val="0"/>
      <w:marBottom w:val="0"/>
      <w:divBdr>
        <w:top w:val="none" w:sz="0" w:space="0" w:color="auto"/>
        <w:left w:val="none" w:sz="0" w:space="0" w:color="auto"/>
        <w:bottom w:val="none" w:sz="0" w:space="0" w:color="auto"/>
        <w:right w:val="none" w:sz="0" w:space="0" w:color="auto"/>
      </w:divBdr>
    </w:div>
    <w:div w:id="472989247">
      <w:bodyDiv w:val="1"/>
      <w:marLeft w:val="0"/>
      <w:marRight w:val="0"/>
      <w:marTop w:val="0"/>
      <w:marBottom w:val="0"/>
      <w:divBdr>
        <w:top w:val="none" w:sz="0" w:space="0" w:color="auto"/>
        <w:left w:val="none" w:sz="0" w:space="0" w:color="auto"/>
        <w:bottom w:val="none" w:sz="0" w:space="0" w:color="auto"/>
        <w:right w:val="none" w:sz="0" w:space="0" w:color="auto"/>
      </w:divBdr>
    </w:div>
    <w:div w:id="473528673">
      <w:bodyDiv w:val="1"/>
      <w:marLeft w:val="0"/>
      <w:marRight w:val="0"/>
      <w:marTop w:val="0"/>
      <w:marBottom w:val="0"/>
      <w:divBdr>
        <w:top w:val="none" w:sz="0" w:space="0" w:color="auto"/>
        <w:left w:val="none" w:sz="0" w:space="0" w:color="auto"/>
        <w:bottom w:val="none" w:sz="0" w:space="0" w:color="auto"/>
        <w:right w:val="none" w:sz="0" w:space="0" w:color="auto"/>
      </w:divBdr>
    </w:div>
    <w:div w:id="480582513">
      <w:bodyDiv w:val="1"/>
      <w:marLeft w:val="0"/>
      <w:marRight w:val="0"/>
      <w:marTop w:val="0"/>
      <w:marBottom w:val="0"/>
      <w:divBdr>
        <w:top w:val="none" w:sz="0" w:space="0" w:color="auto"/>
        <w:left w:val="none" w:sz="0" w:space="0" w:color="auto"/>
        <w:bottom w:val="none" w:sz="0" w:space="0" w:color="auto"/>
        <w:right w:val="none" w:sz="0" w:space="0" w:color="auto"/>
      </w:divBdr>
    </w:div>
    <w:div w:id="494417361">
      <w:bodyDiv w:val="1"/>
      <w:marLeft w:val="0"/>
      <w:marRight w:val="0"/>
      <w:marTop w:val="0"/>
      <w:marBottom w:val="0"/>
      <w:divBdr>
        <w:top w:val="none" w:sz="0" w:space="0" w:color="auto"/>
        <w:left w:val="none" w:sz="0" w:space="0" w:color="auto"/>
        <w:bottom w:val="none" w:sz="0" w:space="0" w:color="auto"/>
        <w:right w:val="none" w:sz="0" w:space="0" w:color="auto"/>
      </w:divBdr>
    </w:div>
    <w:div w:id="507981319">
      <w:bodyDiv w:val="1"/>
      <w:marLeft w:val="0"/>
      <w:marRight w:val="0"/>
      <w:marTop w:val="0"/>
      <w:marBottom w:val="0"/>
      <w:divBdr>
        <w:top w:val="none" w:sz="0" w:space="0" w:color="auto"/>
        <w:left w:val="none" w:sz="0" w:space="0" w:color="auto"/>
        <w:bottom w:val="none" w:sz="0" w:space="0" w:color="auto"/>
        <w:right w:val="none" w:sz="0" w:space="0" w:color="auto"/>
      </w:divBdr>
    </w:div>
    <w:div w:id="509297290">
      <w:bodyDiv w:val="1"/>
      <w:marLeft w:val="0"/>
      <w:marRight w:val="0"/>
      <w:marTop w:val="0"/>
      <w:marBottom w:val="0"/>
      <w:divBdr>
        <w:top w:val="none" w:sz="0" w:space="0" w:color="auto"/>
        <w:left w:val="none" w:sz="0" w:space="0" w:color="auto"/>
        <w:bottom w:val="none" w:sz="0" w:space="0" w:color="auto"/>
        <w:right w:val="none" w:sz="0" w:space="0" w:color="auto"/>
      </w:divBdr>
    </w:div>
    <w:div w:id="523590583">
      <w:bodyDiv w:val="1"/>
      <w:marLeft w:val="0"/>
      <w:marRight w:val="0"/>
      <w:marTop w:val="0"/>
      <w:marBottom w:val="0"/>
      <w:divBdr>
        <w:top w:val="none" w:sz="0" w:space="0" w:color="auto"/>
        <w:left w:val="none" w:sz="0" w:space="0" w:color="auto"/>
        <w:bottom w:val="none" w:sz="0" w:space="0" w:color="auto"/>
        <w:right w:val="none" w:sz="0" w:space="0" w:color="auto"/>
      </w:divBdr>
    </w:div>
    <w:div w:id="524099378">
      <w:bodyDiv w:val="1"/>
      <w:marLeft w:val="0"/>
      <w:marRight w:val="0"/>
      <w:marTop w:val="0"/>
      <w:marBottom w:val="0"/>
      <w:divBdr>
        <w:top w:val="none" w:sz="0" w:space="0" w:color="auto"/>
        <w:left w:val="none" w:sz="0" w:space="0" w:color="auto"/>
        <w:bottom w:val="none" w:sz="0" w:space="0" w:color="auto"/>
        <w:right w:val="none" w:sz="0" w:space="0" w:color="auto"/>
      </w:divBdr>
    </w:div>
    <w:div w:id="529336677">
      <w:bodyDiv w:val="1"/>
      <w:marLeft w:val="0"/>
      <w:marRight w:val="0"/>
      <w:marTop w:val="0"/>
      <w:marBottom w:val="0"/>
      <w:divBdr>
        <w:top w:val="none" w:sz="0" w:space="0" w:color="auto"/>
        <w:left w:val="none" w:sz="0" w:space="0" w:color="auto"/>
        <w:bottom w:val="none" w:sz="0" w:space="0" w:color="auto"/>
        <w:right w:val="none" w:sz="0" w:space="0" w:color="auto"/>
      </w:divBdr>
    </w:div>
    <w:div w:id="542866955">
      <w:bodyDiv w:val="1"/>
      <w:marLeft w:val="0"/>
      <w:marRight w:val="0"/>
      <w:marTop w:val="0"/>
      <w:marBottom w:val="0"/>
      <w:divBdr>
        <w:top w:val="none" w:sz="0" w:space="0" w:color="auto"/>
        <w:left w:val="none" w:sz="0" w:space="0" w:color="auto"/>
        <w:bottom w:val="none" w:sz="0" w:space="0" w:color="auto"/>
        <w:right w:val="none" w:sz="0" w:space="0" w:color="auto"/>
      </w:divBdr>
    </w:div>
    <w:div w:id="546332223">
      <w:bodyDiv w:val="1"/>
      <w:marLeft w:val="0"/>
      <w:marRight w:val="0"/>
      <w:marTop w:val="0"/>
      <w:marBottom w:val="0"/>
      <w:divBdr>
        <w:top w:val="none" w:sz="0" w:space="0" w:color="auto"/>
        <w:left w:val="none" w:sz="0" w:space="0" w:color="auto"/>
        <w:bottom w:val="none" w:sz="0" w:space="0" w:color="auto"/>
        <w:right w:val="none" w:sz="0" w:space="0" w:color="auto"/>
      </w:divBdr>
    </w:div>
    <w:div w:id="551429559">
      <w:bodyDiv w:val="1"/>
      <w:marLeft w:val="0"/>
      <w:marRight w:val="0"/>
      <w:marTop w:val="0"/>
      <w:marBottom w:val="0"/>
      <w:divBdr>
        <w:top w:val="none" w:sz="0" w:space="0" w:color="auto"/>
        <w:left w:val="none" w:sz="0" w:space="0" w:color="auto"/>
        <w:bottom w:val="none" w:sz="0" w:space="0" w:color="auto"/>
        <w:right w:val="none" w:sz="0" w:space="0" w:color="auto"/>
      </w:divBdr>
    </w:div>
    <w:div w:id="556549456">
      <w:bodyDiv w:val="1"/>
      <w:marLeft w:val="0"/>
      <w:marRight w:val="0"/>
      <w:marTop w:val="0"/>
      <w:marBottom w:val="0"/>
      <w:divBdr>
        <w:top w:val="none" w:sz="0" w:space="0" w:color="auto"/>
        <w:left w:val="none" w:sz="0" w:space="0" w:color="auto"/>
        <w:bottom w:val="none" w:sz="0" w:space="0" w:color="auto"/>
        <w:right w:val="none" w:sz="0" w:space="0" w:color="auto"/>
      </w:divBdr>
    </w:div>
    <w:div w:id="557984250">
      <w:bodyDiv w:val="1"/>
      <w:marLeft w:val="0"/>
      <w:marRight w:val="0"/>
      <w:marTop w:val="0"/>
      <w:marBottom w:val="0"/>
      <w:divBdr>
        <w:top w:val="none" w:sz="0" w:space="0" w:color="auto"/>
        <w:left w:val="none" w:sz="0" w:space="0" w:color="auto"/>
        <w:bottom w:val="none" w:sz="0" w:space="0" w:color="auto"/>
        <w:right w:val="none" w:sz="0" w:space="0" w:color="auto"/>
      </w:divBdr>
      <w:divsChild>
        <w:div w:id="1043484728">
          <w:marLeft w:val="0"/>
          <w:marRight w:val="0"/>
          <w:marTop w:val="0"/>
          <w:marBottom w:val="0"/>
          <w:divBdr>
            <w:top w:val="none" w:sz="0" w:space="0" w:color="auto"/>
            <w:left w:val="none" w:sz="0" w:space="0" w:color="auto"/>
            <w:bottom w:val="none" w:sz="0" w:space="0" w:color="auto"/>
            <w:right w:val="none" w:sz="0" w:space="0" w:color="auto"/>
          </w:divBdr>
          <w:divsChild>
            <w:div w:id="118649502">
              <w:marLeft w:val="0"/>
              <w:marRight w:val="0"/>
              <w:marTop w:val="60"/>
              <w:marBottom w:val="255"/>
              <w:divBdr>
                <w:top w:val="none" w:sz="0" w:space="0" w:color="auto"/>
                <w:left w:val="none" w:sz="0" w:space="0" w:color="auto"/>
                <w:bottom w:val="none" w:sz="0" w:space="0" w:color="auto"/>
                <w:right w:val="none" w:sz="0" w:space="0" w:color="auto"/>
              </w:divBdr>
              <w:divsChild>
                <w:div w:id="730809716">
                  <w:marLeft w:val="0"/>
                  <w:marRight w:val="240"/>
                  <w:marTop w:val="0"/>
                  <w:marBottom w:val="0"/>
                  <w:divBdr>
                    <w:top w:val="none" w:sz="0" w:space="0" w:color="auto"/>
                    <w:left w:val="none" w:sz="0" w:space="0" w:color="auto"/>
                    <w:bottom w:val="none" w:sz="0" w:space="0" w:color="auto"/>
                    <w:right w:val="none" w:sz="0" w:space="0" w:color="auto"/>
                  </w:divBdr>
                  <w:divsChild>
                    <w:div w:id="1222983162">
                      <w:marLeft w:val="0"/>
                      <w:marRight w:val="0"/>
                      <w:marTop w:val="0"/>
                      <w:marBottom w:val="0"/>
                      <w:divBdr>
                        <w:top w:val="none" w:sz="0" w:space="0" w:color="auto"/>
                        <w:left w:val="none" w:sz="0" w:space="0" w:color="auto"/>
                        <w:bottom w:val="none" w:sz="0" w:space="0" w:color="auto"/>
                        <w:right w:val="none" w:sz="0" w:space="0" w:color="auto"/>
                      </w:divBdr>
                      <w:divsChild>
                        <w:div w:id="557086276">
                          <w:marLeft w:val="0"/>
                          <w:marRight w:val="0"/>
                          <w:marTop w:val="0"/>
                          <w:marBottom w:val="0"/>
                          <w:divBdr>
                            <w:top w:val="none" w:sz="0" w:space="0" w:color="auto"/>
                            <w:left w:val="none" w:sz="0" w:space="0" w:color="auto"/>
                            <w:bottom w:val="none" w:sz="0" w:space="0" w:color="auto"/>
                            <w:right w:val="none" w:sz="0" w:space="0" w:color="auto"/>
                          </w:divBdr>
                          <w:divsChild>
                            <w:div w:id="1308972045">
                              <w:marLeft w:val="0"/>
                              <w:marRight w:val="0"/>
                              <w:marTop w:val="0"/>
                              <w:marBottom w:val="0"/>
                              <w:divBdr>
                                <w:top w:val="none" w:sz="0" w:space="0" w:color="auto"/>
                                <w:left w:val="none" w:sz="0" w:space="0" w:color="auto"/>
                                <w:bottom w:val="none" w:sz="0" w:space="0" w:color="auto"/>
                                <w:right w:val="none" w:sz="0" w:space="0" w:color="auto"/>
                              </w:divBdr>
                              <w:divsChild>
                                <w:div w:id="939414773">
                                  <w:marLeft w:val="0"/>
                                  <w:marRight w:val="0"/>
                                  <w:marTop w:val="0"/>
                                  <w:marBottom w:val="0"/>
                                  <w:divBdr>
                                    <w:top w:val="none" w:sz="0" w:space="0" w:color="auto"/>
                                    <w:left w:val="none" w:sz="0" w:space="0" w:color="auto"/>
                                    <w:bottom w:val="none" w:sz="0" w:space="0" w:color="auto"/>
                                    <w:right w:val="none" w:sz="0" w:space="0" w:color="auto"/>
                                  </w:divBdr>
                                  <w:divsChild>
                                    <w:div w:id="1557859767">
                                      <w:marLeft w:val="0"/>
                                      <w:marRight w:val="0"/>
                                      <w:marTop w:val="0"/>
                                      <w:marBottom w:val="0"/>
                                      <w:divBdr>
                                        <w:top w:val="none" w:sz="0" w:space="0" w:color="auto"/>
                                        <w:left w:val="none" w:sz="0" w:space="0" w:color="auto"/>
                                        <w:bottom w:val="none" w:sz="0" w:space="0" w:color="auto"/>
                                        <w:right w:val="none" w:sz="0" w:space="0" w:color="auto"/>
                                      </w:divBdr>
                                      <w:divsChild>
                                        <w:div w:id="36105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1716329">
      <w:bodyDiv w:val="1"/>
      <w:marLeft w:val="0"/>
      <w:marRight w:val="0"/>
      <w:marTop w:val="0"/>
      <w:marBottom w:val="0"/>
      <w:divBdr>
        <w:top w:val="none" w:sz="0" w:space="0" w:color="auto"/>
        <w:left w:val="none" w:sz="0" w:space="0" w:color="auto"/>
        <w:bottom w:val="none" w:sz="0" w:space="0" w:color="auto"/>
        <w:right w:val="none" w:sz="0" w:space="0" w:color="auto"/>
      </w:divBdr>
    </w:div>
    <w:div w:id="561908477">
      <w:bodyDiv w:val="1"/>
      <w:marLeft w:val="0"/>
      <w:marRight w:val="0"/>
      <w:marTop w:val="0"/>
      <w:marBottom w:val="0"/>
      <w:divBdr>
        <w:top w:val="none" w:sz="0" w:space="0" w:color="auto"/>
        <w:left w:val="none" w:sz="0" w:space="0" w:color="auto"/>
        <w:bottom w:val="none" w:sz="0" w:space="0" w:color="auto"/>
        <w:right w:val="none" w:sz="0" w:space="0" w:color="auto"/>
      </w:divBdr>
    </w:div>
    <w:div w:id="569776965">
      <w:bodyDiv w:val="1"/>
      <w:marLeft w:val="0"/>
      <w:marRight w:val="0"/>
      <w:marTop w:val="0"/>
      <w:marBottom w:val="0"/>
      <w:divBdr>
        <w:top w:val="none" w:sz="0" w:space="0" w:color="auto"/>
        <w:left w:val="none" w:sz="0" w:space="0" w:color="auto"/>
        <w:bottom w:val="none" w:sz="0" w:space="0" w:color="auto"/>
        <w:right w:val="none" w:sz="0" w:space="0" w:color="auto"/>
      </w:divBdr>
    </w:div>
    <w:div w:id="571083000">
      <w:bodyDiv w:val="1"/>
      <w:marLeft w:val="0"/>
      <w:marRight w:val="0"/>
      <w:marTop w:val="0"/>
      <w:marBottom w:val="0"/>
      <w:divBdr>
        <w:top w:val="none" w:sz="0" w:space="0" w:color="auto"/>
        <w:left w:val="none" w:sz="0" w:space="0" w:color="auto"/>
        <w:bottom w:val="none" w:sz="0" w:space="0" w:color="auto"/>
        <w:right w:val="none" w:sz="0" w:space="0" w:color="auto"/>
      </w:divBdr>
    </w:div>
    <w:div w:id="573197911">
      <w:bodyDiv w:val="1"/>
      <w:marLeft w:val="0"/>
      <w:marRight w:val="0"/>
      <w:marTop w:val="0"/>
      <w:marBottom w:val="0"/>
      <w:divBdr>
        <w:top w:val="none" w:sz="0" w:space="0" w:color="auto"/>
        <w:left w:val="none" w:sz="0" w:space="0" w:color="auto"/>
        <w:bottom w:val="none" w:sz="0" w:space="0" w:color="auto"/>
        <w:right w:val="none" w:sz="0" w:space="0" w:color="auto"/>
      </w:divBdr>
    </w:div>
    <w:div w:id="573440515">
      <w:bodyDiv w:val="1"/>
      <w:marLeft w:val="0"/>
      <w:marRight w:val="0"/>
      <w:marTop w:val="0"/>
      <w:marBottom w:val="0"/>
      <w:divBdr>
        <w:top w:val="none" w:sz="0" w:space="0" w:color="auto"/>
        <w:left w:val="none" w:sz="0" w:space="0" w:color="auto"/>
        <w:bottom w:val="none" w:sz="0" w:space="0" w:color="auto"/>
        <w:right w:val="none" w:sz="0" w:space="0" w:color="auto"/>
      </w:divBdr>
    </w:div>
    <w:div w:id="578366597">
      <w:bodyDiv w:val="1"/>
      <w:marLeft w:val="0"/>
      <w:marRight w:val="0"/>
      <w:marTop w:val="0"/>
      <w:marBottom w:val="0"/>
      <w:divBdr>
        <w:top w:val="none" w:sz="0" w:space="0" w:color="auto"/>
        <w:left w:val="none" w:sz="0" w:space="0" w:color="auto"/>
        <w:bottom w:val="none" w:sz="0" w:space="0" w:color="auto"/>
        <w:right w:val="none" w:sz="0" w:space="0" w:color="auto"/>
      </w:divBdr>
    </w:div>
    <w:div w:id="584388161">
      <w:bodyDiv w:val="1"/>
      <w:marLeft w:val="0"/>
      <w:marRight w:val="0"/>
      <w:marTop w:val="0"/>
      <w:marBottom w:val="0"/>
      <w:divBdr>
        <w:top w:val="none" w:sz="0" w:space="0" w:color="auto"/>
        <w:left w:val="none" w:sz="0" w:space="0" w:color="auto"/>
        <w:bottom w:val="none" w:sz="0" w:space="0" w:color="auto"/>
        <w:right w:val="none" w:sz="0" w:space="0" w:color="auto"/>
      </w:divBdr>
    </w:div>
    <w:div w:id="592975114">
      <w:bodyDiv w:val="1"/>
      <w:marLeft w:val="0"/>
      <w:marRight w:val="0"/>
      <w:marTop w:val="0"/>
      <w:marBottom w:val="0"/>
      <w:divBdr>
        <w:top w:val="none" w:sz="0" w:space="0" w:color="auto"/>
        <w:left w:val="none" w:sz="0" w:space="0" w:color="auto"/>
        <w:bottom w:val="none" w:sz="0" w:space="0" w:color="auto"/>
        <w:right w:val="none" w:sz="0" w:space="0" w:color="auto"/>
      </w:divBdr>
    </w:div>
    <w:div w:id="594288040">
      <w:bodyDiv w:val="1"/>
      <w:marLeft w:val="0"/>
      <w:marRight w:val="0"/>
      <w:marTop w:val="0"/>
      <w:marBottom w:val="0"/>
      <w:divBdr>
        <w:top w:val="none" w:sz="0" w:space="0" w:color="auto"/>
        <w:left w:val="none" w:sz="0" w:space="0" w:color="auto"/>
        <w:bottom w:val="none" w:sz="0" w:space="0" w:color="auto"/>
        <w:right w:val="none" w:sz="0" w:space="0" w:color="auto"/>
      </w:divBdr>
    </w:div>
    <w:div w:id="612400282">
      <w:bodyDiv w:val="1"/>
      <w:marLeft w:val="0"/>
      <w:marRight w:val="0"/>
      <w:marTop w:val="0"/>
      <w:marBottom w:val="0"/>
      <w:divBdr>
        <w:top w:val="none" w:sz="0" w:space="0" w:color="auto"/>
        <w:left w:val="none" w:sz="0" w:space="0" w:color="auto"/>
        <w:bottom w:val="none" w:sz="0" w:space="0" w:color="auto"/>
        <w:right w:val="none" w:sz="0" w:space="0" w:color="auto"/>
      </w:divBdr>
    </w:div>
    <w:div w:id="622922960">
      <w:bodyDiv w:val="1"/>
      <w:marLeft w:val="0"/>
      <w:marRight w:val="0"/>
      <w:marTop w:val="0"/>
      <w:marBottom w:val="0"/>
      <w:divBdr>
        <w:top w:val="none" w:sz="0" w:space="0" w:color="auto"/>
        <w:left w:val="none" w:sz="0" w:space="0" w:color="auto"/>
        <w:bottom w:val="none" w:sz="0" w:space="0" w:color="auto"/>
        <w:right w:val="none" w:sz="0" w:space="0" w:color="auto"/>
      </w:divBdr>
    </w:div>
    <w:div w:id="624309694">
      <w:bodyDiv w:val="1"/>
      <w:marLeft w:val="0"/>
      <w:marRight w:val="0"/>
      <w:marTop w:val="0"/>
      <w:marBottom w:val="0"/>
      <w:divBdr>
        <w:top w:val="none" w:sz="0" w:space="0" w:color="auto"/>
        <w:left w:val="none" w:sz="0" w:space="0" w:color="auto"/>
        <w:bottom w:val="none" w:sz="0" w:space="0" w:color="auto"/>
        <w:right w:val="none" w:sz="0" w:space="0" w:color="auto"/>
      </w:divBdr>
    </w:div>
    <w:div w:id="626667502">
      <w:bodyDiv w:val="1"/>
      <w:marLeft w:val="0"/>
      <w:marRight w:val="0"/>
      <w:marTop w:val="0"/>
      <w:marBottom w:val="0"/>
      <w:divBdr>
        <w:top w:val="none" w:sz="0" w:space="0" w:color="auto"/>
        <w:left w:val="none" w:sz="0" w:space="0" w:color="auto"/>
        <w:bottom w:val="none" w:sz="0" w:space="0" w:color="auto"/>
        <w:right w:val="none" w:sz="0" w:space="0" w:color="auto"/>
      </w:divBdr>
    </w:div>
    <w:div w:id="637493931">
      <w:bodyDiv w:val="1"/>
      <w:marLeft w:val="0"/>
      <w:marRight w:val="0"/>
      <w:marTop w:val="0"/>
      <w:marBottom w:val="0"/>
      <w:divBdr>
        <w:top w:val="none" w:sz="0" w:space="0" w:color="auto"/>
        <w:left w:val="none" w:sz="0" w:space="0" w:color="auto"/>
        <w:bottom w:val="none" w:sz="0" w:space="0" w:color="auto"/>
        <w:right w:val="none" w:sz="0" w:space="0" w:color="auto"/>
      </w:divBdr>
    </w:div>
    <w:div w:id="638343775">
      <w:bodyDiv w:val="1"/>
      <w:marLeft w:val="0"/>
      <w:marRight w:val="0"/>
      <w:marTop w:val="0"/>
      <w:marBottom w:val="0"/>
      <w:divBdr>
        <w:top w:val="none" w:sz="0" w:space="0" w:color="auto"/>
        <w:left w:val="none" w:sz="0" w:space="0" w:color="auto"/>
        <w:bottom w:val="none" w:sz="0" w:space="0" w:color="auto"/>
        <w:right w:val="none" w:sz="0" w:space="0" w:color="auto"/>
      </w:divBdr>
    </w:div>
    <w:div w:id="638875990">
      <w:bodyDiv w:val="1"/>
      <w:marLeft w:val="0"/>
      <w:marRight w:val="0"/>
      <w:marTop w:val="0"/>
      <w:marBottom w:val="0"/>
      <w:divBdr>
        <w:top w:val="none" w:sz="0" w:space="0" w:color="auto"/>
        <w:left w:val="none" w:sz="0" w:space="0" w:color="auto"/>
        <w:bottom w:val="none" w:sz="0" w:space="0" w:color="auto"/>
        <w:right w:val="none" w:sz="0" w:space="0" w:color="auto"/>
      </w:divBdr>
    </w:div>
    <w:div w:id="640425598">
      <w:bodyDiv w:val="1"/>
      <w:marLeft w:val="0"/>
      <w:marRight w:val="0"/>
      <w:marTop w:val="0"/>
      <w:marBottom w:val="0"/>
      <w:divBdr>
        <w:top w:val="none" w:sz="0" w:space="0" w:color="auto"/>
        <w:left w:val="none" w:sz="0" w:space="0" w:color="auto"/>
        <w:bottom w:val="none" w:sz="0" w:space="0" w:color="auto"/>
        <w:right w:val="none" w:sz="0" w:space="0" w:color="auto"/>
      </w:divBdr>
    </w:div>
    <w:div w:id="659390008">
      <w:bodyDiv w:val="1"/>
      <w:marLeft w:val="0"/>
      <w:marRight w:val="0"/>
      <w:marTop w:val="0"/>
      <w:marBottom w:val="0"/>
      <w:divBdr>
        <w:top w:val="none" w:sz="0" w:space="0" w:color="auto"/>
        <w:left w:val="none" w:sz="0" w:space="0" w:color="auto"/>
        <w:bottom w:val="none" w:sz="0" w:space="0" w:color="auto"/>
        <w:right w:val="none" w:sz="0" w:space="0" w:color="auto"/>
      </w:divBdr>
    </w:div>
    <w:div w:id="666202775">
      <w:bodyDiv w:val="1"/>
      <w:marLeft w:val="0"/>
      <w:marRight w:val="0"/>
      <w:marTop w:val="0"/>
      <w:marBottom w:val="0"/>
      <w:divBdr>
        <w:top w:val="none" w:sz="0" w:space="0" w:color="auto"/>
        <w:left w:val="none" w:sz="0" w:space="0" w:color="auto"/>
        <w:bottom w:val="none" w:sz="0" w:space="0" w:color="auto"/>
        <w:right w:val="none" w:sz="0" w:space="0" w:color="auto"/>
      </w:divBdr>
    </w:div>
    <w:div w:id="682511017">
      <w:bodyDiv w:val="1"/>
      <w:marLeft w:val="0"/>
      <w:marRight w:val="0"/>
      <w:marTop w:val="0"/>
      <w:marBottom w:val="0"/>
      <w:divBdr>
        <w:top w:val="none" w:sz="0" w:space="0" w:color="auto"/>
        <w:left w:val="none" w:sz="0" w:space="0" w:color="auto"/>
        <w:bottom w:val="none" w:sz="0" w:space="0" w:color="auto"/>
        <w:right w:val="none" w:sz="0" w:space="0" w:color="auto"/>
      </w:divBdr>
    </w:div>
    <w:div w:id="682976598">
      <w:bodyDiv w:val="1"/>
      <w:marLeft w:val="0"/>
      <w:marRight w:val="0"/>
      <w:marTop w:val="0"/>
      <w:marBottom w:val="0"/>
      <w:divBdr>
        <w:top w:val="none" w:sz="0" w:space="0" w:color="auto"/>
        <w:left w:val="none" w:sz="0" w:space="0" w:color="auto"/>
        <w:bottom w:val="none" w:sz="0" w:space="0" w:color="auto"/>
        <w:right w:val="none" w:sz="0" w:space="0" w:color="auto"/>
      </w:divBdr>
    </w:div>
    <w:div w:id="688989157">
      <w:bodyDiv w:val="1"/>
      <w:marLeft w:val="0"/>
      <w:marRight w:val="0"/>
      <w:marTop w:val="0"/>
      <w:marBottom w:val="0"/>
      <w:divBdr>
        <w:top w:val="none" w:sz="0" w:space="0" w:color="auto"/>
        <w:left w:val="none" w:sz="0" w:space="0" w:color="auto"/>
        <w:bottom w:val="none" w:sz="0" w:space="0" w:color="auto"/>
        <w:right w:val="none" w:sz="0" w:space="0" w:color="auto"/>
      </w:divBdr>
    </w:div>
    <w:div w:id="704643141">
      <w:bodyDiv w:val="1"/>
      <w:marLeft w:val="0"/>
      <w:marRight w:val="0"/>
      <w:marTop w:val="0"/>
      <w:marBottom w:val="0"/>
      <w:divBdr>
        <w:top w:val="none" w:sz="0" w:space="0" w:color="auto"/>
        <w:left w:val="none" w:sz="0" w:space="0" w:color="auto"/>
        <w:bottom w:val="none" w:sz="0" w:space="0" w:color="auto"/>
        <w:right w:val="none" w:sz="0" w:space="0" w:color="auto"/>
      </w:divBdr>
    </w:div>
    <w:div w:id="714352658">
      <w:bodyDiv w:val="1"/>
      <w:marLeft w:val="0"/>
      <w:marRight w:val="0"/>
      <w:marTop w:val="0"/>
      <w:marBottom w:val="0"/>
      <w:divBdr>
        <w:top w:val="none" w:sz="0" w:space="0" w:color="auto"/>
        <w:left w:val="none" w:sz="0" w:space="0" w:color="auto"/>
        <w:bottom w:val="none" w:sz="0" w:space="0" w:color="auto"/>
        <w:right w:val="none" w:sz="0" w:space="0" w:color="auto"/>
      </w:divBdr>
    </w:div>
    <w:div w:id="717051321">
      <w:bodyDiv w:val="1"/>
      <w:marLeft w:val="0"/>
      <w:marRight w:val="0"/>
      <w:marTop w:val="0"/>
      <w:marBottom w:val="0"/>
      <w:divBdr>
        <w:top w:val="none" w:sz="0" w:space="0" w:color="auto"/>
        <w:left w:val="none" w:sz="0" w:space="0" w:color="auto"/>
        <w:bottom w:val="none" w:sz="0" w:space="0" w:color="auto"/>
        <w:right w:val="none" w:sz="0" w:space="0" w:color="auto"/>
      </w:divBdr>
    </w:div>
    <w:div w:id="717894072">
      <w:bodyDiv w:val="1"/>
      <w:marLeft w:val="0"/>
      <w:marRight w:val="0"/>
      <w:marTop w:val="0"/>
      <w:marBottom w:val="0"/>
      <w:divBdr>
        <w:top w:val="none" w:sz="0" w:space="0" w:color="auto"/>
        <w:left w:val="none" w:sz="0" w:space="0" w:color="auto"/>
        <w:bottom w:val="none" w:sz="0" w:space="0" w:color="auto"/>
        <w:right w:val="none" w:sz="0" w:space="0" w:color="auto"/>
      </w:divBdr>
    </w:div>
    <w:div w:id="721714578">
      <w:bodyDiv w:val="1"/>
      <w:marLeft w:val="0"/>
      <w:marRight w:val="0"/>
      <w:marTop w:val="0"/>
      <w:marBottom w:val="0"/>
      <w:divBdr>
        <w:top w:val="none" w:sz="0" w:space="0" w:color="auto"/>
        <w:left w:val="none" w:sz="0" w:space="0" w:color="auto"/>
        <w:bottom w:val="none" w:sz="0" w:space="0" w:color="auto"/>
        <w:right w:val="none" w:sz="0" w:space="0" w:color="auto"/>
      </w:divBdr>
    </w:div>
    <w:div w:id="726033773">
      <w:bodyDiv w:val="1"/>
      <w:marLeft w:val="0"/>
      <w:marRight w:val="0"/>
      <w:marTop w:val="0"/>
      <w:marBottom w:val="0"/>
      <w:divBdr>
        <w:top w:val="none" w:sz="0" w:space="0" w:color="auto"/>
        <w:left w:val="none" w:sz="0" w:space="0" w:color="auto"/>
        <w:bottom w:val="none" w:sz="0" w:space="0" w:color="auto"/>
        <w:right w:val="none" w:sz="0" w:space="0" w:color="auto"/>
      </w:divBdr>
    </w:div>
    <w:div w:id="729042697">
      <w:bodyDiv w:val="1"/>
      <w:marLeft w:val="0"/>
      <w:marRight w:val="0"/>
      <w:marTop w:val="0"/>
      <w:marBottom w:val="0"/>
      <w:divBdr>
        <w:top w:val="none" w:sz="0" w:space="0" w:color="auto"/>
        <w:left w:val="none" w:sz="0" w:space="0" w:color="auto"/>
        <w:bottom w:val="none" w:sz="0" w:space="0" w:color="auto"/>
        <w:right w:val="none" w:sz="0" w:space="0" w:color="auto"/>
      </w:divBdr>
    </w:div>
    <w:div w:id="733239509">
      <w:bodyDiv w:val="1"/>
      <w:marLeft w:val="0"/>
      <w:marRight w:val="0"/>
      <w:marTop w:val="0"/>
      <w:marBottom w:val="0"/>
      <w:divBdr>
        <w:top w:val="none" w:sz="0" w:space="0" w:color="auto"/>
        <w:left w:val="none" w:sz="0" w:space="0" w:color="auto"/>
        <w:bottom w:val="none" w:sz="0" w:space="0" w:color="auto"/>
        <w:right w:val="none" w:sz="0" w:space="0" w:color="auto"/>
      </w:divBdr>
    </w:div>
    <w:div w:id="737290183">
      <w:bodyDiv w:val="1"/>
      <w:marLeft w:val="0"/>
      <w:marRight w:val="0"/>
      <w:marTop w:val="0"/>
      <w:marBottom w:val="0"/>
      <w:divBdr>
        <w:top w:val="none" w:sz="0" w:space="0" w:color="auto"/>
        <w:left w:val="none" w:sz="0" w:space="0" w:color="auto"/>
        <w:bottom w:val="none" w:sz="0" w:space="0" w:color="auto"/>
        <w:right w:val="none" w:sz="0" w:space="0" w:color="auto"/>
      </w:divBdr>
    </w:div>
    <w:div w:id="740366381">
      <w:bodyDiv w:val="1"/>
      <w:marLeft w:val="0"/>
      <w:marRight w:val="0"/>
      <w:marTop w:val="0"/>
      <w:marBottom w:val="0"/>
      <w:divBdr>
        <w:top w:val="none" w:sz="0" w:space="0" w:color="auto"/>
        <w:left w:val="none" w:sz="0" w:space="0" w:color="auto"/>
        <w:bottom w:val="none" w:sz="0" w:space="0" w:color="auto"/>
        <w:right w:val="none" w:sz="0" w:space="0" w:color="auto"/>
      </w:divBdr>
    </w:div>
    <w:div w:id="742489847">
      <w:bodyDiv w:val="1"/>
      <w:marLeft w:val="0"/>
      <w:marRight w:val="0"/>
      <w:marTop w:val="0"/>
      <w:marBottom w:val="0"/>
      <w:divBdr>
        <w:top w:val="none" w:sz="0" w:space="0" w:color="auto"/>
        <w:left w:val="none" w:sz="0" w:space="0" w:color="auto"/>
        <w:bottom w:val="none" w:sz="0" w:space="0" w:color="auto"/>
        <w:right w:val="none" w:sz="0" w:space="0" w:color="auto"/>
      </w:divBdr>
    </w:div>
    <w:div w:id="745111213">
      <w:bodyDiv w:val="1"/>
      <w:marLeft w:val="0"/>
      <w:marRight w:val="0"/>
      <w:marTop w:val="0"/>
      <w:marBottom w:val="0"/>
      <w:divBdr>
        <w:top w:val="none" w:sz="0" w:space="0" w:color="auto"/>
        <w:left w:val="none" w:sz="0" w:space="0" w:color="auto"/>
        <w:bottom w:val="none" w:sz="0" w:space="0" w:color="auto"/>
        <w:right w:val="none" w:sz="0" w:space="0" w:color="auto"/>
      </w:divBdr>
    </w:div>
    <w:div w:id="749161867">
      <w:bodyDiv w:val="1"/>
      <w:marLeft w:val="0"/>
      <w:marRight w:val="0"/>
      <w:marTop w:val="0"/>
      <w:marBottom w:val="0"/>
      <w:divBdr>
        <w:top w:val="none" w:sz="0" w:space="0" w:color="auto"/>
        <w:left w:val="none" w:sz="0" w:space="0" w:color="auto"/>
        <w:bottom w:val="none" w:sz="0" w:space="0" w:color="auto"/>
        <w:right w:val="none" w:sz="0" w:space="0" w:color="auto"/>
      </w:divBdr>
    </w:div>
    <w:div w:id="752900859">
      <w:bodyDiv w:val="1"/>
      <w:marLeft w:val="0"/>
      <w:marRight w:val="0"/>
      <w:marTop w:val="0"/>
      <w:marBottom w:val="0"/>
      <w:divBdr>
        <w:top w:val="none" w:sz="0" w:space="0" w:color="auto"/>
        <w:left w:val="none" w:sz="0" w:space="0" w:color="auto"/>
        <w:bottom w:val="none" w:sz="0" w:space="0" w:color="auto"/>
        <w:right w:val="none" w:sz="0" w:space="0" w:color="auto"/>
      </w:divBdr>
    </w:div>
    <w:div w:id="753673536">
      <w:bodyDiv w:val="1"/>
      <w:marLeft w:val="0"/>
      <w:marRight w:val="0"/>
      <w:marTop w:val="0"/>
      <w:marBottom w:val="0"/>
      <w:divBdr>
        <w:top w:val="none" w:sz="0" w:space="0" w:color="auto"/>
        <w:left w:val="none" w:sz="0" w:space="0" w:color="auto"/>
        <w:bottom w:val="none" w:sz="0" w:space="0" w:color="auto"/>
        <w:right w:val="none" w:sz="0" w:space="0" w:color="auto"/>
      </w:divBdr>
    </w:div>
    <w:div w:id="764956181">
      <w:bodyDiv w:val="1"/>
      <w:marLeft w:val="0"/>
      <w:marRight w:val="0"/>
      <w:marTop w:val="0"/>
      <w:marBottom w:val="0"/>
      <w:divBdr>
        <w:top w:val="none" w:sz="0" w:space="0" w:color="auto"/>
        <w:left w:val="none" w:sz="0" w:space="0" w:color="auto"/>
        <w:bottom w:val="none" w:sz="0" w:space="0" w:color="auto"/>
        <w:right w:val="none" w:sz="0" w:space="0" w:color="auto"/>
      </w:divBdr>
    </w:div>
    <w:div w:id="772212075">
      <w:bodyDiv w:val="1"/>
      <w:marLeft w:val="0"/>
      <w:marRight w:val="0"/>
      <w:marTop w:val="0"/>
      <w:marBottom w:val="0"/>
      <w:divBdr>
        <w:top w:val="none" w:sz="0" w:space="0" w:color="auto"/>
        <w:left w:val="none" w:sz="0" w:space="0" w:color="auto"/>
        <w:bottom w:val="none" w:sz="0" w:space="0" w:color="auto"/>
        <w:right w:val="none" w:sz="0" w:space="0" w:color="auto"/>
      </w:divBdr>
    </w:div>
    <w:div w:id="774248403">
      <w:bodyDiv w:val="1"/>
      <w:marLeft w:val="0"/>
      <w:marRight w:val="0"/>
      <w:marTop w:val="0"/>
      <w:marBottom w:val="0"/>
      <w:divBdr>
        <w:top w:val="none" w:sz="0" w:space="0" w:color="auto"/>
        <w:left w:val="none" w:sz="0" w:space="0" w:color="auto"/>
        <w:bottom w:val="none" w:sz="0" w:space="0" w:color="auto"/>
        <w:right w:val="none" w:sz="0" w:space="0" w:color="auto"/>
      </w:divBdr>
    </w:div>
    <w:div w:id="797525976">
      <w:bodyDiv w:val="1"/>
      <w:marLeft w:val="0"/>
      <w:marRight w:val="0"/>
      <w:marTop w:val="0"/>
      <w:marBottom w:val="0"/>
      <w:divBdr>
        <w:top w:val="none" w:sz="0" w:space="0" w:color="auto"/>
        <w:left w:val="none" w:sz="0" w:space="0" w:color="auto"/>
        <w:bottom w:val="none" w:sz="0" w:space="0" w:color="auto"/>
        <w:right w:val="none" w:sz="0" w:space="0" w:color="auto"/>
      </w:divBdr>
    </w:div>
    <w:div w:id="799811325">
      <w:bodyDiv w:val="1"/>
      <w:marLeft w:val="0"/>
      <w:marRight w:val="0"/>
      <w:marTop w:val="0"/>
      <w:marBottom w:val="0"/>
      <w:divBdr>
        <w:top w:val="none" w:sz="0" w:space="0" w:color="auto"/>
        <w:left w:val="none" w:sz="0" w:space="0" w:color="auto"/>
        <w:bottom w:val="none" w:sz="0" w:space="0" w:color="auto"/>
        <w:right w:val="none" w:sz="0" w:space="0" w:color="auto"/>
      </w:divBdr>
    </w:div>
    <w:div w:id="802041443">
      <w:bodyDiv w:val="1"/>
      <w:marLeft w:val="0"/>
      <w:marRight w:val="0"/>
      <w:marTop w:val="0"/>
      <w:marBottom w:val="0"/>
      <w:divBdr>
        <w:top w:val="none" w:sz="0" w:space="0" w:color="auto"/>
        <w:left w:val="none" w:sz="0" w:space="0" w:color="auto"/>
        <w:bottom w:val="none" w:sz="0" w:space="0" w:color="auto"/>
        <w:right w:val="none" w:sz="0" w:space="0" w:color="auto"/>
      </w:divBdr>
    </w:div>
    <w:div w:id="804390224">
      <w:bodyDiv w:val="1"/>
      <w:marLeft w:val="0"/>
      <w:marRight w:val="0"/>
      <w:marTop w:val="0"/>
      <w:marBottom w:val="0"/>
      <w:divBdr>
        <w:top w:val="none" w:sz="0" w:space="0" w:color="auto"/>
        <w:left w:val="none" w:sz="0" w:space="0" w:color="auto"/>
        <w:bottom w:val="none" w:sz="0" w:space="0" w:color="auto"/>
        <w:right w:val="none" w:sz="0" w:space="0" w:color="auto"/>
      </w:divBdr>
    </w:div>
    <w:div w:id="806043783">
      <w:bodyDiv w:val="1"/>
      <w:marLeft w:val="0"/>
      <w:marRight w:val="0"/>
      <w:marTop w:val="0"/>
      <w:marBottom w:val="0"/>
      <w:divBdr>
        <w:top w:val="none" w:sz="0" w:space="0" w:color="auto"/>
        <w:left w:val="none" w:sz="0" w:space="0" w:color="auto"/>
        <w:bottom w:val="none" w:sz="0" w:space="0" w:color="auto"/>
        <w:right w:val="none" w:sz="0" w:space="0" w:color="auto"/>
      </w:divBdr>
    </w:div>
    <w:div w:id="809250671">
      <w:bodyDiv w:val="1"/>
      <w:marLeft w:val="0"/>
      <w:marRight w:val="0"/>
      <w:marTop w:val="0"/>
      <w:marBottom w:val="0"/>
      <w:divBdr>
        <w:top w:val="none" w:sz="0" w:space="0" w:color="auto"/>
        <w:left w:val="none" w:sz="0" w:space="0" w:color="auto"/>
        <w:bottom w:val="none" w:sz="0" w:space="0" w:color="auto"/>
        <w:right w:val="none" w:sz="0" w:space="0" w:color="auto"/>
      </w:divBdr>
    </w:div>
    <w:div w:id="813109953">
      <w:bodyDiv w:val="1"/>
      <w:marLeft w:val="0"/>
      <w:marRight w:val="0"/>
      <w:marTop w:val="0"/>
      <w:marBottom w:val="0"/>
      <w:divBdr>
        <w:top w:val="none" w:sz="0" w:space="0" w:color="auto"/>
        <w:left w:val="none" w:sz="0" w:space="0" w:color="auto"/>
        <w:bottom w:val="none" w:sz="0" w:space="0" w:color="auto"/>
        <w:right w:val="none" w:sz="0" w:space="0" w:color="auto"/>
      </w:divBdr>
    </w:div>
    <w:div w:id="819662841">
      <w:bodyDiv w:val="1"/>
      <w:marLeft w:val="0"/>
      <w:marRight w:val="0"/>
      <w:marTop w:val="0"/>
      <w:marBottom w:val="0"/>
      <w:divBdr>
        <w:top w:val="none" w:sz="0" w:space="0" w:color="auto"/>
        <w:left w:val="none" w:sz="0" w:space="0" w:color="auto"/>
        <w:bottom w:val="none" w:sz="0" w:space="0" w:color="auto"/>
        <w:right w:val="none" w:sz="0" w:space="0" w:color="auto"/>
      </w:divBdr>
    </w:div>
    <w:div w:id="825048080">
      <w:bodyDiv w:val="1"/>
      <w:marLeft w:val="0"/>
      <w:marRight w:val="0"/>
      <w:marTop w:val="0"/>
      <w:marBottom w:val="0"/>
      <w:divBdr>
        <w:top w:val="none" w:sz="0" w:space="0" w:color="auto"/>
        <w:left w:val="none" w:sz="0" w:space="0" w:color="auto"/>
        <w:bottom w:val="none" w:sz="0" w:space="0" w:color="auto"/>
        <w:right w:val="none" w:sz="0" w:space="0" w:color="auto"/>
      </w:divBdr>
    </w:div>
    <w:div w:id="825051972">
      <w:bodyDiv w:val="1"/>
      <w:marLeft w:val="0"/>
      <w:marRight w:val="0"/>
      <w:marTop w:val="0"/>
      <w:marBottom w:val="0"/>
      <w:divBdr>
        <w:top w:val="none" w:sz="0" w:space="0" w:color="auto"/>
        <w:left w:val="none" w:sz="0" w:space="0" w:color="auto"/>
        <w:bottom w:val="none" w:sz="0" w:space="0" w:color="auto"/>
        <w:right w:val="none" w:sz="0" w:space="0" w:color="auto"/>
      </w:divBdr>
    </w:div>
    <w:div w:id="826701405">
      <w:bodyDiv w:val="1"/>
      <w:marLeft w:val="0"/>
      <w:marRight w:val="0"/>
      <w:marTop w:val="0"/>
      <w:marBottom w:val="0"/>
      <w:divBdr>
        <w:top w:val="none" w:sz="0" w:space="0" w:color="auto"/>
        <w:left w:val="none" w:sz="0" w:space="0" w:color="auto"/>
        <w:bottom w:val="none" w:sz="0" w:space="0" w:color="auto"/>
        <w:right w:val="none" w:sz="0" w:space="0" w:color="auto"/>
      </w:divBdr>
    </w:div>
    <w:div w:id="837160462">
      <w:bodyDiv w:val="1"/>
      <w:marLeft w:val="0"/>
      <w:marRight w:val="0"/>
      <w:marTop w:val="0"/>
      <w:marBottom w:val="0"/>
      <w:divBdr>
        <w:top w:val="none" w:sz="0" w:space="0" w:color="auto"/>
        <w:left w:val="none" w:sz="0" w:space="0" w:color="auto"/>
        <w:bottom w:val="none" w:sz="0" w:space="0" w:color="auto"/>
        <w:right w:val="none" w:sz="0" w:space="0" w:color="auto"/>
      </w:divBdr>
    </w:div>
    <w:div w:id="852375248">
      <w:bodyDiv w:val="1"/>
      <w:marLeft w:val="0"/>
      <w:marRight w:val="0"/>
      <w:marTop w:val="0"/>
      <w:marBottom w:val="0"/>
      <w:divBdr>
        <w:top w:val="none" w:sz="0" w:space="0" w:color="auto"/>
        <w:left w:val="none" w:sz="0" w:space="0" w:color="auto"/>
        <w:bottom w:val="none" w:sz="0" w:space="0" w:color="auto"/>
        <w:right w:val="none" w:sz="0" w:space="0" w:color="auto"/>
      </w:divBdr>
    </w:div>
    <w:div w:id="852690125">
      <w:bodyDiv w:val="1"/>
      <w:marLeft w:val="0"/>
      <w:marRight w:val="0"/>
      <w:marTop w:val="0"/>
      <w:marBottom w:val="0"/>
      <w:divBdr>
        <w:top w:val="none" w:sz="0" w:space="0" w:color="auto"/>
        <w:left w:val="none" w:sz="0" w:space="0" w:color="auto"/>
        <w:bottom w:val="none" w:sz="0" w:space="0" w:color="auto"/>
        <w:right w:val="none" w:sz="0" w:space="0" w:color="auto"/>
      </w:divBdr>
    </w:div>
    <w:div w:id="853345307">
      <w:bodyDiv w:val="1"/>
      <w:marLeft w:val="0"/>
      <w:marRight w:val="0"/>
      <w:marTop w:val="0"/>
      <w:marBottom w:val="0"/>
      <w:divBdr>
        <w:top w:val="none" w:sz="0" w:space="0" w:color="auto"/>
        <w:left w:val="none" w:sz="0" w:space="0" w:color="auto"/>
        <w:bottom w:val="none" w:sz="0" w:space="0" w:color="auto"/>
        <w:right w:val="none" w:sz="0" w:space="0" w:color="auto"/>
      </w:divBdr>
    </w:div>
    <w:div w:id="860435343">
      <w:bodyDiv w:val="1"/>
      <w:marLeft w:val="0"/>
      <w:marRight w:val="0"/>
      <w:marTop w:val="0"/>
      <w:marBottom w:val="0"/>
      <w:divBdr>
        <w:top w:val="none" w:sz="0" w:space="0" w:color="auto"/>
        <w:left w:val="none" w:sz="0" w:space="0" w:color="auto"/>
        <w:bottom w:val="none" w:sz="0" w:space="0" w:color="auto"/>
        <w:right w:val="none" w:sz="0" w:space="0" w:color="auto"/>
      </w:divBdr>
    </w:div>
    <w:div w:id="868108765">
      <w:bodyDiv w:val="1"/>
      <w:marLeft w:val="0"/>
      <w:marRight w:val="0"/>
      <w:marTop w:val="0"/>
      <w:marBottom w:val="0"/>
      <w:divBdr>
        <w:top w:val="none" w:sz="0" w:space="0" w:color="auto"/>
        <w:left w:val="none" w:sz="0" w:space="0" w:color="auto"/>
        <w:bottom w:val="none" w:sz="0" w:space="0" w:color="auto"/>
        <w:right w:val="none" w:sz="0" w:space="0" w:color="auto"/>
      </w:divBdr>
    </w:div>
    <w:div w:id="870528645">
      <w:bodyDiv w:val="1"/>
      <w:marLeft w:val="0"/>
      <w:marRight w:val="0"/>
      <w:marTop w:val="0"/>
      <w:marBottom w:val="0"/>
      <w:divBdr>
        <w:top w:val="none" w:sz="0" w:space="0" w:color="auto"/>
        <w:left w:val="none" w:sz="0" w:space="0" w:color="auto"/>
        <w:bottom w:val="none" w:sz="0" w:space="0" w:color="auto"/>
        <w:right w:val="none" w:sz="0" w:space="0" w:color="auto"/>
      </w:divBdr>
    </w:div>
    <w:div w:id="883904684">
      <w:bodyDiv w:val="1"/>
      <w:marLeft w:val="0"/>
      <w:marRight w:val="0"/>
      <w:marTop w:val="0"/>
      <w:marBottom w:val="0"/>
      <w:divBdr>
        <w:top w:val="none" w:sz="0" w:space="0" w:color="auto"/>
        <w:left w:val="none" w:sz="0" w:space="0" w:color="auto"/>
        <w:bottom w:val="none" w:sz="0" w:space="0" w:color="auto"/>
        <w:right w:val="none" w:sz="0" w:space="0" w:color="auto"/>
      </w:divBdr>
    </w:div>
    <w:div w:id="891618774">
      <w:bodyDiv w:val="1"/>
      <w:marLeft w:val="0"/>
      <w:marRight w:val="0"/>
      <w:marTop w:val="0"/>
      <w:marBottom w:val="0"/>
      <w:divBdr>
        <w:top w:val="none" w:sz="0" w:space="0" w:color="auto"/>
        <w:left w:val="none" w:sz="0" w:space="0" w:color="auto"/>
        <w:bottom w:val="none" w:sz="0" w:space="0" w:color="auto"/>
        <w:right w:val="none" w:sz="0" w:space="0" w:color="auto"/>
      </w:divBdr>
    </w:div>
    <w:div w:id="896864625">
      <w:bodyDiv w:val="1"/>
      <w:marLeft w:val="0"/>
      <w:marRight w:val="0"/>
      <w:marTop w:val="0"/>
      <w:marBottom w:val="0"/>
      <w:divBdr>
        <w:top w:val="none" w:sz="0" w:space="0" w:color="auto"/>
        <w:left w:val="none" w:sz="0" w:space="0" w:color="auto"/>
        <w:bottom w:val="none" w:sz="0" w:space="0" w:color="auto"/>
        <w:right w:val="none" w:sz="0" w:space="0" w:color="auto"/>
      </w:divBdr>
    </w:div>
    <w:div w:id="902450416">
      <w:bodyDiv w:val="1"/>
      <w:marLeft w:val="0"/>
      <w:marRight w:val="0"/>
      <w:marTop w:val="0"/>
      <w:marBottom w:val="0"/>
      <w:divBdr>
        <w:top w:val="none" w:sz="0" w:space="0" w:color="auto"/>
        <w:left w:val="none" w:sz="0" w:space="0" w:color="auto"/>
        <w:bottom w:val="none" w:sz="0" w:space="0" w:color="auto"/>
        <w:right w:val="none" w:sz="0" w:space="0" w:color="auto"/>
      </w:divBdr>
    </w:div>
    <w:div w:id="904879953">
      <w:bodyDiv w:val="1"/>
      <w:marLeft w:val="0"/>
      <w:marRight w:val="0"/>
      <w:marTop w:val="0"/>
      <w:marBottom w:val="0"/>
      <w:divBdr>
        <w:top w:val="none" w:sz="0" w:space="0" w:color="auto"/>
        <w:left w:val="none" w:sz="0" w:space="0" w:color="auto"/>
        <w:bottom w:val="none" w:sz="0" w:space="0" w:color="auto"/>
        <w:right w:val="none" w:sz="0" w:space="0" w:color="auto"/>
      </w:divBdr>
    </w:div>
    <w:div w:id="909775209">
      <w:bodyDiv w:val="1"/>
      <w:marLeft w:val="0"/>
      <w:marRight w:val="0"/>
      <w:marTop w:val="0"/>
      <w:marBottom w:val="0"/>
      <w:divBdr>
        <w:top w:val="none" w:sz="0" w:space="0" w:color="auto"/>
        <w:left w:val="none" w:sz="0" w:space="0" w:color="auto"/>
        <w:bottom w:val="none" w:sz="0" w:space="0" w:color="auto"/>
        <w:right w:val="none" w:sz="0" w:space="0" w:color="auto"/>
      </w:divBdr>
    </w:div>
    <w:div w:id="919561147">
      <w:bodyDiv w:val="1"/>
      <w:marLeft w:val="0"/>
      <w:marRight w:val="0"/>
      <w:marTop w:val="0"/>
      <w:marBottom w:val="0"/>
      <w:divBdr>
        <w:top w:val="none" w:sz="0" w:space="0" w:color="auto"/>
        <w:left w:val="none" w:sz="0" w:space="0" w:color="auto"/>
        <w:bottom w:val="none" w:sz="0" w:space="0" w:color="auto"/>
        <w:right w:val="none" w:sz="0" w:space="0" w:color="auto"/>
      </w:divBdr>
    </w:div>
    <w:div w:id="928780822">
      <w:bodyDiv w:val="1"/>
      <w:marLeft w:val="0"/>
      <w:marRight w:val="0"/>
      <w:marTop w:val="0"/>
      <w:marBottom w:val="0"/>
      <w:divBdr>
        <w:top w:val="none" w:sz="0" w:space="0" w:color="auto"/>
        <w:left w:val="none" w:sz="0" w:space="0" w:color="auto"/>
        <w:bottom w:val="none" w:sz="0" w:space="0" w:color="auto"/>
        <w:right w:val="none" w:sz="0" w:space="0" w:color="auto"/>
      </w:divBdr>
    </w:div>
    <w:div w:id="932518957">
      <w:bodyDiv w:val="1"/>
      <w:marLeft w:val="0"/>
      <w:marRight w:val="0"/>
      <w:marTop w:val="0"/>
      <w:marBottom w:val="0"/>
      <w:divBdr>
        <w:top w:val="none" w:sz="0" w:space="0" w:color="auto"/>
        <w:left w:val="none" w:sz="0" w:space="0" w:color="auto"/>
        <w:bottom w:val="none" w:sz="0" w:space="0" w:color="auto"/>
        <w:right w:val="none" w:sz="0" w:space="0" w:color="auto"/>
      </w:divBdr>
    </w:div>
    <w:div w:id="934703068">
      <w:bodyDiv w:val="1"/>
      <w:marLeft w:val="0"/>
      <w:marRight w:val="0"/>
      <w:marTop w:val="0"/>
      <w:marBottom w:val="0"/>
      <w:divBdr>
        <w:top w:val="none" w:sz="0" w:space="0" w:color="auto"/>
        <w:left w:val="none" w:sz="0" w:space="0" w:color="auto"/>
        <w:bottom w:val="none" w:sz="0" w:space="0" w:color="auto"/>
        <w:right w:val="none" w:sz="0" w:space="0" w:color="auto"/>
      </w:divBdr>
    </w:div>
    <w:div w:id="940450303">
      <w:bodyDiv w:val="1"/>
      <w:marLeft w:val="0"/>
      <w:marRight w:val="0"/>
      <w:marTop w:val="0"/>
      <w:marBottom w:val="0"/>
      <w:divBdr>
        <w:top w:val="none" w:sz="0" w:space="0" w:color="auto"/>
        <w:left w:val="none" w:sz="0" w:space="0" w:color="auto"/>
        <w:bottom w:val="none" w:sz="0" w:space="0" w:color="auto"/>
        <w:right w:val="none" w:sz="0" w:space="0" w:color="auto"/>
      </w:divBdr>
    </w:div>
    <w:div w:id="945112798">
      <w:bodyDiv w:val="1"/>
      <w:marLeft w:val="0"/>
      <w:marRight w:val="0"/>
      <w:marTop w:val="0"/>
      <w:marBottom w:val="0"/>
      <w:divBdr>
        <w:top w:val="none" w:sz="0" w:space="0" w:color="auto"/>
        <w:left w:val="none" w:sz="0" w:space="0" w:color="auto"/>
        <w:bottom w:val="none" w:sz="0" w:space="0" w:color="auto"/>
        <w:right w:val="none" w:sz="0" w:space="0" w:color="auto"/>
      </w:divBdr>
    </w:div>
    <w:div w:id="962611176">
      <w:bodyDiv w:val="1"/>
      <w:marLeft w:val="0"/>
      <w:marRight w:val="0"/>
      <w:marTop w:val="0"/>
      <w:marBottom w:val="0"/>
      <w:divBdr>
        <w:top w:val="none" w:sz="0" w:space="0" w:color="auto"/>
        <w:left w:val="none" w:sz="0" w:space="0" w:color="auto"/>
        <w:bottom w:val="none" w:sz="0" w:space="0" w:color="auto"/>
        <w:right w:val="none" w:sz="0" w:space="0" w:color="auto"/>
      </w:divBdr>
    </w:div>
    <w:div w:id="965047475">
      <w:bodyDiv w:val="1"/>
      <w:marLeft w:val="0"/>
      <w:marRight w:val="0"/>
      <w:marTop w:val="0"/>
      <w:marBottom w:val="0"/>
      <w:divBdr>
        <w:top w:val="none" w:sz="0" w:space="0" w:color="auto"/>
        <w:left w:val="none" w:sz="0" w:space="0" w:color="auto"/>
        <w:bottom w:val="none" w:sz="0" w:space="0" w:color="auto"/>
        <w:right w:val="none" w:sz="0" w:space="0" w:color="auto"/>
      </w:divBdr>
    </w:div>
    <w:div w:id="970401290">
      <w:bodyDiv w:val="1"/>
      <w:marLeft w:val="0"/>
      <w:marRight w:val="0"/>
      <w:marTop w:val="0"/>
      <w:marBottom w:val="0"/>
      <w:divBdr>
        <w:top w:val="none" w:sz="0" w:space="0" w:color="auto"/>
        <w:left w:val="none" w:sz="0" w:space="0" w:color="auto"/>
        <w:bottom w:val="none" w:sz="0" w:space="0" w:color="auto"/>
        <w:right w:val="none" w:sz="0" w:space="0" w:color="auto"/>
      </w:divBdr>
    </w:div>
    <w:div w:id="970402521">
      <w:bodyDiv w:val="1"/>
      <w:marLeft w:val="0"/>
      <w:marRight w:val="0"/>
      <w:marTop w:val="0"/>
      <w:marBottom w:val="0"/>
      <w:divBdr>
        <w:top w:val="none" w:sz="0" w:space="0" w:color="auto"/>
        <w:left w:val="none" w:sz="0" w:space="0" w:color="auto"/>
        <w:bottom w:val="none" w:sz="0" w:space="0" w:color="auto"/>
        <w:right w:val="none" w:sz="0" w:space="0" w:color="auto"/>
      </w:divBdr>
    </w:div>
    <w:div w:id="971247270">
      <w:bodyDiv w:val="1"/>
      <w:marLeft w:val="0"/>
      <w:marRight w:val="0"/>
      <w:marTop w:val="0"/>
      <w:marBottom w:val="0"/>
      <w:divBdr>
        <w:top w:val="none" w:sz="0" w:space="0" w:color="auto"/>
        <w:left w:val="none" w:sz="0" w:space="0" w:color="auto"/>
        <w:bottom w:val="none" w:sz="0" w:space="0" w:color="auto"/>
        <w:right w:val="none" w:sz="0" w:space="0" w:color="auto"/>
      </w:divBdr>
    </w:div>
    <w:div w:id="973219517">
      <w:bodyDiv w:val="1"/>
      <w:marLeft w:val="0"/>
      <w:marRight w:val="0"/>
      <w:marTop w:val="0"/>
      <w:marBottom w:val="0"/>
      <w:divBdr>
        <w:top w:val="none" w:sz="0" w:space="0" w:color="auto"/>
        <w:left w:val="none" w:sz="0" w:space="0" w:color="auto"/>
        <w:bottom w:val="none" w:sz="0" w:space="0" w:color="auto"/>
        <w:right w:val="none" w:sz="0" w:space="0" w:color="auto"/>
      </w:divBdr>
    </w:div>
    <w:div w:id="974987474">
      <w:bodyDiv w:val="1"/>
      <w:marLeft w:val="0"/>
      <w:marRight w:val="0"/>
      <w:marTop w:val="0"/>
      <w:marBottom w:val="0"/>
      <w:divBdr>
        <w:top w:val="none" w:sz="0" w:space="0" w:color="auto"/>
        <w:left w:val="none" w:sz="0" w:space="0" w:color="auto"/>
        <w:bottom w:val="none" w:sz="0" w:space="0" w:color="auto"/>
        <w:right w:val="none" w:sz="0" w:space="0" w:color="auto"/>
      </w:divBdr>
    </w:div>
    <w:div w:id="975641207">
      <w:bodyDiv w:val="1"/>
      <w:marLeft w:val="0"/>
      <w:marRight w:val="0"/>
      <w:marTop w:val="0"/>
      <w:marBottom w:val="0"/>
      <w:divBdr>
        <w:top w:val="none" w:sz="0" w:space="0" w:color="auto"/>
        <w:left w:val="none" w:sz="0" w:space="0" w:color="auto"/>
        <w:bottom w:val="none" w:sz="0" w:space="0" w:color="auto"/>
        <w:right w:val="none" w:sz="0" w:space="0" w:color="auto"/>
      </w:divBdr>
    </w:div>
    <w:div w:id="981544993">
      <w:bodyDiv w:val="1"/>
      <w:marLeft w:val="0"/>
      <w:marRight w:val="0"/>
      <w:marTop w:val="0"/>
      <w:marBottom w:val="0"/>
      <w:divBdr>
        <w:top w:val="none" w:sz="0" w:space="0" w:color="auto"/>
        <w:left w:val="none" w:sz="0" w:space="0" w:color="auto"/>
        <w:bottom w:val="none" w:sz="0" w:space="0" w:color="auto"/>
        <w:right w:val="none" w:sz="0" w:space="0" w:color="auto"/>
      </w:divBdr>
    </w:div>
    <w:div w:id="984971772">
      <w:bodyDiv w:val="1"/>
      <w:marLeft w:val="0"/>
      <w:marRight w:val="0"/>
      <w:marTop w:val="0"/>
      <w:marBottom w:val="0"/>
      <w:divBdr>
        <w:top w:val="none" w:sz="0" w:space="0" w:color="auto"/>
        <w:left w:val="none" w:sz="0" w:space="0" w:color="auto"/>
        <w:bottom w:val="none" w:sz="0" w:space="0" w:color="auto"/>
        <w:right w:val="none" w:sz="0" w:space="0" w:color="auto"/>
      </w:divBdr>
    </w:div>
    <w:div w:id="993874780">
      <w:bodyDiv w:val="1"/>
      <w:marLeft w:val="0"/>
      <w:marRight w:val="0"/>
      <w:marTop w:val="0"/>
      <w:marBottom w:val="0"/>
      <w:divBdr>
        <w:top w:val="none" w:sz="0" w:space="0" w:color="auto"/>
        <w:left w:val="none" w:sz="0" w:space="0" w:color="auto"/>
        <w:bottom w:val="none" w:sz="0" w:space="0" w:color="auto"/>
        <w:right w:val="none" w:sz="0" w:space="0" w:color="auto"/>
      </w:divBdr>
    </w:div>
    <w:div w:id="995382209">
      <w:bodyDiv w:val="1"/>
      <w:marLeft w:val="0"/>
      <w:marRight w:val="0"/>
      <w:marTop w:val="0"/>
      <w:marBottom w:val="0"/>
      <w:divBdr>
        <w:top w:val="none" w:sz="0" w:space="0" w:color="auto"/>
        <w:left w:val="none" w:sz="0" w:space="0" w:color="auto"/>
        <w:bottom w:val="none" w:sz="0" w:space="0" w:color="auto"/>
        <w:right w:val="none" w:sz="0" w:space="0" w:color="auto"/>
      </w:divBdr>
    </w:div>
    <w:div w:id="1004164473">
      <w:bodyDiv w:val="1"/>
      <w:marLeft w:val="0"/>
      <w:marRight w:val="0"/>
      <w:marTop w:val="0"/>
      <w:marBottom w:val="0"/>
      <w:divBdr>
        <w:top w:val="none" w:sz="0" w:space="0" w:color="auto"/>
        <w:left w:val="none" w:sz="0" w:space="0" w:color="auto"/>
        <w:bottom w:val="none" w:sz="0" w:space="0" w:color="auto"/>
        <w:right w:val="none" w:sz="0" w:space="0" w:color="auto"/>
      </w:divBdr>
    </w:div>
    <w:div w:id="1004938930">
      <w:bodyDiv w:val="1"/>
      <w:marLeft w:val="0"/>
      <w:marRight w:val="0"/>
      <w:marTop w:val="0"/>
      <w:marBottom w:val="0"/>
      <w:divBdr>
        <w:top w:val="none" w:sz="0" w:space="0" w:color="auto"/>
        <w:left w:val="none" w:sz="0" w:space="0" w:color="auto"/>
        <w:bottom w:val="none" w:sz="0" w:space="0" w:color="auto"/>
        <w:right w:val="none" w:sz="0" w:space="0" w:color="auto"/>
      </w:divBdr>
    </w:div>
    <w:div w:id="1007440215">
      <w:bodyDiv w:val="1"/>
      <w:marLeft w:val="0"/>
      <w:marRight w:val="0"/>
      <w:marTop w:val="0"/>
      <w:marBottom w:val="0"/>
      <w:divBdr>
        <w:top w:val="none" w:sz="0" w:space="0" w:color="auto"/>
        <w:left w:val="none" w:sz="0" w:space="0" w:color="auto"/>
        <w:bottom w:val="none" w:sz="0" w:space="0" w:color="auto"/>
        <w:right w:val="none" w:sz="0" w:space="0" w:color="auto"/>
      </w:divBdr>
    </w:div>
    <w:div w:id="1010988827">
      <w:bodyDiv w:val="1"/>
      <w:marLeft w:val="0"/>
      <w:marRight w:val="0"/>
      <w:marTop w:val="0"/>
      <w:marBottom w:val="0"/>
      <w:divBdr>
        <w:top w:val="none" w:sz="0" w:space="0" w:color="auto"/>
        <w:left w:val="none" w:sz="0" w:space="0" w:color="auto"/>
        <w:bottom w:val="none" w:sz="0" w:space="0" w:color="auto"/>
        <w:right w:val="none" w:sz="0" w:space="0" w:color="auto"/>
      </w:divBdr>
    </w:div>
    <w:div w:id="1013530263">
      <w:bodyDiv w:val="1"/>
      <w:marLeft w:val="0"/>
      <w:marRight w:val="0"/>
      <w:marTop w:val="0"/>
      <w:marBottom w:val="0"/>
      <w:divBdr>
        <w:top w:val="none" w:sz="0" w:space="0" w:color="auto"/>
        <w:left w:val="none" w:sz="0" w:space="0" w:color="auto"/>
        <w:bottom w:val="none" w:sz="0" w:space="0" w:color="auto"/>
        <w:right w:val="none" w:sz="0" w:space="0" w:color="auto"/>
      </w:divBdr>
    </w:div>
    <w:div w:id="1013797659">
      <w:bodyDiv w:val="1"/>
      <w:marLeft w:val="0"/>
      <w:marRight w:val="0"/>
      <w:marTop w:val="0"/>
      <w:marBottom w:val="0"/>
      <w:divBdr>
        <w:top w:val="none" w:sz="0" w:space="0" w:color="auto"/>
        <w:left w:val="none" w:sz="0" w:space="0" w:color="auto"/>
        <w:bottom w:val="none" w:sz="0" w:space="0" w:color="auto"/>
        <w:right w:val="none" w:sz="0" w:space="0" w:color="auto"/>
      </w:divBdr>
    </w:div>
    <w:div w:id="1022781579">
      <w:bodyDiv w:val="1"/>
      <w:marLeft w:val="0"/>
      <w:marRight w:val="0"/>
      <w:marTop w:val="0"/>
      <w:marBottom w:val="0"/>
      <w:divBdr>
        <w:top w:val="none" w:sz="0" w:space="0" w:color="auto"/>
        <w:left w:val="none" w:sz="0" w:space="0" w:color="auto"/>
        <w:bottom w:val="none" w:sz="0" w:space="0" w:color="auto"/>
        <w:right w:val="none" w:sz="0" w:space="0" w:color="auto"/>
      </w:divBdr>
    </w:div>
    <w:div w:id="1024357901">
      <w:bodyDiv w:val="1"/>
      <w:marLeft w:val="0"/>
      <w:marRight w:val="0"/>
      <w:marTop w:val="0"/>
      <w:marBottom w:val="0"/>
      <w:divBdr>
        <w:top w:val="none" w:sz="0" w:space="0" w:color="auto"/>
        <w:left w:val="none" w:sz="0" w:space="0" w:color="auto"/>
        <w:bottom w:val="none" w:sz="0" w:space="0" w:color="auto"/>
        <w:right w:val="none" w:sz="0" w:space="0" w:color="auto"/>
      </w:divBdr>
    </w:div>
    <w:div w:id="1030496413">
      <w:bodyDiv w:val="1"/>
      <w:marLeft w:val="0"/>
      <w:marRight w:val="0"/>
      <w:marTop w:val="0"/>
      <w:marBottom w:val="0"/>
      <w:divBdr>
        <w:top w:val="none" w:sz="0" w:space="0" w:color="auto"/>
        <w:left w:val="none" w:sz="0" w:space="0" w:color="auto"/>
        <w:bottom w:val="none" w:sz="0" w:space="0" w:color="auto"/>
        <w:right w:val="none" w:sz="0" w:space="0" w:color="auto"/>
      </w:divBdr>
    </w:div>
    <w:div w:id="1033194195">
      <w:bodyDiv w:val="1"/>
      <w:marLeft w:val="0"/>
      <w:marRight w:val="0"/>
      <w:marTop w:val="0"/>
      <w:marBottom w:val="0"/>
      <w:divBdr>
        <w:top w:val="none" w:sz="0" w:space="0" w:color="auto"/>
        <w:left w:val="none" w:sz="0" w:space="0" w:color="auto"/>
        <w:bottom w:val="none" w:sz="0" w:space="0" w:color="auto"/>
        <w:right w:val="none" w:sz="0" w:space="0" w:color="auto"/>
      </w:divBdr>
    </w:div>
    <w:div w:id="1039165858">
      <w:bodyDiv w:val="1"/>
      <w:marLeft w:val="0"/>
      <w:marRight w:val="0"/>
      <w:marTop w:val="0"/>
      <w:marBottom w:val="0"/>
      <w:divBdr>
        <w:top w:val="none" w:sz="0" w:space="0" w:color="auto"/>
        <w:left w:val="none" w:sz="0" w:space="0" w:color="auto"/>
        <w:bottom w:val="none" w:sz="0" w:space="0" w:color="auto"/>
        <w:right w:val="none" w:sz="0" w:space="0" w:color="auto"/>
      </w:divBdr>
    </w:div>
    <w:div w:id="1040515714">
      <w:bodyDiv w:val="1"/>
      <w:marLeft w:val="0"/>
      <w:marRight w:val="0"/>
      <w:marTop w:val="0"/>
      <w:marBottom w:val="0"/>
      <w:divBdr>
        <w:top w:val="none" w:sz="0" w:space="0" w:color="auto"/>
        <w:left w:val="none" w:sz="0" w:space="0" w:color="auto"/>
        <w:bottom w:val="none" w:sz="0" w:space="0" w:color="auto"/>
        <w:right w:val="none" w:sz="0" w:space="0" w:color="auto"/>
      </w:divBdr>
    </w:div>
    <w:div w:id="1040982126">
      <w:bodyDiv w:val="1"/>
      <w:marLeft w:val="0"/>
      <w:marRight w:val="0"/>
      <w:marTop w:val="0"/>
      <w:marBottom w:val="0"/>
      <w:divBdr>
        <w:top w:val="none" w:sz="0" w:space="0" w:color="auto"/>
        <w:left w:val="none" w:sz="0" w:space="0" w:color="auto"/>
        <w:bottom w:val="none" w:sz="0" w:space="0" w:color="auto"/>
        <w:right w:val="none" w:sz="0" w:space="0" w:color="auto"/>
      </w:divBdr>
    </w:div>
    <w:div w:id="1041132176">
      <w:bodyDiv w:val="1"/>
      <w:marLeft w:val="0"/>
      <w:marRight w:val="0"/>
      <w:marTop w:val="0"/>
      <w:marBottom w:val="0"/>
      <w:divBdr>
        <w:top w:val="none" w:sz="0" w:space="0" w:color="auto"/>
        <w:left w:val="none" w:sz="0" w:space="0" w:color="auto"/>
        <w:bottom w:val="none" w:sz="0" w:space="0" w:color="auto"/>
        <w:right w:val="none" w:sz="0" w:space="0" w:color="auto"/>
      </w:divBdr>
    </w:div>
    <w:div w:id="1043794169">
      <w:bodyDiv w:val="1"/>
      <w:marLeft w:val="0"/>
      <w:marRight w:val="0"/>
      <w:marTop w:val="0"/>
      <w:marBottom w:val="0"/>
      <w:divBdr>
        <w:top w:val="none" w:sz="0" w:space="0" w:color="auto"/>
        <w:left w:val="none" w:sz="0" w:space="0" w:color="auto"/>
        <w:bottom w:val="none" w:sz="0" w:space="0" w:color="auto"/>
        <w:right w:val="none" w:sz="0" w:space="0" w:color="auto"/>
      </w:divBdr>
    </w:div>
    <w:div w:id="1049302401">
      <w:bodyDiv w:val="1"/>
      <w:marLeft w:val="0"/>
      <w:marRight w:val="0"/>
      <w:marTop w:val="0"/>
      <w:marBottom w:val="0"/>
      <w:divBdr>
        <w:top w:val="none" w:sz="0" w:space="0" w:color="auto"/>
        <w:left w:val="none" w:sz="0" w:space="0" w:color="auto"/>
        <w:bottom w:val="none" w:sz="0" w:space="0" w:color="auto"/>
        <w:right w:val="none" w:sz="0" w:space="0" w:color="auto"/>
      </w:divBdr>
    </w:div>
    <w:div w:id="1050618506">
      <w:bodyDiv w:val="1"/>
      <w:marLeft w:val="0"/>
      <w:marRight w:val="0"/>
      <w:marTop w:val="0"/>
      <w:marBottom w:val="0"/>
      <w:divBdr>
        <w:top w:val="none" w:sz="0" w:space="0" w:color="auto"/>
        <w:left w:val="none" w:sz="0" w:space="0" w:color="auto"/>
        <w:bottom w:val="none" w:sz="0" w:space="0" w:color="auto"/>
        <w:right w:val="none" w:sz="0" w:space="0" w:color="auto"/>
      </w:divBdr>
    </w:div>
    <w:div w:id="1051809876">
      <w:bodyDiv w:val="1"/>
      <w:marLeft w:val="0"/>
      <w:marRight w:val="0"/>
      <w:marTop w:val="0"/>
      <w:marBottom w:val="0"/>
      <w:divBdr>
        <w:top w:val="none" w:sz="0" w:space="0" w:color="auto"/>
        <w:left w:val="none" w:sz="0" w:space="0" w:color="auto"/>
        <w:bottom w:val="none" w:sz="0" w:space="0" w:color="auto"/>
        <w:right w:val="none" w:sz="0" w:space="0" w:color="auto"/>
      </w:divBdr>
    </w:div>
    <w:div w:id="1057703932">
      <w:bodyDiv w:val="1"/>
      <w:marLeft w:val="0"/>
      <w:marRight w:val="0"/>
      <w:marTop w:val="0"/>
      <w:marBottom w:val="0"/>
      <w:divBdr>
        <w:top w:val="none" w:sz="0" w:space="0" w:color="auto"/>
        <w:left w:val="none" w:sz="0" w:space="0" w:color="auto"/>
        <w:bottom w:val="none" w:sz="0" w:space="0" w:color="auto"/>
        <w:right w:val="none" w:sz="0" w:space="0" w:color="auto"/>
      </w:divBdr>
    </w:div>
    <w:div w:id="1063598924">
      <w:bodyDiv w:val="1"/>
      <w:marLeft w:val="0"/>
      <w:marRight w:val="0"/>
      <w:marTop w:val="0"/>
      <w:marBottom w:val="0"/>
      <w:divBdr>
        <w:top w:val="none" w:sz="0" w:space="0" w:color="auto"/>
        <w:left w:val="none" w:sz="0" w:space="0" w:color="auto"/>
        <w:bottom w:val="none" w:sz="0" w:space="0" w:color="auto"/>
        <w:right w:val="none" w:sz="0" w:space="0" w:color="auto"/>
      </w:divBdr>
    </w:div>
    <w:div w:id="1073233972">
      <w:bodyDiv w:val="1"/>
      <w:marLeft w:val="0"/>
      <w:marRight w:val="0"/>
      <w:marTop w:val="0"/>
      <w:marBottom w:val="0"/>
      <w:divBdr>
        <w:top w:val="none" w:sz="0" w:space="0" w:color="auto"/>
        <w:left w:val="none" w:sz="0" w:space="0" w:color="auto"/>
        <w:bottom w:val="none" w:sz="0" w:space="0" w:color="auto"/>
        <w:right w:val="none" w:sz="0" w:space="0" w:color="auto"/>
      </w:divBdr>
    </w:div>
    <w:div w:id="1079253886">
      <w:bodyDiv w:val="1"/>
      <w:marLeft w:val="0"/>
      <w:marRight w:val="0"/>
      <w:marTop w:val="0"/>
      <w:marBottom w:val="0"/>
      <w:divBdr>
        <w:top w:val="none" w:sz="0" w:space="0" w:color="auto"/>
        <w:left w:val="none" w:sz="0" w:space="0" w:color="auto"/>
        <w:bottom w:val="none" w:sz="0" w:space="0" w:color="auto"/>
        <w:right w:val="none" w:sz="0" w:space="0" w:color="auto"/>
      </w:divBdr>
    </w:div>
    <w:div w:id="1089931193">
      <w:bodyDiv w:val="1"/>
      <w:marLeft w:val="0"/>
      <w:marRight w:val="0"/>
      <w:marTop w:val="0"/>
      <w:marBottom w:val="0"/>
      <w:divBdr>
        <w:top w:val="none" w:sz="0" w:space="0" w:color="auto"/>
        <w:left w:val="none" w:sz="0" w:space="0" w:color="auto"/>
        <w:bottom w:val="none" w:sz="0" w:space="0" w:color="auto"/>
        <w:right w:val="none" w:sz="0" w:space="0" w:color="auto"/>
      </w:divBdr>
    </w:div>
    <w:div w:id="1090931418">
      <w:bodyDiv w:val="1"/>
      <w:marLeft w:val="0"/>
      <w:marRight w:val="0"/>
      <w:marTop w:val="0"/>
      <w:marBottom w:val="0"/>
      <w:divBdr>
        <w:top w:val="none" w:sz="0" w:space="0" w:color="auto"/>
        <w:left w:val="none" w:sz="0" w:space="0" w:color="auto"/>
        <w:bottom w:val="none" w:sz="0" w:space="0" w:color="auto"/>
        <w:right w:val="none" w:sz="0" w:space="0" w:color="auto"/>
      </w:divBdr>
    </w:div>
    <w:div w:id="1096173700">
      <w:bodyDiv w:val="1"/>
      <w:marLeft w:val="0"/>
      <w:marRight w:val="0"/>
      <w:marTop w:val="0"/>
      <w:marBottom w:val="0"/>
      <w:divBdr>
        <w:top w:val="none" w:sz="0" w:space="0" w:color="auto"/>
        <w:left w:val="none" w:sz="0" w:space="0" w:color="auto"/>
        <w:bottom w:val="none" w:sz="0" w:space="0" w:color="auto"/>
        <w:right w:val="none" w:sz="0" w:space="0" w:color="auto"/>
      </w:divBdr>
    </w:div>
    <w:div w:id="1097405840">
      <w:bodyDiv w:val="1"/>
      <w:marLeft w:val="0"/>
      <w:marRight w:val="0"/>
      <w:marTop w:val="0"/>
      <w:marBottom w:val="0"/>
      <w:divBdr>
        <w:top w:val="none" w:sz="0" w:space="0" w:color="auto"/>
        <w:left w:val="none" w:sz="0" w:space="0" w:color="auto"/>
        <w:bottom w:val="none" w:sz="0" w:space="0" w:color="auto"/>
        <w:right w:val="none" w:sz="0" w:space="0" w:color="auto"/>
      </w:divBdr>
    </w:div>
    <w:div w:id="1110009982">
      <w:bodyDiv w:val="1"/>
      <w:marLeft w:val="0"/>
      <w:marRight w:val="0"/>
      <w:marTop w:val="0"/>
      <w:marBottom w:val="0"/>
      <w:divBdr>
        <w:top w:val="none" w:sz="0" w:space="0" w:color="auto"/>
        <w:left w:val="none" w:sz="0" w:space="0" w:color="auto"/>
        <w:bottom w:val="none" w:sz="0" w:space="0" w:color="auto"/>
        <w:right w:val="none" w:sz="0" w:space="0" w:color="auto"/>
      </w:divBdr>
    </w:div>
    <w:div w:id="1112939704">
      <w:bodyDiv w:val="1"/>
      <w:marLeft w:val="0"/>
      <w:marRight w:val="0"/>
      <w:marTop w:val="0"/>
      <w:marBottom w:val="0"/>
      <w:divBdr>
        <w:top w:val="none" w:sz="0" w:space="0" w:color="auto"/>
        <w:left w:val="none" w:sz="0" w:space="0" w:color="auto"/>
        <w:bottom w:val="none" w:sz="0" w:space="0" w:color="auto"/>
        <w:right w:val="none" w:sz="0" w:space="0" w:color="auto"/>
      </w:divBdr>
    </w:div>
    <w:div w:id="1126504254">
      <w:bodyDiv w:val="1"/>
      <w:marLeft w:val="0"/>
      <w:marRight w:val="0"/>
      <w:marTop w:val="0"/>
      <w:marBottom w:val="0"/>
      <w:divBdr>
        <w:top w:val="none" w:sz="0" w:space="0" w:color="auto"/>
        <w:left w:val="none" w:sz="0" w:space="0" w:color="auto"/>
        <w:bottom w:val="none" w:sz="0" w:space="0" w:color="auto"/>
        <w:right w:val="none" w:sz="0" w:space="0" w:color="auto"/>
      </w:divBdr>
    </w:div>
    <w:div w:id="1132215593">
      <w:bodyDiv w:val="1"/>
      <w:marLeft w:val="0"/>
      <w:marRight w:val="0"/>
      <w:marTop w:val="0"/>
      <w:marBottom w:val="0"/>
      <w:divBdr>
        <w:top w:val="none" w:sz="0" w:space="0" w:color="auto"/>
        <w:left w:val="none" w:sz="0" w:space="0" w:color="auto"/>
        <w:bottom w:val="none" w:sz="0" w:space="0" w:color="auto"/>
        <w:right w:val="none" w:sz="0" w:space="0" w:color="auto"/>
      </w:divBdr>
    </w:div>
    <w:div w:id="1132291327">
      <w:bodyDiv w:val="1"/>
      <w:marLeft w:val="0"/>
      <w:marRight w:val="0"/>
      <w:marTop w:val="0"/>
      <w:marBottom w:val="0"/>
      <w:divBdr>
        <w:top w:val="none" w:sz="0" w:space="0" w:color="auto"/>
        <w:left w:val="none" w:sz="0" w:space="0" w:color="auto"/>
        <w:bottom w:val="none" w:sz="0" w:space="0" w:color="auto"/>
        <w:right w:val="none" w:sz="0" w:space="0" w:color="auto"/>
      </w:divBdr>
    </w:div>
    <w:div w:id="1133445925">
      <w:bodyDiv w:val="1"/>
      <w:marLeft w:val="0"/>
      <w:marRight w:val="0"/>
      <w:marTop w:val="0"/>
      <w:marBottom w:val="0"/>
      <w:divBdr>
        <w:top w:val="none" w:sz="0" w:space="0" w:color="auto"/>
        <w:left w:val="none" w:sz="0" w:space="0" w:color="auto"/>
        <w:bottom w:val="none" w:sz="0" w:space="0" w:color="auto"/>
        <w:right w:val="none" w:sz="0" w:space="0" w:color="auto"/>
      </w:divBdr>
    </w:div>
    <w:div w:id="1139348705">
      <w:bodyDiv w:val="1"/>
      <w:marLeft w:val="0"/>
      <w:marRight w:val="0"/>
      <w:marTop w:val="0"/>
      <w:marBottom w:val="0"/>
      <w:divBdr>
        <w:top w:val="none" w:sz="0" w:space="0" w:color="auto"/>
        <w:left w:val="none" w:sz="0" w:space="0" w:color="auto"/>
        <w:bottom w:val="none" w:sz="0" w:space="0" w:color="auto"/>
        <w:right w:val="none" w:sz="0" w:space="0" w:color="auto"/>
      </w:divBdr>
    </w:div>
    <w:div w:id="1143087365">
      <w:bodyDiv w:val="1"/>
      <w:marLeft w:val="0"/>
      <w:marRight w:val="0"/>
      <w:marTop w:val="0"/>
      <w:marBottom w:val="0"/>
      <w:divBdr>
        <w:top w:val="none" w:sz="0" w:space="0" w:color="auto"/>
        <w:left w:val="none" w:sz="0" w:space="0" w:color="auto"/>
        <w:bottom w:val="none" w:sz="0" w:space="0" w:color="auto"/>
        <w:right w:val="none" w:sz="0" w:space="0" w:color="auto"/>
      </w:divBdr>
    </w:div>
    <w:div w:id="1147212388">
      <w:bodyDiv w:val="1"/>
      <w:marLeft w:val="0"/>
      <w:marRight w:val="0"/>
      <w:marTop w:val="0"/>
      <w:marBottom w:val="0"/>
      <w:divBdr>
        <w:top w:val="none" w:sz="0" w:space="0" w:color="auto"/>
        <w:left w:val="none" w:sz="0" w:space="0" w:color="auto"/>
        <w:bottom w:val="none" w:sz="0" w:space="0" w:color="auto"/>
        <w:right w:val="none" w:sz="0" w:space="0" w:color="auto"/>
      </w:divBdr>
    </w:div>
    <w:div w:id="1149784797">
      <w:bodyDiv w:val="1"/>
      <w:marLeft w:val="0"/>
      <w:marRight w:val="0"/>
      <w:marTop w:val="0"/>
      <w:marBottom w:val="0"/>
      <w:divBdr>
        <w:top w:val="none" w:sz="0" w:space="0" w:color="auto"/>
        <w:left w:val="none" w:sz="0" w:space="0" w:color="auto"/>
        <w:bottom w:val="none" w:sz="0" w:space="0" w:color="auto"/>
        <w:right w:val="none" w:sz="0" w:space="0" w:color="auto"/>
      </w:divBdr>
    </w:div>
    <w:div w:id="1156385484">
      <w:bodyDiv w:val="1"/>
      <w:marLeft w:val="0"/>
      <w:marRight w:val="0"/>
      <w:marTop w:val="0"/>
      <w:marBottom w:val="0"/>
      <w:divBdr>
        <w:top w:val="none" w:sz="0" w:space="0" w:color="auto"/>
        <w:left w:val="none" w:sz="0" w:space="0" w:color="auto"/>
        <w:bottom w:val="none" w:sz="0" w:space="0" w:color="auto"/>
        <w:right w:val="none" w:sz="0" w:space="0" w:color="auto"/>
      </w:divBdr>
    </w:div>
    <w:div w:id="1157456789">
      <w:bodyDiv w:val="1"/>
      <w:marLeft w:val="0"/>
      <w:marRight w:val="0"/>
      <w:marTop w:val="0"/>
      <w:marBottom w:val="0"/>
      <w:divBdr>
        <w:top w:val="none" w:sz="0" w:space="0" w:color="auto"/>
        <w:left w:val="none" w:sz="0" w:space="0" w:color="auto"/>
        <w:bottom w:val="none" w:sz="0" w:space="0" w:color="auto"/>
        <w:right w:val="none" w:sz="0" w:space="0" w:color="auto"/>
      </w:divBdr>
    </w:div>
    <w:div w:id="1159344969">
      <w:bodyDiv w:val="1"/>
      <w:marLeft w:val="0"/>
      <w:marRight w:val="0"/>
      <w:marTop w:val="0"/>
      <w:marBottom w:val="0"/>
      <w:divBdr>
        <w:top w:val="none" w:sz="0" w:space="0" w:color="auto"/>
        <w:left w:val="none" w:sz="0" w:space="0" w:color="auto"/>
        <w:bottom w:val="none" w:sz="0" w:space="0" w:color="auto"/>
        <w:right w:val="none" w:sz="0" w:space="0" w:color="auto"/>
      </w:divBdr>
    </w:div>
    <w:div w:id="1161190515">
      <w:bodyDiv w:val="1"/>
      <w:marLeft w:val="0"/>
      <w:marRight w:val="0"/>
      <w:marTop w:val="0"/>
      <w:marBottom w:val="0"/>
      <w:divBdr>
        <w:top w:val="none" w:sz="0" w:space="0" w:color="auto"/>
        <w:left w:val="none" w:sz="0" w:space="0" w:color="auto"/>
        <w:bottom w:val="none" w:sz="0" w:space="0" w:color="auto"/>
        <w:right w:val="none" w:sz="0" w:space="0" w:color="auto"/>
      </w:divBdr>
    </w:div>
    <w:div w:id="1170681827">
      <w:bodyDiv w:val="1"/>
      <w:marLeft w:val="0"/>
      <w:marRight w:val="0"/>
      <w:marTop w:val="0"/>
      <w:marBottom w:val="0"/>
      <w:divBdr>
        <w:top w:val="none" w:sz="0" w:space="0" w:color="auto"/>
        <w:left w:val="none" w:sz="0" w:space="0" w:color="auto"/>
        <w:bottom w:val="none" w:sz="0" w:space="0" w:color="auto"/>
        <w:right w:val="none" w:sz="0" w:space="0" w:color="auto"/>
      </w:divBdr>
    </w:div>
    <w:div w:id="1172916146">
      <w:bodyDiv w:val="1"/>
      <w:marLeft w:val="0"/>
      <w:marRight w:val="0"/>
      <w:marTop w:val="0"/>
      <w:marBottom w:val="0"/>
      <w:divBdr>
        <w:top w:val="none" w:sz="0" w:space="0" w:color="auto"/>
        <w:left w:val="none" w:sz="0" w:space="0" w:color="auto"/>
        <w:bottom w:val="none" w:sz="0" w:space="0" w:color="auto"/>
        <w:right w:val="none" w:sz="0" w:space="0" w:color="auto"/>
      </w:divBdr>
    </w:div>
    <w:div w:id="1184707721">
      <w:bodyDiv w:val="1"/>
      <w:marLeft w:val="0"/>
      <w:marRight w:val="0"/>
      <w:marTop w:val="0"/>
      <w:marBottom w:val="0"/>
      <w:divBdr>
        <w:top w:val="none" w:sz="0" w:space="0" w:color="auto"/>
        <w:left w:val="none" w:sz="0" w:space="0" w:color="auto"/>
        <w:bottom w:val="none" w:sz="0" w:space="0" w:color="auto"/>
        <w:right w:val="none" w:sz="0" w:space="0" w:color="auto"/>
      </w:divBdr>
    </w:div>
    <w:div w:id="1185166538">
      <w:bodyDiv w:val="1"/>
      <w:marLeft w:val="0"/>
      <w:marRight w:val="0"/>
      <w:marTop w:val="0"/>
      <w:marBottom w:val="0"/>
      <w:divBdr>
        <w:top w:val="none" w:sz="0" w:space="0" w:color="auto"/>
        <w:left w:val="none" w:sz="0" w:space="0" w:color="auto"/>
        <w:bottom w:val="none" w:sz="0" w:space="0" w:color="auto"/>
        <w:right w:val="none" w:sz="0" w:space="0" w:color="auto"/>
      </w:divBdr>
    </w:div>
    <w:div w:id="1195537891">
      <w:bodyDiv w:val="1"/>
      <w:marLeft w:val="0"/>
      <w:marRight w:val="0"/>
      <w:marTop w:val="0"/>
      <w:marBottom w:val="0"/>
      <w:divBdr>
        <w:top w:val="none" w:sz="0" w:space="0" w:color="auto"/>
        <w:left w:val="none" w:sz="0" w:space="0" w:color="auto"/>
        <w:bottom w:val="none" w:sz="0" w:space="0" w:color="auto"/>
        <w:right w:val="none" w:sz="0" w:space="0" w:color="auto"/>
      </w:divBdr>
    </w:div>
    <w:div w:id="1197700324">
      <w:bodyDiv w:val="1"/>
      <w:marLeft w:val="0"/>
      <w:marRight w:val="0"/>
      <w:marTop w:val="0"/>
      <w:marBottom w:val="0"/>
      <w:divBdr>
        <w:top w:val="none" w:sz="0" w:space="0" w:color="auto"/>
        <w:left w:val="none" w:sz="0" w:space="0" w:color="auto"/>
        <w:bottom w:val="none" w:sz="0" w:space="0" w:color="auto"/>
        <w:right w:val="none" w:sz="0" w:space="0" w:color="auto"/>
      </w:divBdr>
    </w:div>
    <w:div w:id="1203252086">
      <w:bodyDiv w:val="1"/>
      <w:marLeft w:val="0"/>
      <w:marRight w:val="0"/>
      <w:marTop w:val="0"/>
      <w:marBottom w:val="0"/>
      <w:divBdr>
        <w:top w:val="none" w:sz="0" w:space="0" w:color="auto"/>
        <w:left w:val="none" w:sz="0" w:space="0" w:color="auto"/>
        <w:bottom w:val="none" w:sz="0" w:space="0" w:color="auto"/>
        <w:right w:val="none" w:sz="0" w:space="0" w:color="auto"/>
      </w:divBdr>
    </w:div>
    <w:div w:id="1203395864">
      <w:bodyDiv w:val="1"/>
      <w:marLeft w:val="0"/>
      <w:marRight w:val="0"/>
      <w:marTop w:val="0"/>
      <w:marBottom w:val="0"/>
      <w:divBdr>
        <w:top w:val="none" w:sz="0" w:space="0" w:color="auto"/>
        <w:left w:val="none" w:sz="0" w:space="0" w:color="auto"/>
        <w:bottom w:val="none" w:sz="0" w:space="0" w:color="auto"/>
        <w:right w:val="none" w:sz="0" w:space="0" w:color="auto"/>
      </w:divBdr>
    </w:div>
    <w:div w:id="1210605862">
      <w:bodyDiv w:val="1"/>
      <w:marLeft w:val="0"/>
      <w:marRight w:val="0"/>
      <w:marTop w:val="0"/>
      <w:marBottom w:val="0"/>
      <w:divBdr>
        <w:top w:val="none" w:sz="0" w:space="0" w:color="auto"/>
        <w:left w:val="none" w:sz="0" w:space="0" w:color="auto"/>
        <w:bottom w:val="none" w:sz="0" w:space="0" w:color="auto"/>
        <w:right w:val="none" w:sz="0" w:space="0" w:color="auto"/>
      </w:divBdr>
    </w:div>
    <w:div w:id="1213032929">
      <w:bodyDiv w:val="1"/>
      <w:marLeft w:val="0"/>
      <w:marRight w:val="0"/>
      <w:marTop w:val="0"/>
      <w:marBottom w:val="0"/>
      <w:divBdr>
        <w:top w:val="none" w:sz="0" w:space="0" w:color="auto"/>
        <w:left w:val="none" w:sz="0" w:space="0" w:color="auto"/>
        <w:bottom w:val="none" w:sz="0" w:space="0" w:color="auto"/>
        <w:right w:val="none" w:sz="0" w:space="0" w:color="auto"/>
      </w:divBdr>
    </w:div>
    <w:div w:id="1214345734">
      <w:bodyDiv w:val="1"/>
      <w:marLeft w:val="0"/>
      <w:marRight w:val="0"/>
      <w:marTop w:val="0"/>
      <w:marBottom w:val="0"/>
      <w:divBdr>
        <w:top w:val="none" w:sz="0" w:space="0" w:color="auto"/>
        <w:left w:val="none" w:sz="0" w:space="0" w:color="auto"/>
        <w:bottom w:val="none" w:sz="0" w:space="0" w:color="auto"/>
        <w:right w:val="none" w:sz="0" w:space="0" w:color="auto"/>
      </w:divBdr>
    </w:div>
    <w:div w:id="1215197886">
      <w:bodyDiv w:val="1"/>
      <w:marLeft w:val="0"/>
      <w:marRight w:val="0"/>
      <w:marTop w:val="0"/>
      <w:marBottom w:val="0"/>
      <w:divBdr>
        <w:top w:val="none" w:sz="0" w:space="0" w:color="auto"/>
        <w:left w:val="none" w:sz="0" w:space="0" w:color="auto"/>
        <w:bottom w:val="none" w:sz="0" w:space="0" w:color="auto"/>
        <w:right w:val="none" w:sz="0" w:space="0" w:color="auto"/>
      </w:divBdr>
    </w:div>
    <w:div w:id="1223298390">
      <w:bodyDiv w:val="1"/>
      <w:marLeft w:val="0"/>
      <w:marRight w:val="0"/>
      <w:marTop w:val="0"/>
      <w:marBottom w:val="0"/>
      <w:divBdr>
        <w:top w:val="none" w:sz="0" w:space="0" w:color="auto"/>
        <w:left w:val="none" w:sz="0" w:space="0" w:color="auto"/>
        <w:bottom w:val="none" w:sz="0" w:space="0" w:color="auto"/>
        <w:right w:val="none" w:sz="0" w:space="0" w:color="auto"/>
      </w:divBdr>
    </w:div>
    <w:div w:id="1234510821">
      <w:bodyDiv w:val="1"/>
      <w:marLeft w:val="0"/>
      <w:marRight w:val="0"/>
      <w:marTop w:val="0"/>
      <w:marBottom w:val="0"/>
      <w:divBdr>
        <w:top w:val="none" w:sz="0" w:space="0" w:color="auto"/>
        <w:left w:val="none" w:sz="0" w:space="0" w:color="auto"/>
        <w:bottom w:val="none" w:sz="0" w:space="0" w:color="auto"/>
        <w:right w:val="none" w:sz="0" w:space="0" w:color="auto"/>
      </w:divBdr>
    </w:div>
    <w:div w:id="1235353718">
      <w:bodyDiv w:val="1"/>
      <w:marLeft w:val="0"/>
      <w:marRight w:val="0"/>
      <w:marTop w:val="0"/>
      <w:marBottom w:val="0"/>
      <w:divBdr>
        <w:top w:val="none" w:sz="0" w:space="0" w:color="auto"/>
        <w:left w:val="none" w:sz="0" w:space="0" w:color="auto"/>
        <w:bottom w:val="none" w:sz="0" w:space="0" w:color="auto"/>
        <w:right w:val="none" w:sz="0" w:space="0" w:color="auto"/>
      </w:divBdr>
    </w:div>
    <w:div w:id="1247572623">
      <w:bodyDiv w:val="1"/>
      <w:marLeft w:val="0"/>
      <w:marRight w:val="0"/>
      <w:marTop w:val="0"/>
      <w:marBottom w:val="0"/>
      <w:divBdr>
        <w:top w:val="none" w:sz="0" w:space="0" w:color="auto"/>
        <w:left w:val="none" w:sz="0" w:space="0" w:color="auto"/>
        <w:bottom w:val="none" w:sz="0" w:space="0" w:color="auto"/>
        <w:right w:val="none" w:sz="0" w:space="0" w:color="auto"/>
      </w:divBdr>
    </w:div>
    <w:div w:id="1277299840">
      <w:bodyDiv w:val="1"/>
      <w:marLeft w:val="0"/>
      <w:marRight w:val="0"/>
      <w:marTop w:val="0"/>
      <w:marBottom w:val="0"/>
      <w:divBdr>
        <w:top w:val="none" w:sz="0" w:space="0" w:color="auto"/>
        <w:left w:val="none" w:sz="0" w:space="0" w:color="auto"/>
        <w:bottom w:val="none" w:sz="0" w:space="0" w:color="auto"/>
        <w:right w:val="none" w:sz="0" w:space="0" w:color="auto"/>
      </w:divBdr>
    </w:div>
    <w:div w:id="1285307044">
      <w:bodyDiv w:val="1"/>
      <w:marLeft w:val="0"/>
      <w:marRight w:val="0"/>
      <w:marTop w:val="0"/>
      <w:marBottom w:val="0"/>
      <w:divBdr>
        <w:top w:val="none" w:sz="0" w:space="0" w:color="auto"/>
        <w:left w:val="none" w:sz="0" w:space="0" w:color="auto"/>
        <w:bottom w:val="none" w:sz="0" w:space="0" w:color="auto"/>
        <w:right w:val="none" w:sz="0" w:space="0" w:color="auto"/>
      </w:divBdr>
    </w:div>
    <w:div w:id="1293487882">
      <w:bodyDiv w:val="1"/>
      <w:marLeft w:val="0"/>
      <w:marRight w:val="0"/>
      <w:marTop w:val="0"/>
      <w:marBottom w:val="0"/>
      <w:divBdr>
        <w:top w:val="none" w:sz="0" w:space="0" w:color="auto"/>
        <w:left w:val="none" w:sz="0" w:space="0" w:color="auto"/>
        <w:bottom w:val="none" w:sz="0" w:space="0" w:color="auto"/>
        <w:right w:val="none" w:sz="0" w:space="0" w:color="auto"/>
      </w:divBdr>
    </w:div>
    <w:div w:id="1294217780">
      <w:bodyDiv w:val="1"/>
      <w:marLeft w:val="0"/>
      <w:marRight w:val="0"/>
      <w:marTop w:val="0"/>
      <w:marBottom w:val="0"/>
      <w:divBdr>
        <w:top w:val="none" w:sz="0" w:space="0" w:color="auto"/>
        <w:left w:val="none" w:sz="0" w:space="0" w:color="auto"/>
        <w:bottom w:val="none" w:sz="0" w:space="0" w:color="auto"/>
        <w:right w:val="none" w:sz="0" w:space="0" w:color="auto"/>
      </w:divBdr>
    </w:div>
    <w:div w:id="1299799532">
      <w:bodyDiv w:val="1"/>
      <w:marLeft w:val="0"/>
      <w:marRight w:val="0"/>
      <w:marTop w:val="0"/>
      <w:marBottom w:val="0"/>
      <w:divBdr>
        <w:top w:val="none" w:sz="0" w:space="0" w:color="auto"/>
        <w:left w:val="none" w:sz="0" w:space="0" w:color="auto"/>
        <w:bottom w:val="none" w:sz="0" w:space="0" w:color="auto"/>
        <w:right w:val="none" w:sz="0" w:space="0" w:color="auto"/>
      </w:divBdr>
    </w:div>
    <w:div w:id="1300382944">
      <w:bodyDiv w:val="1"/>
      <w:marLeft w:val="0"/>
      <w:marRight w:val="0"/>
      <w:marTop w:val="0"/>
      <w:marBottom w:val="0"/>
      <w:divBdr>
        <w:top w:val="none" w:sz="0" w:space="0" w:color="auto"/>
        <w:left w:val="none" w:sz="0" w:space="0" w:color="auto"/>
        <w:bottom w:val="none" w:sz="0" w:space="0" w:color="auto"/>
        <w:right w:val="none" w:sz="0" w:space="0" w:color="auto"/>
      </w:divBdr>
    </w:div>
    <w:div w:id="1302617371">
      <w:bodyDiv w:val="1"/>
      <w:marLeft w:val="0"/>
      <w:marRight w:val="0"/>
      <w:marTop w:val="0"/>
      <w:marBottom w:val="0"/>
      <w:divBdr>
        <w:top w:val="none" w:sz="0" w:space="0" w:color="auto"/>
        <w:left w:val="none" w:sz="0" w:space="0" w:color="auto"/>
        <w:bottom w:val="none" w:sz="0" w:space="0" w:color="auto"/>
        <w:right w:val="none" w:sz="0" w:space="0" w:color="auto"/>
      </w:divBdr>
    </w:div>
    <w:div w:id="1303779141">
      <w:bodyDiv w:val="1"/>
      <w:marLeft w:val="0"/>
      <w:marRight w:val="0"/>
      <w:marTop w:val="0"/>
      <w:marBottom w:val="0"/>
      <w:divBdr>
        <w:top w:val="none" w:sz="0" w:space="0" w:color="auto"/>
        <w:left w:val="none" w:sz="0" w:space="0" w:color="auto"/>
        <w:bottom w:val="none" w:sz="0" w:space="0" w:color="auto"/>
        <w:right w:val="none" w:sz="0" w:space="0" w:color="auto"/>
      </w:divBdr>
    </w:div>
    <w:div w:id="1304625497">
      <w:bodyDiv w:val="1"/>
      <w:marLeft w:val="0"/>
      <w:marRight w:val="0"/>
      <w:marTop w:val="0"/>
      <w:marBottom w:val="0"/>
      <w:divBdr>
        <w:top w:val="none" w:sz="0" w:space="0" w:color="auto"/>
        <w:left w:val="none" w:sz="0" w:space="0" w:color="auto"/>
        <w:bottom w:val="none" w:sz="0" w:space="0" w:color="auto"/>
        <w:right w:val="none" w:sz="0" w:space="0" w:color="auto"/>
      </w:divBdr>
    </w:div>
    <w:div w:id="1307009958">
      <w:bodyDiv w:val="1"/>
      <w:marLeft w:val="0"/>
      <w:marRight w:val="0"/>
      <w:marTop w:val="0"/>
      <w:marBottom w:val="0"/>
      <w:divBdr>
        <w:top w:val="none" w:sz="0" w:space="0" w:color="auto"/>
        <w:left w:val="none" w:sz="0" w:space="0" w:color="auto"/>
        <w:bottom w:val="none" w:sz="0" w:space="0" w:color="auto"/>
        <w:right w:val="none" w:sz="0" w:space="0" w:color="auto"/>
      </w:divBdr>
      <w:divsChild>
        <w:div w:id="1447889302">
          <w:marLeft w:val="0"/>
          <w:marRight w:val="0"/>
          <w:marTop w:val="0"/>
          <w:marBottom w:val="0"/>
          <w:divBdr>
            <w:top w:val="none" w:sz="0" w:space="0" w:color="auto"/>
            <w:left w:val="none" w:sz="0" w:space="0" w:color="auto"/>
            <w:bottom w:val="none" w:sz="0" w:space="0" w:color="auto"/>
            <w:right w:val="none" w:sz="0" w:space="0" w:color="auto"/>
          </w:divBdr>
          <w:divsChild>
            <w:div w:id="1529440973">
              <w:marLeft w:val="0"/>
              <w:marRight w:val="0"/>
              <w:marTop w:val="0"/>
              <w:marBottom w:val="0"/>
              <w:divBdr>
                <w:top w:val="none" w:sz="0" w:space="0" w:color="auto"/>
                <w:left w:val="none" w:sz="0" w:space="0" w:color="auto"/>
                <w:bottom w:val="none" w:sz="0" w:space="0" w:color="auto"/>
                <w:right w:val="none" w:sz="0" w:space="0" w:color="auto"/>
              </w:divBdr>
              <w:divsChild>
                <w:div w:id="1295596967">
                  <w:marLeft w:val="0"/>
                  <w:marRight w:val="0"/>
                  <w:marTop w:val="0"/>
                  <w:marBottom w:val="0"/>
                  <w:divBdr>
                    <w:top w:val="none" w:sz="0" w:space="0" w:color="auto"/>
                    <w:left w:val="none" w:sz="0" w:space="0" w:color="auto"/>
                    <w:bottom w:val="none" w:sz="0" w:space="0" w:color="auto"/>
                    <w:right w:val="none" w:sz="0" w:space="0" w:color="auto"/>
                  </w:divBdr>
                  <w:divsChild>
                    <w:div w:id="1567455296">
                      <w:marLeft w:val="0"/>
                      <w:marRight w:val="0"/>
                      <w:marTop w:val="0"/>
                      <w:marBottom w:val="0"/>
                      <w:divBdr>
                        <w:top w:val="none" w:sz="0" w:space="0" w:color="auto"/>
                        <w:left w:val="none" w:sz="0" w:space="0" w:color="auto"/>
                        <w:bottom w:val="none" w:sz="0" w:space="0" w:color="auto"/>
                        <w:right w:val="none" w:sz="0" w:space="0" w:color="auto"/>
                      </w:divBdr>
                      <w:divsChild>
                        <w:div w:id="2078280187">
                          <w:marLeft w:val="0"/>
                          <w:marRight w:val="0"/>
                          <w:marTop w:val="0"/>
                          <w:marBottom w:val="0"/>
                          <w:divBdr>
                            <w:top w:val="none" w:sz="0" w:space="0" w:color="auto"/>
                            <w:left w:val="none" w:sz="0" w:space="0" w:color="auto"/>
                            <w:bottom w:val="none" w:sz="0" w:space="0" w:color="auto"/>
                            <w:right w:val="none" w:sz="0" w:space="0" w:color="auto"/>
                          </w:divBdr>
                          <w:divsChild>
                            <w:div w:id="78284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400003">
          <w:marLeft w:val="0"/>
          <w:marRight w:val="0"/>
          <w:marTop w:val="0"/>
          <w:marBottom w:val="0"/>
          <w:divBdr>
            <w:top w:val="none" w:sz="0" w:space="0" w:color="auto"/>
            <w:left w:val="none" w:sz="0" w:space="0" w:color="auto"/>
            <w:bottom w:val="none" w:sz="0" w:space="0" w:color="auto"/>
            <w:right w:val="none" w:sz="0" w:space="0" w:color="auto"/>
          </w:divBdr>
          <w:divsChild>
            <w:div w:id="269826910">
              <w:marLeft w:val="0"/>
              <w:marRight w:val="0"/>
              <w:marTop w:val="0"/>
              <w:marBottom w:val="0"/>
              <w:divBdr>
                <w:top w:val="none" w:sz="0" w:space="0" w:color="auto"/>
                <w:left w:val="none" w:sz="0" w:space="0" w:color="auto"/>
                <w:bottom w:val="none" w:sz="0" w:space="0" w:color="auto"/>
                <w:right w:val="none" w:sz="0" w:space="0" w:color="auto"/>
              </w:divBdr>
              <w:divsChild>
                <w:div w:id="1972976895">
                  <w:marLeft w:val="0"/>
                  <w:marRight w:val="0"/>
                  <w:marTop w:val="0"/>
                  <w:marBottom w:val="0"/>
                  <w:divBdr>
                    <w:top w:val="none" w:sz="0" w:space="0" w:color="auto"/>
                    <w:left w:val="none" w:sz="0" w:space="0" w:color="auto"/>
                    <w:bottom w:val="none" w:sz="0" w:space="0" w:color="auto"/>
                    <w:right w:val="none" w:sz="0" w:space="0" w:color="auto"/>
                  </w:divBdr>
                  <w:divsChild>
                    <w:div w:id="455954350">
                      <w:marLeft w:val="0"/>
                      <w:marRight w:val="0"/>
                      <w:marTop w:val="0"/>
                      <w:marBottom w:val="0"/>
                      <w:divBdr>
                        <w:top w:val="none" w:sz="0" w:space="0" w:color="auto"/>
                        <w:left w:val="none" w:sz="0" w:space="0" w:color="auto"/>
                        <w:bottom w:val="none" w:sz="0" w:space="0" w:color="auto"/>
                        <w:right w:val="none" w:sz="0" w:space="0" w:color="auto"/>
                      </w:divBdr>
                      <w:divsChild>
                        <w:div w:id="1333415725">
                          <w:marLeft w:val="0"/>
                          <w:marRight w:val="0"/>
                          <w:marTop w:val="0"/>
                          <w:marBottom w:val="0"/>
                          <w:divBdr>
                            <w:top w:val="none" w:sz="0" w:space="0" w:color="auto"/>
                            <w:left w:val="none" w:sz="0" w:space="0" w:color="auto"/>
                            <w:bottom w:val="none" w:sz="0" w:space="0" w:color="auto"/>
                            <w:right w:val="none" w:sz="0" w:space="0" w:color="auto"/>
                          </w:divBdr>
                          <w:divsChild>
                            <w:div w:id="580679584">
                              <w:marLeft w:val="300"/>
                              <w:marRight w:val="0"/>
                              <w:marTop w:val="0"/>
                              <w:marBottom w:val="0"/>
                              <w:divBdr>
                                <w:top w:val="none" w:sz="0" w:space="0" w:color="auto"/>
                                <w:left w:val="none" w:sz="0" w:space="0" w:color="auto"/>
                                <w:bottom w:val="none" w:sz="0" w:space="0" w:color="auto"/>
                                <w:right w:val="none" w:sz="0" w:space="0" w:color="auto"/>
                              </w:divBdr>
                              <w:divsChild>
                                <w:div w:id="1334642693">
                                  <w:marLeft w:val="0"/>
                                  <w:marRight w:val="0"/>
                                  <w:marTop w:val="0"/>
                                  <w:marBottom w:val="0"/>
                                  <w:divBdr>
                                    <w:top w:val="none" w:sz="0" w:space="0" w:color="auto"/>
                                    <w:left w:val="none" w:sz="0" w:space="0" w:color="auto"/>
                                    <w:bottom w:val="none" w:sz="0" w:space="0" w:color="auto"/>
                                    <w:right w:val="none" w:sz="0" w:space="0" w:color="auto"/>
                                  </w:divBdr>
                                  <w:divsChild>
                                    <w:div w:id="743187948">
                                      <w:marLeft w:val="0"/>
                                      <w:marRight w:val="0"/>
                                      <w:marTop w:val="0"/>
                                      <w:marBottom w:val="0"/>
                                      <w:divBdr>
                                        <w:top w:val="none" w:sz="0" w:space="0" w:color="auto"/>
                                        <w:left w:val="none" w:sz="0" w:space="0" w:color="auto"/>
                                        <w:bottom w:val="none" w:sz="0" w:space="0" w:color="auto"/>
                                        <w:right w:val="none" w:sz="0" w:space="0" w:color="auto"/>
                                      </w:divBdr>
                                      <w:divsChild>
                                        <w:div w:id="143738649">
                                          <w:marLeft w:val="0"/>
                                          <w:marRight w:val="0"/>
                                          <w:marTop w:val="0"/>
                                          <w:marBottom w:val="0"/>
                                          <w:divBdr>
                                            <w:top w:val="none" w:sz="0" w:space="0" w:color="auto"/>
                                            <w:left w:val="none" w:sz="0" w:space="0" w:color="auto"/>
                                            <w:bottom w:val="none" w:sz="0" w:space="0" w:color="auto"/>
                                            <w:right w:val="none" w:sz="0" w:space="0" w:color="auto"/>
                                          </w:divBdr>
                                          <w:divsChild>
                                            <w:div w:id="1132555659">
                                              <w:marLeft w:val="0"/>
                                              <w:marRight w:val="0"/>
                                              <w:marTop w:val="0"/>
                                              <w:marBottom w:val="0"/>
                                              <w:divBdr>
                                                <w:top w:val="none" w:sz="0" w:space="0" w:color="auto"/>
                                                <w:left w:val="none" w:sz="0" w:space="0" w:color="auto"/>
                                                <w:bottom w:val="none" w:sz="0" w:space="0" w:color="auto"/>
                                                <w:right w:val="none" w:sz="0" w:space="0" w:color="auto"/>
                                              </w:divBdr>
                                              <w:divsChild>
                                                <w:div w:id="1410038888">
                                                  <w:marLeft w:val="0"/>
                                                  <w:marRight w:val="0"/>
                                                  <w:marTop w:val="0"/>
                                                  <w:marBottom w:val="0"/>
                                                  <w:divBdr>
                                                    <w:top w:val="none" w:sz="0" w:space="0" w:color="auto"/>
                                                    <w:left w:val="none" w:sz="0" w:space="0" w:color="auto"/>
                                                    <w:bottom w:val="none" w:sz="0" w:space="0" w:color="auto"/>
                                                    <w:right w:val="none" w:sz="0" w:space="0" w:color="auto"/>
                                                  </w:divBdr>
                                                  <w:divsChild>
                                                    <w:div w:id="306473326">
                                                      <w:marLeft w:val="0"/>
                                                      <w:marRight w:val="0"/>
                                                      <w:marTop w:val="0"/>
                                                      <w:marBottom w:val="0"/>
                                                      <w:divBdr>
                                                        <w:top w:val="none" w:sz="0" w:space="0" w:color="auto"/>
                                                        <w:left w:val="none" w:sz="0" w:space="0" w:color="auto"/>
                                                        <w:bottom w:val="none" w:sz="0" w:space="0" w:color="auto"/>
                                                        <w:right w:val="none" w:sz="0" w:space="0" w:color="auto"/>
                                                      </w:divBdr>
                                                      <w:divsChild>
                                                        <w:div w:id="1507549491">
                                                          <w:marLeft w:val="0"/>
                                                          <w:marRight w:val="0"/>
                                                          <w:marTop w:val="0"/>
                                                          <w:marBottom w:val="0"/>
                                                          <w:divBdr>
                                                            <w:top w:val="none" w:sz="0" w:space="0" w:color="auto"/>
                                                            <w:left w:val="none" w:sz="0" w:space="0" w:color="auto"/>
                                                            <w:bottom w:val="none" w:sz="0" w:space="0" w:color="auto"/>
                                                            <w:right w:val="none" w:sz="0" w:space="0" w:color="auto"/>
                                                          </w:divBdr>
                                                          <w:divsChild>
                                                            <w:div w:id="88503146">
                                                              <w:marLeft w:val="0"/>
                                                              <w:marRight w:val="0"/>
                                                              <w:marTop w:val="0"/>
                                                              <w:marBottom w:val="0"/>
                                                              <w:divBdr>
                                                                <w:top w:val="none" w:sz="0" w:space="0" w:color="auto"/>
                                                                <w:left w:val="none" w:sz="0" w:space="0" w:color="auto"/>
                                                                <w:bottom w:val="none" w:sz="0" w:space="0" w:color="auto"/>
                                                                <w:right w:val="none" w:sz="0" w:space="0" w:color="auto"/>
                                                              </w:divBdr>
                                                              <w:divsChild>
                                                                <w:div w:id="2080398172">
                                                                  <w:marLeft w:val="0"/>
                                                                  <w:marRight w:val="0"/>
                                                                  <w:marTop w:val="0"/>
                                                                  <w:marBottom w:val="0"/>
                                                                  <w:divBdr>
                                                                    <w:top w:val="none" w:sz="0" w:space="0" w:color="auto"/>
                                                                    <w:left w:val="none" w:sz="0" w:space="0" w:color="auto"/>
                                                                    <w:bottom w:val="none" w:sz="0" w:space="0" w:color="auto"/>
                                                                    <w:right w:val="none" w:sz="0" w:space="0" w:color="auto"/>
                                                                  </w:divBdr>
                                                                  <w:divsChild>
                                                                    <w:div w:id="535237396">
                                                                      <w:marLeft w:val="0"/>
                                                                      <w:marRight w:val="0"/>
                                                                      <w:marTop w:val="0"/>
                                                                      <w:marBottom w:val="0"/>
                                                                      <w:divBdr>
                                                                        <w:top w:val="none" w:sz="0" w:space="0" w:color="auto"/>
                                                                        <w:left w:val="none" w:sz="0" w:space="0" w:color="auto"/>
                                                                        <w:bottom w:val="none" w:sz="0" w:space="0" w:color="auto"/>
                                                                        <w:right w:val="none" w:sz="0" w:space="0" w:color="auto"/>
                                                                      </w:divBdr>
                                                                      <w:divsChild>
                                                                        <w:div w:id="121682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07082503">
      <w:bodyDiv w:val="1"/>
      <w:marLeft w:val="0"/>
      <w:marRight w:val="0"/>
      <w:marTop w:val="0"/>
      <w:marBottom w:val="0"/>
      <w:divBdr>
        <w:top w:val="none" w:sz="0" w:space="0" w:color="auto"/>
        <w:left w:val="none" w:sz="0" w:space="0" w:color="auto"/>
        <w:bottom w:val="none" w:sz="0" w:space="0" w:color="auto"/>
        <w:right w:val="none" w:sz="0" w:space="0" w:color="auto"/>
      </w:divBdr>
    </w:div>
    <w:div w:id="1307125605">
      <w:bodyDiv w:val="1"/>
      <w:marLeft w:val="0"/>
      <w:marRight w:val="0"/>
      <w:marTop w:val="0"/>
      <w:marBottom w:val="0"/>
      <w:divBdr>
        <w:top w:val="none" w:sz="0" w:space="0" w:color="auto"/>
        <w:left w:val="none" w:sz="0" w:space="0" w:color="auto"/>
        <w:bottom w:val="none" w:sz="0" w:space="0" w:color="auto"/>
        <w:right w:val="none" w:sz="0" w:space="0" w:color="auto"/>
      </w:divBdr>
    </w:div>
    <w:div w:id="1308704749">
      <w:bodyDiv w:val="1"/>
      <w:marLeft w:val="0"/>
      <w:marRight w:val="0"/>
      <w:marTop w:val="0"/>
      <w:marBottom w:val="0"/>
      <w:divBdr>
        <w:top w:val="none" w:sz="0" w:space="0" w:color="auto"/>
        <w:left w:val="none" w:sz="0" w:space="0" w:color="auto"/>
        <w:bottom w:val="none" w:sz="0" w:space="0" w:color="auto"/>
        <w:right w:val="none" w:sz="0" w:space="0" w:color="auto"/>
      </w:divBdr>
    </w:div>
    <w:div w:id="1310555477">
      <w:bodyDiv w:val="1"/>
      <w:marLeft w:val="0"/>
      <w:marRight w:val="0"/>
      <w:marTop w:val="0"/>
      <w:marBottom w:val="0"/>
      <w:divBdr>
        <w:top w:val="none" w:sz="0" w:space="0" w:color="auto"/>
        <w:left w:val="none" w:sz="0" w:space="0" w:color="auto"/>
        <w:bottom w:val="none" w:sz="0" w:space="0" w:color="auto"/>
        <w:right w:val="none" w:sz="0" w:space="0" w:color="auto"/>
      </w:divBdr>
    </w:div>
    <w:div w:id="1312906198">
      <w:bodyDiv w:val="1"/>
      <w:marLeft w:val="0"/>
      <w:marRight w:val="0"/>
      <w:marTop w:val="0"/>
      <w:marBottom w:val="0"/>
      <w:divBdr>
        <w:top w:val="none" w:sz="0" w:space="0" w:color="auto"/>
        <w:left w:val="none" w:sz="0" w:space="0" w:color="auto"/>
        <w:bottom w:val="none" w:sz="0" w:space="0" w:color="auto"/>
        <w:right w:val="none" w:sz="0" w:space="0" w:color="auto"/>
      </w:divBdr>
    </w:div>
    <w:div w:id="1322151312">
      <w:bodyDiv w:val="1"/>
      <w:marLeft w:val="0"/>
      <w:marRight w:val="0"/>
      <w:marTop w:val="0"/>
      <w:marBottom w:val="0"/>
      <w:divBdr>
        <w:top w:val="none" w:sz="0" w:space="0" w:color="auto"/>
        <w:left w:val="none" w:sz="0" w:space="0" w:color="auto"/>
        <w:bottom w:val="none" w:sz="0" w:space="0" w:color="auto"/>
        <w:right w:val="none" w:sz="0" w:space="0" w:color="auto"/>
      </w:divBdr>
    </w:div>
    <w:div w:id="1323118439">
      <w:bodyDiv w:val="1"/>
      <w:marLeft w:val="0"/>
      <w:marRight w:val="0"/>
      <w:marTop w:val="0"/>
      <w:marBottom w:val="0"/>
      <w:divBdr>
        <w:top w:val="none" w:sz="0" w:space="0" w:color="auto"/>
        <w:left w:val="none" w:sz="0" w:space="0" w:color="auto"/>
        <w:bottom w:val="none" w:sz="0" w:space="0" w:color="auto"/>
        <w:right w:val="none" w:sz="0" w:space="0" w:color="auto"/>
      </w:divBdr>
    </w:div>
    <w:div w:id="1324579097">
      <w:bodyDiv w:val="1"/>
      <w:marLeft w:val="0"/>
      <w:marRight w:val="0"/>
      <w:marTop w:val="0"/>
      <w:marBottom w:val="0"/>
      <w:divBdr>
        <w:top w:val="none" w:sz="0" w:space="0" w:color="auto"/>
        <w:left w:val="none" w:sz="0" w:space="0" w:color="auto"/>
        <w:bottom w:val="none" w:sz="0" w:space="0" w:color="auto"/>
        <w:right w:val="none" w:sz="0" w:space="0" w:color="auto"/>
      </w:divBdr>
    </w:div>
    <w:div w:id="1332953156">
      <w:bodyDiv w:val="1"/>
      <w:marLeft w:val="0"/>
      <w:marRight w:val="0"/>
      <w:marTop w:val="0"/>
      <w:marBottom w:val="0"/>
      <w:divBdr>
        <w:top w:val="none" w:sz="0" w:space="0" w:color="auto"/>
        <w:left w:val="none" w:sz="0" w:space="0" w:color="auto"/>
        <w:bottom w:val="none" w:sz="0" w:space="0" w:color="auto"/>
        <w:right w:val="none" w:sz="0" w:space="0" w:color="auto"/>
      </w:divBdr>
    </w:div>
    <w:div w:id="1334145972">
      <w:bodyDiv w:val="1"/>
      <w:marLeft w:val="0"/>
      <w:marRight w:val="0"/>
      <w:marTop w:val="0"/>
      <w:marBottom w:val="0"/>
      <w:divBdr>
        <w:top w:val="none" w:sz="0" w:space="0" w:color="auto"/>
        <w:left w:val="none" w:sz="0" w:space="0" w:color="auto"/>
        <w:bottom w:val="none" w:sz="0" w:space="0" w:color="auto"/>
        <w:right w:val="none" w:sz="0" w:space="0" w:color="auto"/>
      </w:divBdr>
    </w:div>
    <w:div w:id="1335692191">
      <w:bodyDiv w:val="1"/>
      <w:marLeft w:val="0"/>
      <w:marRight w:val="0"/>
      <w:marTop w:val="0"/>
      <w:marBottom w:val="0"/>
      <w:divBdr>
        <w:top w:val="none" w:sz="0" w:space="0" w:color="auto"/>
        <w:left w:val="none" w:sz="0" w:space="0" w:color="auto"/>
        <w:bottom w:val="none" w:sz="0" w:space="0" w:color="auto"/>
        <w:right w:val="none" w:sz="0" w:space="0" w:color="auto"/>
      </w:divBdr>
    </w:div>
    <w:div w:id="1337074719">
      <w:bodyDiv w:val="1"/>
      <w:marLeft w:val="0"/>
      <w:marRight w:val="0"/>
      <w:marTop w:val="0"/>
      <w:marBottom w:val="0"/>
      <w:divBdr>
        <w:top w:val="none" w:sz="0" w:space="0" w:color="auto"/>
        <w:left w:val="none" w:sz="0" w:space="0" w:color="auto"/>
        <w:bottom w:val="none" w:sz="0" w:space="0" w:color="auto"/>
        <w:right w:val="none" w:sz="0" w:space="0" w:color="auto"/>
      </w:divBdr>
    </w:div>
    <w:div w:id="1339504537">
      <w:bodyDiv w:val="1"/>
      <w:marLeft w:val="0"/>
      <w:marRight w:val="0"/>
      <w:marTop w:val="0"/>
      <w:marBottom w:val="0"/>
      <w:divBdr>
        <w:top w:val="none" w:sz="0" w:space="0" w:color="auto"/>
        <w:left w:val="none" w:sz="0" w:space="0" w:color="auto"/>
        <w:bottom w:val="none" w:sz="0" w:space="0" w:color="auto"/>
        <w:right w:val="none" w:sz="0" w:space="0" w:color="auto"/>
      </w:divBdr>
    </w:div>
    <w:div w:id="1351101973">
      <w:bodyDiv w:val="1"/>
      <w:marLeft w:val="0"/>
      <w:marRight w:val="0"/>
      <w:marTop w:val="0"/>
      <w:marBottom w:val="0"/>
      <w:divBdr>
        <w:top w:val="none" w:sz="0" w:space="0" w:color="auto"/>
        <w:left w:val="none" w:sz="0" w:space="0" w:color="auto"/>
        <w:bottom w:val="none" w:sz="0" w:space="0" w:color="auto"/>
        <w:right w:val="none" w:sz="0" w:space="0" w:color="auto"/>
      </w:divBdr>
      <w:divsChild>
        <w:div w:id="2081949088">
          <w:marLeft w:val="0"/>
          <w:marRight w:val="0"/>
          <w:marTop w:val="0"/>
          <w:marBottom w:val="0"/>
          <w:divBdr>
            <w:top w:val="none" w:sz="0" w:space="0" w:color="auto"/>
            <w:left w:val="none" w:sz="0" w:space="0" w:color="auto"/>
            <w:bottom w:val="none" w:sz="0" w:space="0" w:color="auto"/>
            <w:right w:val="none" w:sz="0" w:space="0" w:color="auto"/>
          </w:divBdr>
          <w:divsChild>
            <w:div w:id="712773219">
              <w:marLeft w:val="0"/>
              <w:marRight w:val="0"/>
              <w:marTop w:val="0"/>
              <w:marBottom w:val="0"/>
              <w:divBdr>
                <w:top w:val="none" w:sz="0" w:space="0" w:color="auto"/>
                <w:left w:val="none" w:sz="0" w:space="0" w:color="auto"/>
                <w:bottom w:val="none" w:sz="0" w:space="0" w:color="auto"/>
                <w:right w:val="none" w:sz="0" w:space="0" w:color="auto"/>
              </w:divBdr>
            </w:div>
          </w:divsChild>
        </w:div>
        <w:div w:id="1619526531">
          <w:marLeft w:val="0"/>
          <w:marRight w:val="0"/>
          <w:marTop w:val="0"/>
          <w:marBottom w:val="0"/>
          <w:divBdr>
            <w:top w:val="none" w:sz="0" w:space="0" w:color="auto"/>
            <w:left w:val="none" w:sz="0" w:space="0" w:color="auto"/>
            <w:bottom w:val="none" w:sz="0" w:space="0" w:color="auto"/>
            <w:right w:val="none" w:sz="0" w:space="0" w:color="auto"/>
          </w:divBdr>
        </w:div>
      </w:divsChild>
    </w:div>
    <w:div w:id="1355109038">
      <w:bodyDiv w:val="1"/>
      <w:marLeft w:val="0"/>
      <w:marRight w:val="0"/>
      <w:marTop w:val="0"/>
      <w:marBottom w:val="0"/>
      <w:divBdr>
        <w:top w:val="none" w:sz="0" w:space="0" w:color="auto"/>
        <w:left w:val="none" w:sz="0" w:space="0" w:color="auto"/>
        <w:bottom w:val="none" w:sz="0" w:space="0" w:color="auto"/>
        <w:right w:val="none" w:sz="0" w:space="0" w:color="auto"/>
      </w:divBdr>
    </w:div>
    <w:div w:id="1360932273">
      <w:bodyDiv w:val="1"/>
      <w:marLeft w:val="0"/>
      <w:marRight w:val="0"/>
      <w:marTop w:val="0"/>
      <w:marBottom w:val="0"/>
      <w:divBdr>
        <w:top w:val="none" w:sz="0" w:space="0" w:color="auto"/>
        <w:left w:val="none" w:sz="0" w:space="0" w:color="auto"/>
        <w:bottom w:val="none" w:sz="0" w:space="0" w:color="auto"/>
        <w:right w:val="none" w:sz="0" w:space="0" w:color="auto"/>
      </w:divBdr>
    </w:div>
    <w:div w:id="1384018675">
      <w:bodyDiv w:val="1"/>
      <w:marLeft w:val="0"/>
      <w:marRight w:val="0"/>
      <w:marTop w:val="0"/>
      <w:marBottom w:val="0"/>
      <w:divBdr>
        <w:top w:val="none" w:sz="0" w:space="0" w:color="auto"/>
        <w:left w:val="none" w:sz="0" w:space="0" w:color="auto"/>
        <w:bottom w:val="none" w:sz="0" w:space="0" w:color="auto"/>
        <w:right w:val="none" w:sz="0" w:space="0" w:color="auto"/>
      </w:divBdr>
    </w:div>
    <w:div w:id="1386031851">
      <w:bodyDiv w:val="1"/>
      <w:marLeft w:val="0"/>
      <w:marRight w:val="0"/>
      <w:marTop w:val="0"/>
      <w:marBottom w:val="0"/>
      <w:divBdr>
        <w:top w:val="none" w:sz="0" w:space="0" w:color="auto"/>
        <w:left w:val="none" w:sz="0" w:space="0" w:color="auto"/>
        <w:bottom w:val="none" w:sz="0" w:space="0" w:color="auto"/>
        <w:right w:val="none" w:sz="0" w:space="0" w:color="auto"/>
      </w:divBdr>
    </w:div>
    <w:div w:id="1386292458">
      <w:bodyDiv w:val="1"/>
      <w:marLeft w:val="0"/>
      <w:marRight w:val="0"/>
      <w:marTop w:val="0"/>
      <w:marBottom w:val="0"/>
      <w:divBdr>
        <w:top w:val="none" w:sz="0" w:space="0" w:color="auto"/>
        <w:left w:val="none" w:sz="0" w:space="0" w:color="auto"/>
        <w:bottom w:val="none" w:sz="0" w:space="0" w:color="auto"/>
        <w:right w:val="none" w:sz="0" w:space="0" w:color="auto"/>
      </w:divBdr>
    </w:div>
    <w:div w:id="1388334030">
      <w:bodyDiv w:val="1"/>
      <w:marLeft w:val="0"/>
      <w:marRight w:val="0"/>
      <w:marTop w:val="0"/>
      <w:marBottom w:val="0"/>
      <w:divBdr>
        <w:top w:val="none" w:sz="0" w:space="0" w:color="auto"/>
        <w:left w:val="none" w:sz="0" w:space="0" w:color="auto"/>
        <w:bottom w:val="none" w:sz="0" w:space="0" w:color="auto"/>
        <w:right w:val="none" w:sz="0" w:space="0" w:color="auto"/>
      </w:divBdr>
    </w:div>
    <w:div w:id="1388990625">
      <w:bodyDiv w:val="1"/>
      <w:marLeft w:val="0"/>
      <w:marRight w:val="0"/>
      <w:marTop w:val="0"/>
      <w:marBottom w:val="0"/>
      <w:divBdr>
        <w:top w:val="none" w:sz="0" w:space="0" w:color="auto"/>
        <w:left w:val="none" w:sz="0" w:space="0" w:color="auto"/>
        <w:bottom w:val="none" w:sz="0" w:space="0" w:color="auto"/>
        <w:right w:val="none" w:sz="0" w:space="0" w:color="auto"/>
      </w:divBdr>
    </w:div>
    <w:div w:id="1393239593">
      <w:bodyDiv w:val="1"/>
      <w:marLeft w:val="0"/>
      <w:marRight w:val="0"/>
      <w:marTop w:val="0"/>
      <w:marBottom w:val="0"/>
      <w:divBdr>
        <w:top w:val="none" w:sz="0" w:space="0" w:color="auto"/>
        <w:left w:val="none" w:sz="0" w:space="0" w:color="auto"/>
        <w:bottom w:val="none" w:sz="0" w:space="0" w:color="auto"/>
        <w:right w:val="none" w:sz="0" w:space="0" w:color="auto"/>
      </w:divBdr>
    </w:div>
    <w:div w:id="1398439023">
      <w:bodyDiv w:val="1"/>
      <w:marLeft w:val="0"/>
      <w:marRight w:val="0"/>
      <w:marTop w:val="0"/>
      <w:marBottom w:val="0"/>
      <w:divBdr>
        <w:top w:val="none" w:sz="0" w:space="0" w:color="auto"/>
        <w:left w:val="none" w:sz="0" w:space="0" w:color="auto"/>
        <w:bottom w:val="none" w:sz="0" w:space="0" w:color="auto"/>
        <w:right w:val="none" w:sz="0" w:space="0" w:color="auto"/>
      </w:divBdr>
    </w:div>
    <w:div w:id="1400791587">
      <w:bodyDiv w:val="1"/>
      <w:marLeft w:val="0"/>
      <w:marRight w:val="0"/>
      <w:marTop w:val="0"/>
      <w:marBottom w:val="0"/>
      <w:divBdr>
        <w:top w:val="none" w:sz="0" w:space="0" w:color="auto"/>
        <w:left w:val="none" w:sz="0" w:space="0" w:color="auto"/>
        <w:bottom w:val="none" w:sz="0" w:space="0" w:color="auto"/>
        <w:right w:val="none" w:sz="0" w:space="0" w:color="auto"/>
      </w:divBdr>
    </w:div>
    <w:div w:id="1402210956">
      <w:bodyDiv w:val="1"/>
      <w:marLeft w:val="0"/>
      <w:marRight w:val="0"/>
      <w:marTop w:val="0"/>
      <w:marBottom w:val="0"/>
      <w:divBdr>
        <w:top w:val="none" w:sz="0" w:space="0" w:color="auto"/>
        <w:left w:val="none" w:sz="0" w:space="0" w:color="auto"/>
        <w:bottom w:val="none" w:sz="0" w:space="0" w:color="auto"/>
        <w:right w:val="none" w:sz="0" w:space="0" w:color="auto"/>
      </w:divBdr>
    </w:div>
    <w:div w:id="1403603475">
      <w:bodyDiv w:val="1"/>
      <w:marLeft w:val="0"/>
      <w:marRight w:val="0"/>
      <w:marTop w:val="0"/>
      <w:marBottom w:val="0"/>
      <w:divBdr>
        <w:top w:val="none" w:sz="0" w:space="0" w:color="auto"/>
        <w:left w:val="none" w:sz="0" w:space="0" w:color="auto"/>
        <w:bottom w:val="none" w:sz="0" w:space="0" w:color="auto"/>
        <w:right w:val="none" w:sz="0" w:space="0" w:color="auto"/>
      </w:divBdr>
    </w:div>
    <w:div w:id="1411000799">
      <w:bodyDiv w:val="1"/>
      <w:marLeft w:val="0"/>
      <w:marRight w:val="0"/>
      <w:marTop w:val="0"/>
      <w:marBottom w:val="0"/>
      <w:divBdr>
        <w:top w:val="none" w:sz="0" w:space="0" w:color="auto"/>
        <w:left w:val="none" w:sz="0" w:space="0" w:color="auto"/>
        <w:bottom w:val="none" w:sz="0" w:space="0" w:color="auto"/>
        <w:right w:val="none" w:sz="0" w:space="0" w:color="auto"/>
      </w:divBdr>
    </w:div>
    <w:div w:id="1425372152">
      <w:bodyDiv w:val="1"/>
      <w:marLeft w:val="0"/>
      <w:marRight w:val="0"/>
      <w:marTop w:val="0"/>
      <w:marBottom w:val="0"/>
      <w:divBdr>
        <w:top w:val="none" w:sz="0" w:space="0" w:color="auto"/>
        <w:left w:val="none" w:sz="0" w:space="0" w:color="auto"/>
        <w:bottom w:val="none" w:sz="0" w:space="0" w:color="auto"/>
        <w:right w:val="none" w:sz="0" w:space="0" w:color="auto"/>
      </w:divBdr>
    </w:div>
    <w:div w:id="1428577518">
      <w:bodyDiv w:val="1"/>
      <w:marLeft w:val="0"/>
      <w:marRight w:val="0"/>
      <w:marTop w:val="0"/>
      <w:marBottom w:val="0"/>
      <w:divBdr>
        <w:top w:val="none" w:sz="0" w:space="0" w:color="auto"/>
        <w:left w:val="none" w:sz="0" w:space="0" w:color="auto"/>
        <w:bottom w:val="none" w:sz="0" w:space="0" w:color="auto"/>
        <w:right w:val="none" w:sz="0" w:space="0" w:color="auto"/>
      </w:divBdr>
    </w:div>
    <w:div w:id="1428578225">
      <w:bodyDiv w:val="1"/>
      <w:marLeft w:val="0"/>
      <w:marRight w:val="0"/>
      <w:marTop w:val="0"/>
      <w:marBottom w:val="0"/>
      <w:divBdr>
        <w:top w:val="none" w:sz="0" w:space="0" w:color="auto"/>
        <w:left w:val="none" w:sz="0" w:space="0" w:color="auto"/>
        <w:bottom w:val="none" w:sz="0" w:space="0" w:color="auto"/>
        <w:right w:val="none" w:sz="0" w:space="0" w:color="auto"/>
      </w:divBdr>
    </w:div>
    <w:div w:id="1429888275">
      <w:bodyDiv w:val="1"/>
      <w:marLeft w:val="0"/>
      <w:marRight w:val="0"/>
      <w:marTop w:val="0"/>
      <w:marBottom w:val="0"/>
      <w:divBdr>
        <w:top w:val="none" w:sz="0" w:space="0" w:color="auto"/>
        <w:left w:val="none" w:sz="0" w:space="0" w:color="auto"/>
        <w:bottom w:val="none" w:sz="0" w:space="0" w:color="auto"/>
        <w:right w:val="none" w:sz="0" w:space="0" w:color="auto"/>
      </w:divBdr>
    </w:div>
    <w:div w:id="1435856840">
      <w:bodyDiv w:val="1"/>
      <w:marLeft w:val="0"/>
      <w:marRight w:val="0"/>
      <w:marTop w:val="0"/>
      <w:marBottom w:val="0"/>
      <w:divBdr>
        <w:top w:val="none" w:sz="0" w:space="0" w:color="auto"/>
        <w:left w:val="none" w:sz="0" w:space="0" w:color="auto"/>
        <w:bottom w:val="none" w:sz="0" w:space="0" w:color="auto"/>
        <w:right w:val="none" w:sz="0" w:space="0" w:color="auto"/>
      </w:divBdr>
    </w:div>
    <w:div w:id="1438140953">
      <w:bodyDiv w:val="1"/>
      <w:marLeft w:val="0"/>
      <w:marRight w:val="0"/>
      <w:marTop w:val="0"/>
      <w:marBottom w:val="0"/>
      <w:divBdr>
        <w:top w:val="none" w:sz="0" w:space="0" w:color="auto"/>
        <w:left w:val="none" w:sz="0" w:space="0" w:color="auto"/>
        <w:bottom w:val="none" w:sz="0" w:space="0" w:color="auto"/>
        <w:right w:val="none" w:sz="0" w:space="0" w:color="auto"/>
      </w:divBdr>
    </w:div>
    <w:div w:id="1441218481">
      <w:bodyDiv w:val="1"/>
      <w:marLeft w:val="0"/>
      <w:marRight w:val="0"/>
      <w:marTop w:val="0"/>
      <w:marBottom w:val="0"/>
      <w:divBdr>
        <w:top w:val="none" w:sz="0" w:space="0" w:color="auto"/>
        <w:left w:val="none" w:sz="0" w:space="0" w:color="auto"/>
        <w:bottom w:val="none" w:sz="0" w:space="0" w:color="auto"/>
        <w:right w:val="none" w:sz="0" w:space="0" w:color="auto"/>
      </w:divBdr>
    </w:div>
    <w:div w:id="1441606160">
      <w:bodyDiv w:val="1"/>
      <w:marLeft w:val="0"/>
      <w:marRight w:val="0"/>
      <w:marTop w:val="0"/>
      <w:marBottom w:val="0"/>
      <w:divBdr>
        <w:top w:val="none" w:sz="0" w:space="0" w:color="auto"/>
        <w:left w:val="none" w:sz="0" w:space="0" w:color="auto"/>
        <w:bottom w:val="none" w:sz="0" w:space="0" w:color="auto"/>
        <w:right w:val="none" w:sz="0" w:space="0" w:color="auto"/>
      </w:divBdr>
    </w:div>
    <w:div w:id="1443457646">
      <w:bodyDiv w:val="1"/>
      <w:marLeft w:val="0"/>
      <w:marRight w:val="0"/>
      <w:marTop w:val="0"/>
      <w:marBottom w:val="0"/>
      <w:divBdr>
        <w:top w:val="none" w:sz="0" w:space="0" w:color="auto"/>
        <w:left w:val="none" w:sz="0" w:space="0" w:color="auto"/>
        <w:bottom w:val="none" w:sz="0" w:space="0" w:color="auto"/>
        <w:right w:val="none" w:sz="0" w:space="0" w:color="auto"/>
      </w:divBdr>
    </w:div>
    <w:div w:id="1448692592">
      <w:bodyDiv w:val="1"/>
      <w:marLeft w:val="0"/>
      <w:marRight w:val="0"/>
      <w:marTop w:val="0"/>
      <w:marBottom w:val="0"/>
      <w:divBdr>
        <w:top w:val="none" w:sz="0" w:space="0" w:color="auto"/>
        <w:left w:val="none" w:sz="0" w:space="0" w:color="auto"/>
        <w:bottom w:val="none" w:sz="0" w:space="0" w:color="auto"/>
        <w:right w:val="none" w:sz="0" w:space="0" w:color="auto"/>
      </w:divBdr>
    </w:div>
    <w:div w:id="1449623448">
      <w:bodyDiv w:val="1"/>
      <w:marLeft w:val="0"/>
      <w:marRight w:val="0"/>
      <w:marTop w:val="0"/>
      <w:marBottom w:val="0"/>
      <w:divBdr>
        <w:top w:val="none" w:sz="0" w:space="0" w:color="auto"/>
        <w:left w:val="none" w:sz="0" w:space="0" w:color="auto"/>
        <w:bottom w:val="none" w:sz="0" w:space="0" w:color="auto"/>
        <w:right w:val="none" w:sz="0" w:space="0" w:color="auto"/>
      </w:divBdr>
    </w:div>
    <w:div w:id="1451046005">
      <w:bodyDiv w:val="1"/>
      <w:marLeft w:val="0"/>
      <w:marRight w:val="0"/>
      <w:marTop w:val="0"/>
      <w:marBottom w:val="0"/>
      <w:divBdr>
        <w:top w:val="none" w:sz="0" w:space="0" w:color="auto"/>
        <w:left w:val="none" w:sz="0" w:space="0" w:color="auto"/>
        <w:bottom w:val="none" w:sz="0" w:space="0" w:color="auto"/>
        <w:right w:val="none" w:sz="0" w:space="0" w:color="auto"/>
      </w:divBdr>
    </w:div>
    <w:div w:id="1456871507">
      <w:bodyDiv w:val="1"/>
      <w:marLeft w:val="0"/>
      <w:marRight w:val="0"/>
      <w:marTop w:val="0"/>
      <w:marBottom w:val="0"/>
      <w:divBdr>
        <w:top w:val="none" w:sz="0" w:space="0" w:color="auto"/>
        <w:left w:val="none" w:sz="0" w:space="0" w:color="auto"/>
        <w:bottom w:val="none" w:sz="0" w:space="0" w:color="auto"/>
        <w:right w:val="none" w:sz="0" w:space="0" w:color="auto"/>
      </w:divBdr>
    </w:div>
    <w:div w:id="1462652422">
      <w:bodyDiv w:val="1"/>
      <w:marLeft w:val="0"/>
      <w:marRight w:val="0"/>
      <w:marTop w:val="0"/>
      <w:marBottom w:val="0"/>
      <w:divBdr>
        <w:top w:val="none" w:sz="0" w:space="0" w:color="auto"/>
        <w:left w:val="none" w:sz="0" w:space="0" w:color="auto"/>
        <w:bottom w:val="none" w:sz="0" w:space="0" w:color="auto"/>
        <w:right w:val="none" w:sz="0" w:space="0" w:color="auto"/>
      </w:divBdr>
    </w:div>
    <w:div w:id="1462771255">
      <w:bodyDiv w:val="1"/>
      <w:marLeft w:val="0"/>
      <w:marRight w:val="0"/>
      <w:marTop w:val="0"/>
      <w:marBottom w:val="0"/>
      <w:divBdr>
        <w:top w:val="none" w:sz="0" w:space="0" w:color="auto"/>
        <w:left w:val="none" w:sz="0" w:space="0" w:color="auto"/>
        <w:bottom w:val="none" w:sz="0" w:space="0" w:color="auto"/>
        <w:right w:val="none" w:sz="0" w:space="0" w:color="auto"/>
      </w:divBdr>
      <w:divsChild>
        <w:div w:id="1978532459">
          <w:marLeft w:val="0"/>
          <w:marRight w:val="0"/>
          <w:marTop w:val="0"/>
          <w:marBottom w:val="0"/>
          <w:divBdr>
            <w:top w:val="none" w:sz="0" w:space="0" w:color="auto"/>
            <w:left w:val="none" w:sz="0" w:space="0" w:color="auto"/>
            <w:bottom w:val="none" w:sz="0" w:space="0" w:color="auto"/>
            <w:right w:val="none" w:sz="0" w:space="0" w:color="auto"/>
          </w:divBdr>
          <w:divsChild>
            <w:div w:id="1229151158">
              <w:marLeft w:val="0"/>
              <w:marRight w:val="0"/>
              <w:marTop w:val="0"/>
              <w:marBottom w:val="0"/>
              <w:divBdr>
                <w:top w:val="none" w:sz="0" w:space="0" w:color="auto"/>
                <w:left w:val="none" w:sz="0" w:space="0" w:color="auto"/>
                <w:bottom w:val="none" w:sz="0" w:space="0" w:color="auto"/>
                <w:right w:val="none" w:sz="0" w:space="0" w:color="auto"/>
              </w:divBdr>
              <w:divsChild>
                <w:div w:id="66304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85326">
      <w:bodyDiv w:val="1"/>
      <w:marLeft w:val="0"/>
      <w:marRight w:val="0"/>
      <w:marTop w:val="0"/>
      <w:marBottom w:val="0"/>
      <w:divBdr>
        <w:top w:val="none" w:sz="0" w:space="0" w:color="auto"/>
        <w:left w:val="none" w:sz="0" w:space="0" w:color="auto"/>
        <w:bottom w:val="none" w:sz="0" w:space="0" w:color="auto"/>
        <w:right w:val="none" w:sz="0" w:space="0" w:color="auto"/>
      </w:divBdr>
    </w:div>
    <w:div w:id="1480539581">
      <w:bodyDiv w:val="1"/>
      <w:marLeft w:val="0"/>
      <w:marRight w:val="0"/>
      <w:marTop w:val="0"/>
      <w:marBottom w:val="0"/>
      <w:divBdr>
        <w:top w:val="none" w:sz="0" w:space="0" w:color="auto"/>
        <w:left w:val="none" w:sz="0" w:space="0" w:color="auto"/>
        <w:bottom w:val="none" w:sz="0" w:space="0" w:color="auto"/>
        <w:right w:val="none" w:sz="0" w:space="0" w:color="auto"/>
      </w:divBdr>
    </w:div>
    <w:div w:id="1487742549">
      <w:bodyDiv w:val="1"/>
      <w:marLeft w:val="0"/>
      <w:marRight w:val="0"/>
      <w:marTop w:val="0"/>
      <w:marBottom w:val="0"/>
      <w:divBdr>
        <w:top w:val="none" w:sz="0" w:space="0" w:color="auto"/>
        <w:left w:val="none" w:sz="0" w:space="0" w:color="auto"/>
        <w:bottom w:val="none" w:sz="0" w:space="0" w:color="auto"/>
        <w:right w:val="none" w:sz="0" w:space="0" w:color="auto"/>
      </w:divBdr>
    </w:div>
    <w:div w:id="1507819470">
      <w:bodyDiv w:val="1"/>
      <w:marLeft w:val="0"/>
      <w:marRight w:val="0"/>
      <w:marTop w:val="0"/>
      <w:marBottom w:val="0"/>
      <w:divBdr>
        <w:top w:val="none" w:sz="0" w:space="0" w:color="auto"/>
        <w:left w:val="none" w:sz="0" w:space="0" w:color="auto"/>
        <w:bottom w:val="none" w:sz="0" w:space="0" w:color="auto"/>
        <w:right w:val="none" w:sz="0" w:space="0" w:color="auto"/>
      </w:divBdr>
    </w:div>
    <w:div w:id="1511067812">
      <w:bodyDiv w:val="1"/>
      <w:marLeft w:val="0"/>
      <w:marRight w:val="0"/>
      <w:marTop w:val="0"/>
      <w:marBottom w:val="0"/>
      <w:divBdr>
        <w:top w:val="none" w:sz="0" w:space="0" w:color="auto"/>
        <w:left w:val="none" w:sz="0" w:space="0" w:color="auto"/>
        <w:bottom w:val="none" w:sz="0" w:space="0" w:color="auto"/>
        <w:right w:val="none" w:sz="0" w:space="0" w:color="auto"/>
      </w:divBdr>
    </w:div>
    <w:div w:id="1512916741">
      <w:bodyDiv w:val="1"/>
      <w:marLeft w:val="0"/>
      <w:marRight w:val="0"/>
      <w:marTop w:val="0"/>
      <w:marBottom w:val="0"/>
      <w:divBdr>
        <w:top w:val="none" w:sz="0" w:space="0" w:color="auto"/>
        <w:left w:val="none" w:sz="0" w:space="0" w:color="auto"/>
        <w:bottom w:val="none" w:sz="0" w:space="0" w:color="auto"/>
        <w:right w:val="none" w:sz="0" w:space="0" w:color="auto"/>
      </w:divBdr>
    </w:div>
    <w:div w:id="1525898742">
      <w:bodyDiv w:val="1"/>
      <w:marLeft w:val="0"/>
      <w:marRight w:val="0"/>
      <w:marTop w:val="0"/>
      <w:marBottom w:val="0"/>
      <w:divBdr>
        <w:top w:val="none" w:sz="0" w:space="0" w:color="auto"/>
        <w:left w:val="none" w:sz="0" w:space="0" w:color="auto"/>
        <w:bottom w:val="none" w:sz="0" w:space="0" w:color="auto"/>
        <w:right w:val="none" w:sz="0" w:space="0" w:color="auto"/>
      </w:divBdr>
    </w:div>
    <w:div w:id="1530412789">
      <w:bodyDiv w:val="1"/>
      <w:marLeft w:val="0"/>
      <w:marRight w:val="0"/>
      <w:marTop w:val="0"/>
      <w:marBottom w:val="0"/>
      <w:divBdr>
        <w:top w:val="none" w:sz="0" w:space="0" w:color="auto"/>
        <w:left w:val="none" w:sz="0" w:space="0" w:color="auto"/>
        <w:bottom w:val="none" w:sz="0" w:space="0" w:color="auto"/>
        <w:right w:val="none" w:sz="0" w:space="0" w:color="auto"/>
      </w:divBdr>
    </w:div>
    <w:div w:id="1530952100">
      <w:bodyDiv w:val="1"/>
      <w:marLeft w:val="0"/>
      <w:marRight w:val="0"/>
      <w:marTop w:val="0"/>
      <w:marBottom w:val="0"/>
      <w:divBdr>
        <w:top w:val="none" w:sz="0" w:space="0" w:color="auto"/>
        <w:left w:val="none" w:sz="0" w:space="0" w:color="auto"/>
        <w:bottom w:val="none" w:sz="0" w:space="0" w:color="auto"/>
        <w:right w:val="none" w:sz="0" w:space="0" w:color="auto"/>
      </w:divBdr>
    </w:div>
    <w:div w:id="1531603530">
      <w:bodyDiv w:val="1"/>
      <w:marLeft w:val="0"/>
      <w:marRight w:val="0"/>
      <w:marTop w:val="0"/>
      <w:marBottom w:val="0"/>
      <w:divBdr>
        <w:top w:val="none" w:sz="0" w:space="0" w:color="auto"/>
        <w:left w:val="none" w:sz="0" w:space="0" w:color="auto"/>
        <w:bottom w:val="none" w:sz="0" w:space="0" w:color="auto"/>
        <w:right w:val="none" w:sz="0" w:space="0" w:color="auto"/>
      </w:divBdr>
    </w:div>
    <w:div w:id="1531840794">
      <w:bodyDiv w:val="1"/>
      <w:marLeft w:val="0"/>
      <w:marRight w:val="0"/>
      <w:marTop w:val="0"/>
      <w:marBottom w:val="0"/>
      <w:divBdr>
        <w:top w:val="none" w:sz="0" w:space="0" w:color="auto"/>
        <w:left w:val="none" w:sz="0" w:space="0" w:color="auto"/>
        <w:bottom w:val="none" w:sz="0" w:space="0" w:color="auto"/>
        <w:right w:val="none" w:sz="0" w:space="0" w:color="auto"/>
      </w:divBdr>
    </w:div>
    <w:div w:id="1535344564">
      <w:bodyDiv w:val="1"/>
      <w:marLeft w:val="0"/>
      <w:marRight w:val="0"/>
      <w:marTop w:val="0"/>
      <w:marBottom w:val="0"/>
      <w:divBdr>
        <w:top w:val="none" w:sz="0" w:space="0" w:color="auto"/>
        <w:left w:val="none" w:sz="0" w:space="0" w:color="auto"/>
        <w:bottom w:val="none" w:sz="0" w:space="0" w:color="auto"/>
        <w:right w:val="none" w:sz="0" w:space="0" w:color="auto"/>
      </w:divBdr>
    </w:div>
    <w:div w:id="1537353630">
      <w:bodyDiv w:val="1"/>
      <w:marLeft w:val="0"/>
      <w:marRight w:val="0"/>
      <w:marTop w:val="0"/>
      <w:marBottom w:val="0"/>
      <w:divBdr>
        <w:top w:val="none" w:sz="0" w:space="0" w:color="auto"/>
        <w:left w:val="none" w:sz="0" w:space="0" w:color="auto"/>
        <w:bottom w:val="none" w:sz="0" w:space="0" w:color="auto"/>
        <w:right w:val="none" w:sz="0" w:space="0" w:color="auto"/>
      </w:divBdr>
    </w:div>
    <w:div w:id="1539199779">
      <w:bodyDiv w:val="1"/>
      <w:marLeft w:val="0"/>
      <w:marRight w:val="0"/>
      <w:marTop w:val="0"/>
      <w:marBottom w:val="0"/>
      <w:divBdr>
        <w:top w:val="none" w:sz="0" w:space="0" w:color="auto"/>
        <w:left w:val="none" w:sz="0" w:space="0" w:color="auto"/>
        <w:bottom w:val="none" w:sz="0" w:space="0" w:color="auto"/>
        <w:right w:val="none" w:sz="0" w:space="0" w:color="auto"/>
      </w:divBdr>
    </w:div>
    <w:div w:id="1539584603">
      <w:bodyDiv w:val="1"/>
      <w:marLeft w:val="0"/>
      <w:marRight w:val="0"/>
      <w:marTop w:val="0"/>
      <w:marBottom w:val="0"/>
      <w:divBdr>
        <w:top w:val="none" w:sz="0" w:space="0" w:color="auto"/>
        <w:left w:val="none" w:sz="0" w:space="0" w:color="auto"/>
        <w:bottom w:val="none" w:sz="0" w:space="0" w:color="auto"/>
        <w:right w:val="none" w:sz="0" w:space="0" w:color="auto"/>
      </w:divBdr>
    </w:div>
    <w:div w:id="1540388317">
      <w:bodyDiv w:val="1"/>
      <w:marLeft w:val="0"/>
      <w:marRight w:val="0"/>
      <w:marTop w:val="0"/>
      <w:marBottom w:val="0"/>
      <w:divBdr>
        <w:top w:val="none" w:sz="0" w:space="0" w:color="auto"/>
        <w:left w:val="none" w:sz="0" w:space="0" w:color="auto"/>
        <w:bottom w:val="none" w:sz="0" w:space="0" w:color="auto"/>
        <w:right w:val="none" w:sz="0" w:space="0" w:color="auto"/>
      </w:divBdr>
    </w:div>
    <w:div w:id="1542743331">
      <w:bodyDiv w:val="1"/>
      <w:marLeft w:val="0"/>
      <w:marRight w:val="0"/>
      <w:marTop w:val="0"/>
      <w:marBottom w:val="0"/>
      <w:divBdr>
        <w:top w:val="none" w:sz="0" w:space="0" w:color="auto"/>
        <w:left w:val="none" w:sz="0" w:space="0" w:color="auto"/>
        <w:bottom w:val="none" w:sz="0" w:space="0" w:color="auto"/>
        <w:right w:val="none" w:sz="0" w:space="0" w:color="auto"/>
      </w:divBdr>
    </w:div>
    <w:div w:id="1549147713">
      <w:bodyDiv w:val="1"/>
      <w:marLeft w:val="0"/>
      <w:marRight w:val="0"/>
      <w:marTop w:val="0"/>
      <w:marBottom w:val="0"/>
      <w:divBdr>
        <w:top w:val="none" w:sz="0" w:space="0" w:color="auto"/>
        <w:left w:val="none" w:sz="0" w:space="0" w:color="auto"/>
        <w:bottom w:val="none" w:sz="0" w:space="0" w:color="auto"/>
        <w:right w:val="none" w:sz="0" w:space="0" w:color="auto"/>
      </w:divBdr>
    </w:div>
    <w:div w:id="1549686790">
      <w:bodyDiv w:val="1"/>
      <w:marLeft w:val="0"/>
      <w:marRight w:val="0"/>
      <w:marTop w:val="0"/>
      <w:marBottom w:val="0"/>
      <w:divBdr>
        <w:top w:val="none" w:sz="0" w:space="0" w:color="auto"/>
        <w:left w:val="none" w:sz="0" w:space="0" w:color="auto"/>
        <w:bottom w:val="none" w:sz="0" w:space="0" w:color="auto"/>
        <w:right w:val="none" w:sz="0" w:space="0" w:color="auto"/>
      </w:divBdr>
    </w:div>
    <w:div w:id="1551304547">
      <w:bodyDiv w:val="1"/>
      <w:marLeft w:val="0"/>
      <w:marRight w:val="0"/>
      <w:marTop w:val="0"/>
      <w:marBottom w:val="0"/>
      <w:divBdr>
        <w:top w:val="none" w:sz="0" w:space="0" w:color="auto"/>
        <w:left w:val="none" w:sz="0" w:space="0" w:color="auto"/>
        <w:bottom w:val="none" w:sz="0" w:space="0" w:color="auto"/>
        <w:right w:val="none" w:sz="0" w:space="0" w:color="auto"/>
      </w:divBdr>
    </w:div>
    <w:div w:id="1555850162">
      <w:bodyDiv w:val="1"/>
      <w:marLeft w:val="0"/>
      <w:marRight w:val="0"/>
      <w:marTop w:val="0"/>
      <w:marBottom w:val="0"/>
      <w:divBdr>
        <w:top w:val="none" w:sz="0" w:space="0" w:color="auto"/>
        <w:left w:val="none" w:sz="0" w:space="0" w:color="auto"/>
        <w:bottom w:val="none" w:sz="0" w:space="0" w:color="auto"/>
        <w:right w:val="none" w:sz="0" w:space="0" w:color="auto"/>
      </w:divBdr>
    </w:div>
    <w:div w:id="1556964962">
      <w:bodyDiv w:val="1"/>
      <w:marLeft w:val="0"/>
      <w:marRight w:val="0"/>
      <w:marTop w:val="0"/>
      <w:marBottom w:val="0"/>
      <w:divBdr>
        <w:top w:val="none" w:sz="0" w:space="0" w:color="auto"/>
        <w:left w:val="none" w:sz="0" w:space="0" w:color="auto"/>
        <w:bottom w:val="none" w:sz="0" w:space="0" w:color="auto"/>
        <w:right w:val="none" w:sz="0" w:space="0" w:color="auto"/>
      </w:divBdr>
    </w:div>
    <w:div w:id="1570144217">
      <w:bodyDiv w:val="1"/>
      <w:marLeft w:val="0"/>
      <w:marRight w:val="0"/>
      <w:marTop w:val="0"/>
      <w:marBottom w:val="0"/>
      <w:divBdr>
        <w:top w:val="none" w:sz="0" w:space="0" w:color="auto"/>
        <w:left w:val="none" w:sz="0" w:space="0" w:color="auto"/>
        <w:bottom w:val="none" w:sz="0" w:space="0" w:color="auto"/>
        <w:right w:val="none" w:sz="0" w:space="0" w:color="auto"/>
      </w:divBdr>
    </w:div>
    <w:div w:id="1574854045">
      <w:bodyDiv w:val="1"/>
      <w:marLeft w:val="0"/>
      <w:marRight w:val="0"/>
      <w:marTop w:val="0"/>
      <w:marBottom w:val="0"/>
      <w:divBdr>
        <w:top w:val="none" w:sz="0" w:space="0" w:color="auto"/>
        <w:left w:val="none" w:sz="0" w:space="0" w:color="auto"/>
        <w:bottom w:val="none" w:sz="0" w:space="0" w:color="auto"/>
        <w:right w:val="none" w:sz="0" w:space="0" w:color="auto"/>
      </w:divBdr>
    </w:div>
    <w:div w:id="1576697605">
      <w:bodyDiv w:val="1"/>
      <w:marLeft w:val="0"/>
      <w:marRight w:val="0"/>
      <w:marTop w:val="0"/>
      <w:marBottom w:val="0"/>
      <w:divBdr>
        <w:top w:val="none" w:sz="0" w:space="0" w:color="auto"/>
        <w:left w:val="none" w:sz="0" w:space="0" w:color="auto"/>
        <w:bottom w:val="none" w:sz="0" w:space="0" w:color="auto"/>
        <w:right w:val="none" w:sz="0" w:space="0" w:color="auto"/>
      </w:divBdr>
    </w:div>
    <w:div w:id="1581523663">
      <w:bodyDiv w:val="1"/>
      <w:marLeft w:val="0"/>
      <w:marRight w:val="0"/>
      <w:marTop w:val="0"/>
      <w:marBottom w:val="0"/>
      <w:divBdr>
        <w:top w:val="none" w:sz="0" w:space="0" w:color="auto"/>
        <w:left w:val="none" w:sz="0" w:space="0" w:color="auto"/>
        <w:bottom w:val="none" w:sz="0" w:space="0" w:color="auto"/>
        <w:right w:val="none" w:sz="0" w:space="0" w:color="auto"/>
      </w:divBdr>
    </w:div>
    <w:div w:id="1582060452">
      <w:bodyDiv w:val="1"/>
      <w:marLeft w:val="0"/>
      <w:marRight w:val="0"/>
      <w:marTop w:val="0"/>
      <w:marBottom w:val="0"/>
      <w:divBdr>
        <w:top w:val="none" w:sz="0" w:space="0" w:color="auto"/>
        <w:left w:val="none" w:sz="0" w:space="0" w:color="auto"/>
        <w:bottom w:val="none" w:sz="0" w:space="0" w:color="auto"/>
        <w:right w:val="none" w:sz="0" w:space="0" w:color="auto"/>
      </w:divBdr>
    </w:div>
    <w:div w:id="1584603156">
      <w:bodyDiv w:val="1"/>
      <w:marLeft w:val="0"/>
      <w:marRight w:val="0"/>
      <w:marTop w:val="0"/>
      <w:marBottom w:val="0"/>
      <w:divBdr>
        <w:top w:val="none" w:sz="0" w:space="0" w:color="auto"/>
        <w:left w:val="none" w:sz="0" w:space="0" w:color="auto"/>
        <w:bottom w:val="none" w:sz="0" w:space="0" w:color="auto"/>
        <w:right w:val="none" w:sz="0" w:space="0" w:color="auto"/>
      </w:divBdr>
    </w:div>
    <w:div w:id="1586647460">
      <w:bodyDiv w:val="1"/>
      <w:marLeft w:val="0"/>
      <w:marRight w:val="0"/>
      <w:marTop w:val="0"/>
      <w:marBottom w:val="0"/>
      <w:divBdr>
        <w:top w:val="none" w:sz="0" w:space="0" w:color="auto"/>
        <w:left w:val="none" w:sz="0" w:space="0" w:color="auto"/>
        <w:bottom w:val="none" w:sz="0" w:space="0" w:color="auto"/>
        <w:right w:val="none" w:sz="0" w:space="0" w:color="auto"/>
      </w:divBdr>
    </w:div>
    <w:div w:id="1600913696">
      <w:bodyDiv w:val="1"/>
      <w:marLeft w:val="0"/>
      <w:marRight w:val="0"/>
      <w:marTop w:val="0"/>
      <w:marBottom w:val="0"/>
      <w:divBdr>
        <w:top w:val="none" w:sz="0" w:space="0" w:color="auto"/>
        <w:left w:val="none" w:sz="0" w:space="0" w:color="auto"/>
        <w:bottom w:val="none" w:sz="0" w:space="0" w:color="auto"/>
        <w:right w:val="none" w:sz="0" w:space="0" w:color="auto"/>
      </w:divBdr>
    </w:div>
    <w:div w:id="1611627846">
      <w:bodyDiv w:val="1"/>
      <w:marLeft w:val="0"/>
      <w:marRight w:val="0"/>
      <w:marTop w:val="0"/>
      <w:marBottom w:val="0"/>
      <w:divBdr>
        <w:top w:val="none" w:sz="0" w:space="0" w:color="auto"/>
        <w:left w:val="none" w:sz="0" w:space="0" w:color="auto"/>
        <w:bottom w:val="none" w:sz="0" w:space="0" w:color="auto"/>
        <w:right w:val="none" w:sz="0" w:space="0" w:color="auto"/>
      </w:divBdr>
    </w:div>
    <w:div w:id="1613128245">
      <w:bodyDiv w:val="1"/>
      <w:marLeft w:val="0"/>
      <w:marRight w:val="0"/>
      <w:marTop w:val="0"/>
      <w:marBottom w:val="0"/>
      <w:divBdr>
        <w:top w:val="none" w:sz="0" w:space="0" w:color="auto"/>
        <w:left w:val="none" w:sz="0" w:space="0" w:color="auto"/>
        <w:bottom w:val="none" w:sz="0" w:space="0" w:color="auto"/>
        <w:right w:val="none" w:sz="0" w:space="0" w:color="auto"/>
      </w:divBdr>
      <w:divsChild>
        <w:div w:id="2012026659">
          <w:marLeft w:val="0"/>
          <w:marRight w:val="0"/>
          <w:marTop w:val="0"/>
          <w:marBottom w:val="0"/>
          <w:divBdr>
            <w:top w:val="none" w:sz="0" w:space="0" w:color="auto"/>
            <w:left w:val="none" w:sz="0" w:space="0" w:color="auto"/>
            <w:bottom w:val="none" w:sz="0" w:space="0" w:color="auto"/>
            <w:right w:val="none" w:sz="0" w:space="0" w:color="auto"/>
          </w:divBdr>
          <w:divsChild>
            <w:div w:id="470446091">
              <w:marLeft w:val="0"/>
              <w:marRight w:val="0"/>
              <w:marTop w:val="0"/>
              <w:marBottom w:val="0"/>
              <w:divBdr>
                <w:top w:val="none" w:sz="0" w:space="0" w:color="auto"/>
                <w:left w:val="none" w:sz="0" w:space="0" w:color="auto"/>
                <w:bottom w:val="none" w:sz="0" w:space="0" w:color="auto"/>
                <w:right w:val="none" w:sz="0" w:space="0" w:color="auto"/>
              </w:divBdr>
            </w:div>
          </w:divsChild>
        </w:div>
        <w:div w:id="654532647">
          <w:marLeft w:val="0"/>
          <w:marRight w:val="0"/>
          <w:marTop w:val="0"/>
          <w:marBottom w:val="0"/>
          <w:divBdr>
            <w:top w:val="none" w:sz="0" w:space="0" w:color="auto"/>
            <w:left w:val="none" w:sz="0" w:space="0" w:color="auto"/>
            <w:bottom w:val="none" w:sz="0" w:space="0" w:color="auto"/>
            <w:right w:val="none" w:sz="0" w:space="0" w:color="auto"/>
          </w:divBdr>
        </w:div>
      </w:divsChild>
    </w:div>
    <w:div w:id="1615089515">
      <w:bodyDiv w:val="1"/>
      <w:marLeft w:val="0"/>
      <w:marRight w:val="0"/>
      <w:marTop w:val="0"/>
      <w:marBottom w:val="0"/>
      <w:divBdr>
        <w:top w:val="none" w:sz="0" w:space="0" w:color="auto"/>
        <w:left w:val="none" w:sz="0" w:space="0" w:color="auto"/>
        <w:bottom w:val="none" w:sz="0" w:space="0" w:color="auto"/>
        <w:right w:val="none" w:sz="0" w:space="0" w:color="auto"/>
      </w:divBdr>
    </w:div>
    <w:div w:id="1629119956">
      <w:bodyDiv w:val="1"/>
      <w:marLeft w:val="0"/>
      <w:marRight w:val="0"/>
      <w:marTop w:val="0"/>
      <w:marBottom w:val="0"/>
      <w:divBdr>
        <w:top w:val="none" w:sz="0" w:space="0" w:color="auto"/>
        <w:left w:val="none" w:sz="0" w:space="0" w:color="auto"/>
        <w:bottom w:val="none" w:sz="0" w:space="0" w:color="auto"/>
        <w:right w:val="none" w:sz="0" w:space="0" w:color="auto"/>
      </w:divBdr>
    </w:div>
    <w:div w:id="1635258547">
      <w:bodyDiv w:val="1"/>
      <w:marLeft w:val="0"/>
      <w:marRight w:val="0"/>
      <w:marTop w:val="0"/>
      <w:marBottom w:val="0"/>
      <w:divBdr>
        <w:top w:val="none" w:sz="0" w:space="0" w:color="auto"/>
        <w:left w:val="none" w:sz="0" w:space="0" w:color="auto"/>
        <w:bottom w:val="none" w:sz="0" w:space="0" w:color="auto"/>
        <w:right w:val="none" w:sz="0" w:space="0" w:color="auto"/>
      </w:divBdr>
    </w:div>
    <w:div w:id="1637905268">
      <w:bodyDiv w:val="1"/>
      <w:marLeft w:val="0"/>
      <w:marRight w:val="0"/>
      <w:marTop w:val="0"/>
      <w:marBottom w:val="0"/>
      <w:divBdr>
        <w:top w:val="none" w:sz="0" w:space="0" w:color="auto"/>
        <w:left w:val="none" w:sz="0" w:space="0" w:color="auto"/>
        <w:bottom w:val="none" w:sz="0" w:space="0" w:color="auto"/>
        <w:right w:val="none" w:sz="0" w:space="0" w:color="auto"/>
      </w:divBdr>
    </w:div>
    <w:div w:id="1644651075">
      <w:bodyDiv w:val="1"/>
      <w:marLeft w:val="0"/>
      <w:marRight w:val="0"/>
      <w:marTop w:val="0"/>
      <w:marBottom w:val="0"/>
      <w:divBdr>
        <w:top w:val="none" w:sz="0" w:space="0" w:color="auto"/>
        <w:left w:val="none" w:sz="0" w:space="0" w:color="auto"/>
        <w:bottom w:val="none" w:sz="0" w:space="0" w:color="auto"/>
        <w:right w:val="none" w:sz="0" w:space="0" w:color="auto"/>
      </w:divBdr>
    </w:div>
    <w:div w:id="1659187946">
      <w:bodyDiv w:val="1"/>
      <w:marLeft w:val="0"/>
      <w:marRight w:val="0"/>
      <w:marTop w:val="0"/>
      <w:marBottom w:val="0"/>
      <w:divBdr>
        <w:top w:val="none" w:sz="0" w:space="0" w:color="auto"/>
        <w:left w:val="none" w:sz="0" w:space="0" w:color="auto"/>
        <w:bottom w:val="none" w:sz="0" w:space="0" w:color="auto"/>
        <w:right w:val="none" w:sz="0" w:space="0" w:color="auto"/>
      </w:divBdr>
    </w:div>
    <w:div w:id="1664356909">
      <w:bodyDiv w:val="1"/>
      <w:marLeft w:val="0"/>
      <w:marRight w:val="0"/>
      <w:marTop w:val="0"/>
      <w:marBottom w:val="0"/>
      <w:divBdr>
        <w:top w:val="none" w:sz="0" w:space="0" w:color="auto"/>
        <w:left w:val="none" w:sz="0" w:space="0" w:color="auto"/>
        <w:bottom w:val="none" w:sz="0" w:space="0" w:color="auto"/>
        <w:right w:val="none" w:sz="0" w:space="0" w:color="auto"/>
      </w:divBdr>
    </w:div>
    <w:div w:id="1666591857">
      <w:bodyDiv w:val="1"/>
      <w:marLeft w:val="0"/>
      <w:marRight w:val="0"/>
      <w:marTop w:val="0"/>
      <w:marBottom w:val="0"/>
      <w:divBdr>
        <w:top w:val="none" w:sz="0" w:space="0" w:color="auto"/>
        <w:left w:val="none" w:sz="0" w:space="0" w:color="auto"/>
        <w:bottom w:val="none" w:sz="0" w:space="0" w:color="auto"/>
        <w:right w:val="none" w:sz="0" w:space="0" w:color="auto"/>
      </w:divBdr>
    </w:div>
    <w:div w:id="1669167905">
      <w:bodyDiv w:val="1"/>
      <w:marLeft w:val="0"/>
      <w:marRight w:val="0"/>
      <w:marTop w:val="0"/>
      <w:marBottom w:val="0"/>
      <w:divBdr>
        <w:top w:val="none" w:sz="0" w:space="0" w:color="auto"/>
        <w:left w:val="none" w:sz="0" w:space="0" w:color="auto"/>
        <w:bottom w:val="none" w:sz="0" w:space="0" w:color="auto"/>
        <w:right w:val="none" w:sz="0" w:space="0" w:color="auto"/>
      </w:divBdr>
    </w:div>
    <w:div w:id="1678997363">
      <w:bodyDiv w:val="1"/>
      <w:marLeft w:val="0"/>
      <w:marRight w:val="0"/>
      <w:marTop w:val="0"/>
      <w:marBottom w:val="0"/>
      <w:divBdr>
        <w:top w:val="none" w:sz="0" w:space="0" w:color="auto"/>
        <w:left w:val="none" w:sz="0" w:space="0" w:color="auto"/>
        <w:bottom w:val="none" w:sz="0" w:space="0" w:color="auto"/>
        <w:right w:val="none" w:sz="0" w:space="0" w:color="auto"/>
      </w:divBdr>
    </w:div>
    <w:div w:id="1683698592">
      <w:bodyDiv w:val="1"/>
      <w:marLeft w:val="0"/>
      <w:marRight w:val="0"/>
      <w:marTop w:val="0"/>
      <w:marBottom w:val="0"/>
      <w:divBdr>
        <w:top w:val="none" w:sz="0" w:space="0" w:color="auto"/>
        <w:left w:val="none" w:sz="0" w:space="0" w:color="auto"/>
        <w:bottom w:val="none" w:sz="0" w:space="0" w:color="auto"/>
        <w:right w:val="none" w:sz="0" w:space="0" w:color="auto"/>
      </w:divBdr>
    </w:div>
    <w:div w:id="1684698612">
      <w:bodyDiv w:val="1"/>
      <w:marLeft w:val="0"/>
      <w:marRight w:val="0"/>
      <w:marTop w:val="0"/>
      <w:marBottom w:val="0"/>
      <w:divBdr>
        <w:top w:val="none" w:sz="0" w:space="0" w:color="auto"/>
        <w:left w:val="none" w:sz="0" w:space="0" w:color="auto"/>
        <w:bottom w:val="none" w:sz="0" w:space="0" w:color="auto"/>
        <w:right w:val="none" w:sz="0" w:space="0" w:color="auto"/>
      </w:divBdr>
    </w:div>
    <w:div w:id="1687125695">
      <w:bodyDiv w:val="1"/>
      <w:marLeft w:val="0"/>
      <w:marRight w:val="0"/>
      <w:marTop w:val="0"/>
      <w:marBottom w:val="0"/>
      <w:divBdr>
        <w:top w:val="none" w:sz="0" w:space="0" w:color="auto"/>
        <w:left w:val="none" w:sz="0" w:space="0" w:color="auto"/>
        <w:bottom w:val="none" w:sz="0" w:space="0" w:color="auto"/>
        <w:right w:val="none" w:sz="0" w:space="0" w:color="auto"/>
      </w:divBdr>
    </w:div>
    <w:div w:id="1689941383">
      <w:bodyDiv w:val="1"/>
      <w:marLeft w:val="0"/>
      <w:marRight w:val="0"/>
      <w:marTop w:val="0"/>
      <w:marBottom w:val="0"/>
      <w:divBdr>
        <w:top w:val="none" w:sz="0" w:space="0" w:color="auto"/>
        <w:left w:val="none" w:sz="0" w:space="0" w:color="auto"/>
        <w:bottom w:val="none" w:sz="0" w:space="0" w:color="auto"/>
        <w:right w:val="none" w:sz="0" w:space="0" w:color="auto"/>
      </w:divBdr>
    </w:div>
    <w:div w:id="1701785081">
      <w:bodyDiv w:val="1"/>
      <w:marLeft w:val="0"/>
      <w:marRight w:val="0"/>
      <w:marTop w:val="0"/>
      <w:marBottom w:val="0"/>
      <w:divBdr>
        <w:top w:val="none" w:sz="0" w:space="0" w:color="auto"/>
        <w:left w:val="none" w:sz="0" w:space="0" w:color="auto"/>
        <w:bottom w:val="none" w:sz="0" w:space="0" w:color="auto"/>
        <w:right w:val="none" w:sz="0" w:space="0" w:color="auto"/>
      </w:divBdr>
    </w:div>
    <w:div w:id="1703482416">
      <w:bodyDiv w:val="1"/>
      <w:marLeft w:val="0"/>
      <w:marRight w:val="0"/>
      <w:marTop w:val="0"/>
      <w:marBottom w:val="0"/>
      <w:divBdr>
        <w:top w:val="none" w:sz="0" w:space="0" w:color="auto"/>
        <w:left w:val="none" w:sz="0" w:space="0" w:color="auto"/>
        <w:bottom w:val="none" w:sz="0" w:space="0" w:color="auto"/>
        <w:right w:val="none" w:sz="0" w:space="0" w:color="auto"/>
      </w:divBdr>
    </w:div>
    <w:div w:id="1705061422">
      <w:bodyDiv w:val="1"/>
      <w:marLeft w:val="0"/>
      <w:marRight w:val="0"/>
      <w:marTop w:val="0"/>
      <w:marBottom w:val="0"/>
      <w:divBdr>
        <w:top w:val="none" w:sz="0" w:space="0" w:color="auto"/>
        <w:left w:val="none" w:sz="0" w:space="0" w:color="auto"/>
        <w:bottom w:val="none" w:sz="0" w:space="0" w:color="auto"/>
        <w:right w:val="none" w:sz="0" w:space="0" w:color="auto"/>
      </w:divBdr>
    </w:div>
    <w:div w:id="1707679766">
      <w:bodyDiv w:val="1"/>
      <w:marLeft w:val="0"/>
      <w:marRight w:val="0"/>
      <w:marTop w:val="0"/>
      <w:marBottom w:val="0"/>
      <w:divBdr>
        <w:top w:val="none" w:sz="0" w:space="0" w:color="auto"/>
        <w:left w:val="none" w:sz="0" w:space="0" w:color="auto"/>
        <w:bottom w:val="none" w:sz="0" w:space="0" w:color="auto"/>
        <w:right w:val="none" w:sz="0" w:space="0" w:color="auto"/>
      </w:divBdr>
    </w:div>
    <w:div w:id="1708946523">
      <w:bodyDiv w:val="1"/>
      <w:marLeft w:val="0"/>
      <w:marRight w:val="0"/>
      <w:marTop w:val="0"/>
      <w:marBottom w:val="0"/>
      <w:divBdr>
        <w:top w:val="none" w:sz="0" w:space="0" w:color="auto"/>
        <w:left w:val="none" w:sz="0" w:space="0" w:color="auto"/>
        <w:bottom w:val="none" w:sz="0" w:space="0" w:color="auto"/>
        <w:right w:val="none" w:sz="0" w:space="0" w:color="auto"/>
      </w:divBdr>
    </w:div>
    <w:div w:id="1717240741">
      <w:bodyDiv w:val="1"/>
      <w:marLeft w:val="0"/>
      <w:marRight w:val="0"/>
      <w:marTop w:val="0"/>
      <w:marBottom w:val="0"/>
      <w:divBdr>
        <w:top w:val="none" w:sz="0" w:space="0" w:color="auto"/>
        <w:left w:val="none" w:sz="0" w:space="0" w:color="auto"/>
        <w:bottom w:val="none" w:sz="0" w:space="0" w:color="auto"/>
        <w:right w:val="none" w:sz="0" w:space="0" w:color="auto"/>
      </w:divBdr>
    </w:div>
    <w:div w:id="1719626896">
      <w:bodyDiv w:val="1"/>
      <w:marLeft w:val="0"/>
      <w:marRight w:val="0"/>
      <w:marTop w:val="0"/>
      <w:marBottom w:val="0"/>
      <w:divBdr>
        <w:top w:val="none" w:sz="0" w:space="0" w:color="auto"/>
        <w:left w:val="none" w:sz="0" w:space="0" w:color="auto"/>
        <w:bottom w:val="none" w:sz="0" w:space="0" w:color="auto"/>
        <w:right w:val="none" w:sz="0" w:space="0" w:color="auto"/>
      </w:divBdr>
    </w:div>
    <w:div w:id="1737127758">
      <w:bodyDiv w:val="1"/>
      <w:marLeft w:val="0"/>
      <w:marRight w:val="0"/>
      <w:marTop w:val="0"/>
      <w:marBottom w:val="0"/>
      <w:divBdr>
        <w:top w:val="none" w:sz="0" w:space="0" w:color="auto"/>
        <w:left w:val="none" w:sz="0" w:space="0" w:color="auto"/>
        <w:bottom w:val="none" w:sz="0" w:space="0" w:color="auto"/>
        <w:right w:val="none" w:sz="0" w:space="0" w:color="auto"/>
      </w:divBdr>
    </w:div>
    <w:div w:id="1743604879">
      <w:bodyDiv w:val="1"/>
      <w:marLeft w:val="0"/>
      <w:marRight w:val="0"/>
      <w:marTop w:val="0"/>
      <w:marBottom w:val="0"/>
      <w:divBdr>
        <w:top w:val="none" w:sz="0" w:space="0" w:color="auto"/>
        <w:left w:val="none" w:sz="0" w:space="0" w:color="auto"/>
        <w:bottom w:val="none" w:sz="0" w:space="0" w:color="auto"/>
        <w:right w:val="none" w:sz="0" w:space="0" w:color="auto"/>
      </w:divBdr>
    </w:div>
    <w:div w:id="1746993278">
      <w:bodyDiv w:val="1"/>
      <w:marLeft w:val="0"/>
      <w:marRight w:val="0"/>
      <w:marTop w:val="0"/>
      <w:marBottom w:val="0"/>
      <w:divBdr>
        <w:top w:val="none" w:sz="0" w:space="0" w:color="auto"/>
        <w:left w:val="none" w:sz="0" w:space="0" w:color="auto"/>
        <w:bottom w:val="none" w:sz="0" w:space="0" w:color="auto"/>
        <w:right w:val="none" w:sz="0" w:space="0" w:color="auto"/>
      </w:divBdr>
    </w:div>
    <w:div w:id="1756173703">
      <w:bodyDiv w:val="1"/>
      <w:marLeft w:val="0"/>
      <w:marRight w:val="0"/>
      <w:marTop w:val="0"/>
      <w:marBottom w:val="0"/>
      <w:divBdr>
        <w:top w:val="none" w:sz="0" w:space="0" w:color="auto"/>
        <w:left w:val="none" w:sz="0" w:space="0" w:color="auto"/>
        <w:bottom w:val="none" w:sz="0" w:space="0" w:color="auto"/>
        <w:right w:val="none" w:sz="0" w:space="0" w:color="auto"/>
      </w:divBdr>
    </w:div>
    <w:div w:id="1764064828">
      <w:bodyDiv w:val="1"/>
      <w:marLeft w:val="0"/>
      <w:marRight w:val="0"/>
      <w:marTop w:val="0"/>
      <w:marBottom w:val="0"/>
      <w:divBdr>
        <w:top w:val="none" w:sz="0" w:space="0" w:color="auto"/>
        <w:left w:val="none" w:sz="0" w:space="0" w:color="auto"/>
        <w:bottom w:val="none" w:sz="0" w:space="0" w:color="auto"/>
        <w:right w:val="none" w:sz="0" w:space="0" w:color="auto"/>
      </w:divBdr>
    </w:div>
    <w:div w:id="1764105486">
      <w:bodyDiv w:val="1"/>
      <w:marLeft w:val="0"/>
      <w:marRight w:val="0"/>
      <w:marTop w:val="0"/>
      <w:marBottom w:val="0"/>
      <w:divBdr>
        <w:top w:val="none" w:sz="0" w:space="0" w:color="auto"/>
        <w:left w:val="none" w:sz="0" w:space="0" w:color="auto"/>
        <w:bottom w:val="none" w:sz="0" w:space="0" w:color="auto"/>
        <w:right w:val="none" w:sz="0" w:space="0" w:color="auto"/>
      </w:divBdr>
      <w:divsChild>
        <w:div w:id="1623339525">
          <w:marLeft w:val="0"/>
          <w:marRight w:val="0"/>
          <w:marTop w:val="0"/>
          <w:marBottom w:val="60"/>
          <w:divBdr>
            <w:top w:val="none" w:sz="0" w:space="0" w:color="auto"/>
            <w:left w:val="none" w:sz="0" w:space="0" w:color="auto"/>
            <w:bottom w:val="none" w:sz="0" w:space="0" w:color="auto"/>
            <w:right w:val="none" w:sz="0" w:space="0" w:color="auto"/>
          </w:divBdr>
          <w:divsChild>
            <w:div w:id="1016272276">
              <w:marLeft w:val="0"/>
              <w:marRight w:val="0"/>
              <w:marTop w:val="0"/>
              <w:marBottom w:val="0"/>
              <w:divBdr>
                <w:top w:val="none" w:sz="0" w:space="0" w:color="auto"/>
                <w:left w:val="none" w:sz="0" w:space="0" w:color="auto"/>
                <w:bottom w:val="none" w:sz="0" w:space="0" w:color="auto"/>
                <w:right w:val="none" w:sz="0" w:space="0" w:color="auto"/>
              </w:divBdr>
              <w:divsChild>
                <w:div w:id="743339144">
                  <w:marLeft w:val="0"/>
                  <w:marRight w:val="0"/>
                  <w:marTop w:val="0"/>
                  <w:marBottom w:val="0"/>
                  <w:divBdr>
                    <w:top w:val="none" w:sz="0" w:space="0" w:color="auto"/>
                    <w:left w:val="none" w:sz="0" w:space="0" w:color="auto"/>
                    <w:bottom w:val="none" w:sz="0" w:space="0" w:color="auto"/>
                    <w:right w:val="none" w:sz="0" w:space="0" w:color="auto"/>
                  </w:divBdr>
                  <w:divsChild>
                    <w:div w:id="12416381">
                      <w:marLeft w:val="0"/>
                      <w:marRight w:val="150"/>
                      <w:marTop w:val="30"/>
                      <w:marBottom w:val="0"/>
                      <w:divBdr>
                        <w:top w:val="none" w:sz="0" w:space="0" w:color="auto"/>
                        <w:left w:val="none" w:sz="0" w:space="0" w:color="auto"/>
                        <w:bottom w:val="none" w:sz="0" w:space="0" w:color="auto"/>
                        <w:right w:val="none" w:sz="0" w:space="0" w:color="auto"/>
                      </w:divBdr>
                      <w:divsChild>
                        <w:div w:id="851382813">
                          <w:marLeft w:val="0"/>
                          <w:marRight w:val="0"/>
                          <w:marTop w:val="0"/>
                          <w:marBottom w:val="0"/>
                          <w:divBdr>
                            <w:top w:val="none" w:sz="0" w:space="0" w:color="auto"/>
                            <w:left w:val="none" w:sz="0" w:space="0" w:color="auto"/>
                            <w:bottom w:val="none" w:sz="0" w:space="0" w:color="auto"/>
                            <w:right w:val="none" w:sz="0" w:space="0" w:color="auto"/>
                          </w:divBdr>
                        </w:div>
                      </w:divsChild>
                    </w:div>
                    <w:div w:id="433477309">
                      <w:marLeft w:val="0"/>
                      <w:marRight w:val="150"/>
                      <w:marTop w:val="30"/>
                      <w:marBottom w:val="0"/>
                      <w:divBdr>
                        <w:top w:val="none" w:sz="0" w:space="0" w:color="auto"/>
                        <w:left w:val="none" w:sz="0" w:space="0" w:color="auto"/>
                        <w:bottom w:val="none" w:sz="0" w:space="0" w:color="auto"/>
                        <w:right w:val="none" w:sz="0" w:space="0" w:color="auto"/>
                      </w:divBdr>
                      <w:divsChild>
                        <w:div w:id="22290221">
                          <w:marLeft w:val="0"/>
                          <w:marRight w:val="0"/>
                          <w:marTop w:val="0"/>
                          <w:marBottom w:val="0"/>
                          <w:divBdr>
                            <w:top w:val="none" w:sz="0" w:space="0" w:color="auto"/>
                            <w:left w:val="none" w:sz="0" w:space="0" w:color="auto"/>
                            <w:bottom w:val="none" w:sz="0" w:space="0" w:color="auto"/>
                            <w:right w:val="none" w:sz="0" w:space="0" w:color="auto"/>
                          </w:divBdr>
                        </w:div>
                      </w:divsChild>
                    </w:div>
                    <w:div w:id="1112283552">
                      <w:marLeft w:val="0"/>
                      <w:marRight w:val="0"/>
                      <w:marTop w:val="0"/>
                      <w:marBottom w:val="0"/>
                      <w:divBdr>
                        <w:top w:val="none" w:sz="0" w:space="0" w:color="auto"/>
                        <w:left w:val="none" w:sz="0" w:space="0" w:color="auto"/>
                        <w:bottom w:val="none" w:sz="0" w:space="0" w:color="auto"/>
                        <w:right w:val="none" w:sz="0" w:space="0" w:color="auto"/>
                      </w:divBdr>
                      <w:divsChild>
                        <w:div w:id="954290922">
                          <w:marLeft w:val="0"/>
                          <w:marRight w:val="0"/>
                          <w:marTop w:val="0"/>
                          <w:marBottom w:val="0"/>
                          <w:divBdr>
                            <w:top w:val="none" w:sz="0" w:space="0" w:color="auto"/>
                            <w:left w:val="none" w:sz="0" w:space="0" w:color="auto"/>
                            <w:bottom w:val="none" w:sz="0" w:space="0" w:color="auto"/>
                            <w:right w:val="none" w:sz="0" w:space="0" w:color="auto"/>
                          </w:divBdr>
                        </w:div>
                        <w:div w:id="1764914082">
                          <w:marLeft w:val="0"/>
                          <w:marRight w:val="0"/>
                          <w:marTop w:val="0"/>
                          <w:marBottom w:val="0"/>
                          <w:divBdr>
                            <w:top w:val="none" w:sz="0" w:space="0" w:color="auto"/>
                            <w:left w:val="none" w:sz="0" w:space="0" w:color="auto"/>
                            <w:bottom w:val="none" w:sz="0" w:space="0" w:color="auto"/>
                            <w:right w:val="none" w:sz="0" w:space="0" w:color="auto"/>
                          </w:divBdr>
                        </w:div>
                      </w:divsChild>
                    </w:div>
                    <w:div w:id="1066496466">
                      <w:marLeft w:val="0"/>
                      <w:marRight w:val="150"/>
                      <w:marTop w:val="30"/>
                      <w:marBottom w:val="0"/>
                      <w:divBdr>
                        <w:top w:val="none" w:sz="0" w:space="0" w:color="auto"/>
                        <w:left w:val="none" w:sz="0" w:space="0" w:color="auto"/>
                        <w:bottom w:val="none" w:sz="0" w:space="0" w:color="auto"/>
                        <w:right w:val="none" w:sz="0" w:space="0" w:color="auto"/>
                      </w:divBdr>
                      <w:divsChild>
                        <w:div w:id="794059558">
                          <w:marLeft w:val="0"/>
                          <w:marRight w:val="0"/>
                          <w:marTop w:val="0"/>
                          <w:marBottom w:val="0"/>
                          <w:divBdr>
                            <w:top w:val="none" w:sz="0" w:space="0" w:color="auto"/>
                            <w:left w:val="none" w:sz="0" w:space="0" w:color="auto"/>
                            <w:bottom w:val="none" w:sz="0" w:space="0" w:color="auto"/>
                            <w:right w:val="none" w:sz="0" w:space="0" w:color="auto"/>
                          </w:divBdr>
                          <w:divsChild>
                            <w:div w:id="665403848">
                              <w:marLeft w:val="0"/>
                              <w:marRight w:val="0"/>
                              <w:marTop w:val="30"/>
                              <w:marBottom w:val="30"/>
                              <w:divBdr>
                                <w:top w:val="single" w:sz="6" w:space="0" w:color="DADCE0"/>
                                <w:left w:val="single" w:sz="6" w:space="6" w:color="DADCE0"/>
                                <w:bottom w:val="single" w:sz="6" w:space="0" w:color="DADCE0"/>
                                <w:right w:val="single" w:sz="6" w:space="6" w:color="DADCE0"/>
                              </w:divBdr>
                            </w:div>
                          </w:divsChild>
                        </w:div>
                      </w:divsChild>
                    </w:div>
                  </w:divsChild>
                </w:div>
              </w:divsChild>
            </w:div>
          </w:divsChild>
        </w:div>
        <w:div w:id="2022657489">
          <w:marLeft w:val="0"/>
          <w:marRight w:val="0"/>
          <w:marTop w:val="0"/>
          <w:marBottom w:val="0"/>
          <w:divBdr>
            <w:top w:val="none" w:sz="0" w:space="0" w:color="auto"/>
            <w:left w:val="none" w:sz="0" w:space="0" w:color="auto"/>
            <w:bottom w:val="none" w:sz="0" w:space="0" w:color="auto"/>
            <w:right w:val="none" w:sz="0" w:space="0" w:color="auto"/>
          </w:divBdr>
        </w:div>
      </w:divsChild>
    </w:div>
    <w:div w:id="1766420872">
      <w:bodyDiv w:val="1"/>
      <w:marLeft w:val="0"/>
      <w:marRight w:val="0"/>
      <w:marTop w:val="0"/>
      <w:marBottom w:val="0"/>
      <w:divBdr>
        <w:top w:val="none" w:sz="0" w:space="0" w:color="auto"/>
        <w:left w:val="none" w:sz="0" w:space="0" w:color="auto"/>
        <w:bottom w:val="none" w:sz="0" w:space="0" w:color="auto"/>
        <w:right w:val="none" w:sz="0" w:space="0" w:color="auto"/>
      </w:divBdr>
    </w:div>
    <w:div w:id="1767382800">
      <w:bodyDiv w:val="1"/>
      <w:marLeft w:val="0"/>
      <w:marRight w:val="0"/>
      <w:marTop w:val="0"/>
      <w:marBottom w:val="0"/>
      <w:divBdr>
        <w:top w:val="none" w:sz="0" w:space="0" w:color="auto"/>
        <w:left w:val="none" w:sz="0" w:space="0" w:color="auto"/>
        <w:bottom w:val="none" w:sz="0" w:space="0" w:color="auto"/>
        <w:right w:val="none" w:sz="0" w:space="0" w:color="auto"/>
      </w:divBdr>
    </w:div>
    <w:div w:id="1769500668">
      <w:bodyDiv w:val="1"/>
      <w:marLeft w:val="0"/>
      <w:marRight w:val="0"/>
      <w:marTop w:val="0"/>
      <w:marBottom w:val="0"/>
      <w:divBdr>
        <w:top w:val="none" w:sz="0" w:space="0" w:color="auto"/>
        <w:left w:val="none" w:sz="0" w:space="0" w:color="auto"/>
        <w:bottom w:val="none" w:sz="0" w:space="0" w:color="auto"/>
        <w:right w:val="none" w:sz="0" w:space="0" w:color="auto"/>
      </w:divBdr>
    </w:div>
    <w:div w:id="1777676970">
      <w:bodyDiv w:val="1"/>
      <w:marLeft w:val="0"/>
      <w:marRight w:val="0"/>
      <w:marTop w:val="0"/>
      <w:marBottom w:val="0"/>
      <w:divBdr>
        <w:top w:val="none" w:sz="0" w:space="0" w:color="auto"/>
        <w:left w:val="none" w:sz="0" w:space="0" w:color="auto"/>
        <w:bottom w:val="none" w:sz="0" w:space="0" w:color="auto"/>
        <w:right w:val="none" w:sz="0" w:space="0" w:color="auto"/>
      </w:divBdr>
    </w:div>
    <w:div w:id="1780948558">
      <w:bodyDiv w:val="1"/>
      <w:marLeft w:val="0"/>
      <w:marRight w:val="0"/>
      <w:marTop w:val="0"/>
      <w:marBottom w:val="0"/>
      <w:divBdr>
        <w:top w:val="none" w:sz="0" w:space="0" w:color="auto"/>
        <w:left w:val="none" w:sz="0" w:space="0" w:color="auto"/>
        <w:bottom w:val="none" w:sz="0" w:space="0" w:color="auto"/>
        <w:right w:val="none" w:sz="0" w:space="0" w:color="auto"/>
      </w:divBdr>
    </w:div>
    <w:div w:id="1788818799">
      <w:bodyDiv w:val="1"/>
      <w:marLeft w:val="0"/>
      <w:marRight w:val="0"/>
      <w:marTop w:val="0"/>
      <w:marBottom w:val="0"/>
      <w:divBdr>
        <w:top w:val="none" w:sz="0" w:space="0" w:color="auto"/>
        <w:left w:val="none" w:sz="0" w:space="0" w:color="auto"/>
        <w:bottom w:val="none" w:sz="0" w:space="0" w:color="auto"/>
        <w:right w:val="none" w:sz="0" w:space="0" w:color="auto"/>
      </w:divBdr>
    </w:div>
    <w:div w:id="1788893391">
      <w:bodyDiv w:val="1"/>
      <w:marLeft w:val="0"/>
      <w:marRight w:val="0"/>
      <w:marTop w:val="0"/>
      <w:marBottom w:val="0"/>
      <w:divBdr>
        <w:top w:val="none" w:sz="0" w:space="0" w:color="auto"/>
        <w:left w:val="none" w:sz="0" w:space="0" w:color="auto"/>
        <w:bottom w:val="none" w:sz="0" w:space="0" w:color="auto"/>
        <w:right w:val="none" w:sz="0" w:space="0" w:color="auto"/>
      </w:divBdr>
    </w:div>
    <w:div w:id="1791974125">
      <w:bodyDiv w:val="1"/>
      <w:marLeft w:val="0"/>
      <w:marRight w:val="0"/>
      <w:marTop w:val="0"/>
      <w:marBottom w:val="0"/>
      <w:divBdr>
        <w:top w:val="none" w:sz="0" w:space="0" w:color="auto"/>
        <w:left w:val="none" w:sz="0" w:space="0" w:color="auto"/>
        <w:bottom w:val="none" w:sz="0" w:space="0" w:color="auto"/>
        <w:right w:val="none" w:sz="0" w:space="0" w:color="auto"/>
      </w:divBdr>
    </w:div>
    <w:div w:id="1794789316">
      <w:bodyDiv w:val="1"/>
      <w:marLeft w:val="0"/>
      <w:marRight w:val="0"/>
      <w:marTop w:val="0"/>
      <w:marBottom w:val="0"/>
      <w:divBdr>
        <w:top w:val="none" w:sz="0" w:space="0" w:color="auto"/>
        <w:left w:val="none" w:sz="0" w:space="0" w:color="auto"/>
        <w:bottom w:val="none" w:sz="0" w:space="0" w:color="auto"/>
        <w:right w:val="none" w:sz="0" w:space="0" w:color="auto"/>
      </w:divBdr>
    </w:div>
    <w:div w:id="1812676036">
      <w:bodyDiv w:val="1"/>
      <w:marLeft w:val="0"/>
      <w:marRight w:val="0"/>
      <w:marTop w:val="0"/>
      <w:marBottom w:val="0"/>
      <w:divBdr>
        <w:top w:val="none" w:sz="0" w:space="0" w:color="auto"/>
        <w:left w:val="none" w:sz="0" w:space="0" w:color="auto"/>
        <w:bottom w:val="none" w:sz="0" w:space="0" w:color="auto"/>
        <w:right w:val="none" w:sz="0" w:space="0" w:color="auto"/>
      </w:divBdr>
    </w:div>
    <w:div w:id="1814172689">
      <w:bodyDiv w:val="1"/>
      <w:marLeft w:val="0"/>
      <w:marRight w:val="0"/>
      <w:marTop w:val="0"/>
      <w:marBottom w:val="0"/>
      <w:divBdr>
        <w:top w:val="none" w:sz="0" w:space="0" w:color="auto"/>
        <w:left w:val="none" w:sz="0" w:space="0" w:color="auto"/>
        <w:bottom w:val="none" w:sz="0" w:space="0" w:color="auto"/>
        <w:right w:val="none" w:sz="0" w:space="0" w:color="auto"/>
      </w:divBdr>
    </w:div>
    <w:div w:id="1818106701">
      <w:bodyDiv w:val="1"/>
      <w:marLeft w:val="0"/>
      <w:marRight w:val="0"/>
      <w:marTop w:val="0"/>
      <w:marBottom w:val="0"/>
      <w:divBdr>
        <w:top w:val="none" w:sz="0" w:space="0" w:color="auto"/>
        <w:left w:val="none" w:sz="0" w:space="0" w:color="auto"/>
        <w:bottom w:val="none" w:sz="0" w:space="0" w:color="auto"/>
        <w:right w:val="none" w:sz="0" w:space="0" w:color="auto"/>
      </w:divBdr>
    </w:div>
    <w:div w:id="1825777087">
      <w:bodyDiv w:val="1"/>
      <w:marLeft w:val="0"/>
      <w:marRight w:val="0"/>
      <w:marTop w:val="0"/>
      <w:marBottom w:val="0"/>
      <w:divBdr>
        <w:top w:val="none" w:sz="0" w:space="0" w:color="auto"/>
        <w:left w:val="none" w:sz="0" w:space="0" w:color="auto"/>
        <w:bottom w:val="none" w:sz="0" w:space="0" w:color="auto"/>
        <w:right w:val="none" w:sz="0" w:space="0" w:color="auto"/>
      </w:divBdr>
    </w:div>
    <w:div w:id="1835099045">
      <w:bodyDiv w:val="1"/>
      <w:marLeft w:val="0"/>
      <w:marRight w:val="0"/>
      <w:marTop w:val="0"/>
      <w:marBottom w:val="0"/>
      <w:divBdr>
        <w:top w:val="none" w:sz="0" w:space="0" w:color="auto"/>
        <w:left w:val="none" w:sz="0" w:space="0" w:color="auto"/>
        <w:bottom w:val="none" w:sz="0" w:space="0" w:color="auto"/>
        <w:right w:val="none" w:sz="0" w:space="0" w:color="auto"/>
      </w:divBdr>
    </w:div>
    <w:div w:id="1850024379">
      <w:bodyDiv w:val="1"/>
      <w:marLeft w:val="0"/>
      <w:marRight w:val="0"/>
      <w:marTop w:val="0"/>
      <w:marBottom w:val="0"/>
      <w:divBdr>
        <w:top w:val="none" w:sz="0" w:space="0" w:color="auto"/>
        <w:left w:val="none" w:sz="0" w:space="0" w:color="auto"/>
        <w:bottom w:val="none" w:sz="0" w:space="0" w:color="auto"/>
        <w:right w:val="none" w:sz="0" w:space="0" w:color="auto"/>
      </w:divBdr>
    </w:div>
    <w:div w:id="1851333005">
      <w:bodyDiv w:val="1"/>
      <w:marLeft w:val="0"/>
      <w:marRight w:val="0"/>
      <w:marTop w:val="0"/>
      <w:marBottom w:val="0"/>
      <w:divBdr>
        <w:top w:val="none" w:sz="0" w:space="0" w:color="auto"/>
        <w:left w:val="none" w:sz="0" w:space="0" w:color="auto"/>
        <w:bottom w:val="none" w:sz="0" w:space="0" w:color="auto"/>
        <w:right w:val="none" w:sz="0" w:space="0" w:color="auto"/>
      </w:divBdr>
    </w:div>
    <w:div w:id="1853717222">
      <w:bodyDiv w:val="1"/>
      <w:marLeft w:val="0"/>
      <w:marRight w:val="0"/>
      <w:marTop w:val="0"/>
      <w:marBottom w:val="0"/>
      <w:divBdr>
        <w:top w:val="none" w:sz="0" w:space="0" w:color="auto"/>
        <w:left w:val="none" w:sz="0" w:space="0" w:color="auto"/>
        <w:bottom w:val="none" w:sz="0" w:space="0" w:color="auto"/>
        <w:right w:val="none" w:sz="0" w:space="0" w:color="auto"/>
      </w:divBdr>
    </w:div>
    <w:div w:id="1869367098">
      <w:bodyDiv w:val="1"/>
      <w:marLeft w:val="0"/>
      <w:marRight w:val="0"/>
      <w:marTop w:val="0"/>
      <w:marBottom w:val="0"/>
      <w:divBdr>
        <w:top w:val="none" w:sz="0" w:space="0" w:color="auto"/>
        <w:left w:val="none" w:sz="0" w:space="0" w:color="auto"/>
        <w:bottom w:val="none" w:sz="0" w:space="0" w:color="auto"/>
        <w:right w:val="none" w:sz="0" w:space="0" w:color="auto"/>
      </w:divBdr>
    </w:div>
    <w:div w:id="1869484356">
      <w:bodyDiv w:val="1"/>
      <w:marLeft w:val="0"/>
      <w:marRight w:val="0"/>
      <w:marTop w:val="0"/>
      <w:marBottom w:val="0"/>
      <w:divBdr>
        <w:top w:val="none" w:sz="0" w:space="0" w:color="auto"/>
        <w:left w:val="none" w:sz="0" w:space="0" w:color="auto"/>
        <w:bottom w:val="none" w:sz="0" w:space="0" w:color="auto"/>
        <w:right w:val="none" w:sz="0" w:space="0" w:color="auto"/>
      </w:divBdr>
    </w:div>
    <w:div w:id="1871526565">
      <w:bodyDiv w:val="1"/>
      <w:marLeft w:val="0"/>
      <w:marRight w:val="0"/>
      <w:marTop w:val="0"/>
      <w:marBottom w:val="0"/>
      <w:divBdr>
        <w:top w:val="none" w:sz="0" w:space="0" w:color="auto"/>
        <w:left w:val="none" w:sz="0" w:space="0" w:color="auto"/>
        <w:bottom w:val="none" w:sz="0" w:space="0" w:color="auto"/>
        <w:right w:val="none" w:sz="0" w:space="0" w:color="auto"/>
      </w:divBdr>
    </w:div>
    <w:div w:id="1874147127">
      <w:bodyDiv w:val="1"/>
      <w:marLeft w:val="0"/>
      <w:marRight w:val="0"/>
      <w:marTop w:val="0"/>
      <w:marBottom w:val="0"/>
      <w:divBdr>
        <w:top w:val="none" w:sz="0" w:space="0" w:color="auto"/>
        <w:left w:val="none" w:sz="0" w:space="0" w:color="auto"/>
        <w:bottom w:val="none" w:sz="0" w:space="0" w:color="auto"/>
        <w:right w:val="none" w:sz="0" w:space="0" w:color="auto"/>
      </w:divBdr>
    </w:div>
    <w:div w:id="1874801263">
      <w:bodyDiv w:val="1"/>
      <w:marLeft w:val="0"/>
      <w:marRight w:val="0"/>
      <w:marTop w:val="0"/>
      <w:marBottom w:val="0"/>
      <w:divBdr>
        <w:top w:val="none" w:sz="0" w:space="0" w:color="auto"/>
        <w:left w:val="none" w:sz="0" w:space="0" w:color="auto"/>
        <w:bottom w:val="none" w:sz="0" w:space="0" w:color="auto"/>
        <w:right w:val="none" w:sz="0" w:space="0" w:color="auto"/>
      </w:divBdr>
    </w:div>
    <w:div w:id="1877544032">
      <w:bodyDiv w:val="1"/>
      <w:marLeft w:val="0"/>
      <w:marRight w:val="0"/>
      <w:marTop w:val="0"/>
      <w:marBottom w:val="0"/>
      <w:divBdr>
        <w:top w:val="none" w:sz="0" w:space="0" w:color="auto"/>
        <w:left w:val="none" w:sz="0" w:space="0" w:color="auto"/>
        <w:bottom w:val="none" w:sz="0" w:space="0" w:color="auto"/>
        <w:right w:val="none" w:sz="0" w:space="0" w:color="auto"/>
      </w:divBdr>
    </w:div>
    <w:div w:id="1878665763">
      <w:bodyDiv w:val="1"/>
      <w:marLeft w:val="0"/>
      <w:marRight w:val="0"/>
      <w:marTop w:val="0"/>
      <w:marBottom w:val="0"/>
      <w:divBdr>
        <w:top w:val="none" w:sz="0" w:space="0" w:color="auto"/>
        <w:left w:val="none" w:sz="0" w:space="0" w:color="auto"/>
        <w:bottom w:val="none" w:sz="0" w:space="0" w:color="auto"/>
        <w:right w:val="none" w:sz="0" w:space="0" w:color="auto"/>
      </w:divBdr>
    </w:div>
    <w:div w:id="1881697613">
      <w:bodyDiv w:val="1"/>
      <w:marLeft w:val="0"/>
      <w:marRight w:val="0"/>
      <w:marTop w:val="0"/>
      <w:marBottom w:val="0"/>
      <w:divBdr>
        <w:top w:val="none" w:sz="0" w:space="0" w:color="auto"/>
        <w:left w:val="none" w:sz="0" w:space="0" w:color="auto"/>
        <w:bottom w:val="none" w:sz="0" w:space="0" w:color="auto"/>
        <w:right w:val="none" w:sz="0" w:space="0" w:color="auto"/>
      </w:divBdr>
    </w:div>
    <w:div w:id="1882549658">
      <w:bodyDiv w:val="1"/>
      <w:marLeft w:val="0"/>
      <w:marRight w:val="0"/>
      <w:marTop w:val="0"/>
      <w:marBottom w:val="0"/>
      <w:divBdr>
        <w:top w:val="none" w:sz="0" w:space="0" w:color="auto"/>
        <w:left w:val="none" w:sz="0" w:space="0" w:color="auto"/>
        <w:bottom w:val="none" w:sz="0" w:space="0" w:color="auto"/>
        <w:right w:val="none" w:sz="0" w:space="0" w:color="auto"/>
      </w:divBdr>
    </w:div>
    <w:div w:id="1882932731">
      <w:bodyDiv w:val="1"/>
      <w:marLeft w:val="0"/>
      <w:marRight w:val="0"/>
      <w:marTop w:val="0"/>
      <w:marBottom w:val="0"/>
      <w:divBdr>
        <w:top w:val="none" w:sz="0" w:space="0" w:color="auto"/>
        <w:left w:val="none" w:sz="0" w:space="0" w:color="auto"/>
        <w:bottom w:val="none" w:sz="0" w:space="0" w:color="auto"/>
        <w:right w:val="none" w:sz="0" w:space="0" w:color="auto"/>
      </w:divBdr>
    </w:div>
    <w:div w:id="1884709728">
      <w:bodyDiv w:val="1"/>
      <w:marLeft w:val="0"/>
      <w:marRight w:val="0"/>
      <w:marTop w:val="0"/>
      <w:marBottom w:val="0"/>
      <w:divBdr>
        <w:top w:val="none" w:sz="0" w:space="0" w:color="auto"/>
        <w:left w:val="none" w:sz="0" w:space="0" w:color="auto"/>
        <w:bottom w:val="none" w:sz="0" w:space="0" w:color="auto"/>
        <w:right w:val="none" w:sz="0" w:space="0" w:color="auto"/>
      </w:divBdr>
    </w:div>
    <w:div w:id="1898585953">
      <w:bodyDiv w:val="1"/>
      <w:marLeft w:val="0"/>
      <w:marRight w:val="0"/>
      <w:marTop w:val="0"/>
      <w:marBottom w:val="0"/>
      <w:divBdr>
        <w:top w:val="none" w:sz="0" w:space="0" w:color="auto"/>
        <w:left w:val="none" w:sz="0" w:space="0" w:color="auto"/>
        <w:bottom w:val="none" w:sz="0" w:space="0" w:color="auto"/>
        <w:right w:val="none" w:sz="0" w:space="0" w:color="auto"/>
      </w:divBdr>
    </w:div>
    <w:div w:id="1901669142">
      <w:bodyDiv w:val="1"/>
      <w:marLeft w:val="0"/>
      <w:marRight w:val="0"/>
      <w:marTop w:val="0"/>
      <w:marBottom w:val="0"/>
      <w:divBdr>
        <w:top w:val="none" w:sz="0" w:space="0" w:color="auto"/>
        <w:left w:val="none" w:sz="0" w:space="0" w:color="auto"/>
        <w:bottom w:val="none" w:sz="0" w:space="0" w:color="auto"/>
        <w:right w:val="none" w:sz="0" w:space="0" w:color="auto"/>
      </w:divBdr>
    </w:div>
    <w:div w:id="1904020344">
      <w:bodyDiv w:val="1"/>
      <w:marLeft w:val="0"/>
      <w:marRight w:val="0"/>
      <w:marTop w:val="0"/>
      <w:marBottom w:val="0"/>
      <w:divBdr>
        <w:top w:val="none" w:sz="0" w:space="0" w:color="auto"/>
        <w:left w:val="none" w:sz="0" w:space="0" w:color="auto"/>
        <w:bottom w:val="none" w:sz="0" w:space="0" w:color="auto"/>
        <w:right w:val="none" w:sz="0" w:space="0" w:color="auto"/>
      </w:divBdr>
    </w:div>
    <w:div w:id="1912111048">
      <w:bodyDiv w:val="1"/>
      <w:marLeft w:val="0"/>
      <w:marRight w:val="0"/>
      <w:marTop w:val="0"/>
      <w:marBottom w:val="0"/>
      <w:divBdr>
        <w:top w:val="none" w:sz="0" w:space="0" w:color="auto"/>
        <w:left w:val="none" w:sz="0" w:space="0" w:color="auto"/>
        <w:bottom w:val="none" w:sz="0" w:space="0" w:color="auto"/>
        <w:right w:val="none" w:sz="0" w:space="0" w:color="auto"/>
      </w:divBdr>
    </w:div>
    <w:div w:id="1920796632">
      <w:bodyDiv w:val="1"/>
      <w:marLeft w:val="0"/>
      <w:marRight w:val="0"/>
      <w:marTop w:val="0"/>
      <w:marBottom w:val="0"/>
      <w:divBdr>
        <w:top w:val="none" w:sz="0" w:space="0" w:color="auto"/>
        <w:left w:val="none" w:sz="0" w:space="0" w:color="auto"/>
        <w:bottom w:val="none" w:sz="0" w:space="0" w:color="auto"/>
        <w:right w:val="none" w:sz="0" w:space="0" w:color="auto"/>
      </w:divBdr>
    </w:div>
    <w:div w:id="1921324795">
      <w:bodyDiv w:val="1"/>
      <w:marLeft w:val="0"/>
      <w:marRight w:val="0"/>
      <w:marTop w:val="0"/>
      <w:marBottom w:val="0"/>
      <w:divBdr>
        <w:top w:val="none" w:sz="0" w:space="0" w:color="auto"/>
        <w:left w:val="none" w:sz="0" w:space="0" w:color="auto"/>
        <w:bottom w:val="none" w:sz="0" w:space="0" w:color="auto"/>
        <w:right w:val="none" w:sz="0" w:space="0" w:color="auto"/>
      </w:divBdr>
    </w:div>
    <w:div w:id="1932423596">
      <w:bodyDiv w:val="1"/>
      <w:marLeft w:val="0"/>
      <w:marRight w:val="0"/>
      <w:marTop w:val="0"/>
      <w:marBottom w:val="0"/>
      <w:divBdr>
        <w:top w:val="none" w:sz="0" w:space="0" w:color="auto"/>
        <w:left w:val="none" w:sz="0" w:space="0" w:color="auto"/>
        <w:bottom w:val="none" w:sz="0" w:space="0" w:color="auto"/>
        <w:right w:val="none" w:sz="0" w:space="0" w:color="auto"/>
      </w:divBdr>
    </w:div>
    <w:div w:id="1943414674">
      <w:bodyDiv w:val="1"/>
      <w:marLeft w:val="0"/>
      <w:marRight w:val="0"/>
      <w:marTop w:val="0"/>
      <w:marBottom w:val="0"/>
      <w:divBdr>
        <w:top w:val="none" w:sz="0" w:space="0" w:color="auto"/>
        <w:left w:val="none" w:sz="0" w:space="0" w:color="auto"/>
        <w:bottom w:val="none" w:sz="0" w:space="0" w:color="auto"/>
        <w:right w:val="none" w:sz="0" w:space="0" w:color="auto"/>
      </w:divBdr>
    </w:div>
    <w:div w:id="1944803806">
      <w:bodyDiv w:val="1"/>
      <w:marLeft w:val="0"/>
      <w:marRight w:val="0"/>
      <w:marTop w:val="0"/>
      <w:marBottom w:val="0"/>
      <w:divBdr>
        <w:top w:val="none" w:sz="0" w:space="0" w:color="auto"/>
        <w:left w:val="none" w:sz="0" w:space="0" w:color="auto"/>
        <w:bottom w:val="none" w:sz="0" w:space="0" w:color="auto"/>
        <w:right w:val="none" w:sz="0" w:space="0" w:color="auto"/>
      </w:divBdr>
    </w:div>
    <w:div w:id="1947881905">
      <w:bodyDiv w:val="1"/>
      <w:marLeft w:val="0"/>
      <w:marRight w:val="0"/>
      <w:marTop w:val="0"/>
      <w:marBottom w:val="0"/>
      <w:divBdr>
        <w:top w:val="none" w:sz="0" w:space="0" w:color="auto"/>
        <w:left w:val="none" w:sz="0" w:space="0" w:color="auto"/>
        <w:bottom w:val="none" w:sz="0" w:space="0" w:color="auto"/>
        <w:right w:val="none" w:sz="0" w:space="0" w:color="auto"/>
      </w:divBdr>
    </w:div>
    <w:div w:id="1958831620">
      <w:bodyDiv w:val="1"/>
      <w:marLeft w:val="0"/>
      <w:marRight w:val="0"/>
      <w:marTop w:val="0"/>
      <w:marBottom w:val="0"/>
      <w:divBdr>
        <w:top w:val="none" w:sz="0" w:space="0" w:color="auto"/>
        <w:left w:val="none" w:sz="0" w:space="0" w:color="auto"/>
        <w:bottom w:val="none" w:sz="0" w:space="0" w:color="auto"/>
        <w:right w:val="none" w:sz="0" w:space="0" w:color="auto"/>
      </w:divBdr>
    </w:div>
    <w:div w:id="1962105234">
      <w:bodyDiv w:val="1"/>
      <w:marLeft w:val="0"/>
      <w:marRight w:val="0"/>
      <w:marTop w:val="0"/>
      <w:marBottom w:val="0"/>
      <w:divBdr>
        <w:top w:val="none" w:sz="0" w:space="0" w:color="auto"/>
        <w:left w:val="none" w:sz="0" w:space="0" w:color="auto"/>
        <w:bottom w:val="none" w:sz="0" w:space="0" w:color="auto"/>
        <w:right w:val="none" w:sz="0" w:space="0" w:color="auto"/>
      </w:divBdr>
    </w:div>
    <w:div w:id="1967199125">
      <w:bodyDiv w:val="1"/>
      <w:marLeft w:val="0"/>
      <w:marRight w:val="0"/>
      <w:marTop w:val="0"/>
      <w:marBottom w:val="0"/>
      <w:divBdr>
        <w:top w:val="none" w:sz="0" w:space="0" w:color="auto"/>
        <w:left w:val="none" w:sz="0" w:space="0" w:color="auto"/>
        <w:bottom w:val="none" w:sz="0" w:space="0" w:color="auto"/>
        <w:right w:val="none" w:sz="0" w:space="0" w:color="auto"/>
      </w:divBdr>
    </w:div>
    <w:div w:id="1967348415">
      <w:bodyDiv w:val="1"/>
      <w:marLeft w:val="0"/>
      <w:marRight w:val="0"/>
      <w:marTop w:val="0"/>
      <w:marBottom w:val="0"/>
      <w:divBdr>
        <w:top w:val="none" w:sz="0" w:space="0" w:color="auto"/>
        <w:left w:val="none" w:sz="0" w:space="0" w:color="auto"/>
        <w:bottom w:val="none" w:sz="0" w:space="0" w:color="auto"/>
        <w:right w:val="none" w:sz="0" w:space="0" w:color="auto"/>
      </w:divBdr>
    </w:div>
    <w:div w:id="1974286338">
      <w:bodyDiv w:val="1"/>
      <w:marLeft w:val="0"/>
      <w:marRight w:val="0"/>
      <w:marTop w:val="0"/>
      <w:marBottom w:val="0"/>
      <w:divBdr>
        <w:top w:val="none" w:sz="0" w:space="0" w:color="auto"/>
        <w:left w:val="none" w:sz="0" w:space="0" w:color="auto"/>
        <w:bottom w:val="none" w:sz="0" w:space="0" w:color="auto"/>
        <w:right w:val="none" w:sz="0" w:space="0" w:color="auto"/>
      </w:divBdr>
    </w:div>
    <w:div w:id="1980452889">
      <w:bodyDiv w:val="1"/>
      <w:marLeft w:val="0"/>
      <w:marRight w:val="0"/>
      <w:marTop w:val="0"/>
      <w:marBottom w:val="0"/>
      <w:divBdr>
        <w:top w:val="none" w:sz="0" w:space="0" w:color="auto"/>
        <w:left w:val="none" w:sz="0" w:space="0" w:color="auto"/>
        <w:bottom w:val="none" w:sz="0" w:space="0" w:color="auto"/>
        <w:right w:val="none" w:sz="0" w:space="0" w:color="auto"/>
      </w:divBdr>
      <w:divsChild>
        <w:div w:id="1873685629">
          <w:marLeft w:val="0"/>
          <w:marRight w:val="0"/>
          <w:marTop w:val="0"/>
          <w:marBottom w:val="0"/>
          <w:divBdr>
            <w:top w:val="none" w:sz="0" w:space="0" w:color="auto"/>
            <w:left w:val="none" w:sz="0" w:space="0" w:color="auto"/>
            <w:bottom w:val="none" w:sz="0" w:space="0" w:color="auto"/>
            <w:right w:val="none" w:sz="0" w:space="0" w:color="auto"/>
          </w:divBdr>
          <w:divsChild>
            <w:div w:id="1735157503">
              <w:marLeft w:val="0"/>
              <w:marRight w:val="0"/>
              <w:marTop w:val="0"/>
              <w:marBottom w:val="180"/>
              <w:divBdr>
                <w:top w:val="none" w:sz="0" w:space="0" w:color="auto"/>
                <w:left w:val="none" w:sz="0" w:space="0" w:color="auto"/>
                <w:bottom w:val="none" w:sz="0" w:space="0" w:color="auto"/>
                <w:right w:val="none" w:sz="0" w:space="0" w:color="auto"/>
              </w:divBdr>
              <w:divsChild>
                <w:div w:id="51970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26262">
          <w:marLeft w:val="0"/>
          <w:marRight w:val="0"/>
          <w:marTop w:val="0"/>
          <w:marBottom w:val="0"/>
          <w:divBdr>
            <w:top w:val="none" w:sz="0" w:space="0" w:color="auto"/>
            <w:left w:val="none" w:sz="0" w:space="0" w:color="auto"/>
            <w:bottom w:val="none" w:sz="0" w:space="0" w:color="auto"/>
            <w:right w:val="none" w:sz="0" w:space="0" w:color="auto"/>
          </w:divBdr>
        </w:div>
      </w:divsChild>
    </w:div>
    <w:div w:id="1981617209">
      <w:bodyDiv w:val="1"/>
      <w:marLeft w:val="0"/>
      <w:marRight w:val="0"/>
      <w:marTop w:val="0"/>
      <w:marBottom w:val="0"/>
      <w:divBdr>
        <w:top w:val="none" w:sz="0" w:space="0" w:color="auto"/>
        <w:left w:val="none" w:sz="0" w:space="0" w:color="auto"/>
        <w:bottom w:val="none" w:sz="0" w:space="0" w:color="auto"/>
        <w:right w:val="none" w:sz="0" w:space="0" w:color="auto"/>
      </w:divBdr>
    </w:div>
    <w:div w:id="1989825603">
      <w:bodyDiv w:val="1"/>
      <w:marLeft w:val="0"/>
      <w:marRight w:val="0"/>
      <w:marTop w:val="0"/>
      <w:marBottom w:val="0"/>
      <w:divBdr>
        <w:top w:val="none" w:sz="0" w:space="0" w:color="auto"/>
        <w:left w:val="none" w:sz="0" w:space="0" w:color="auto"/>
        <w:bottom w:val="none" w:sz="0" w:space="0" w:color="auto"/>
        <w:right w:val="none" w:sz="0" w:space="0" w:color="auto"/>
      </w:divBdr>
    </w:div>
    <w:div w:id="1994210819">
      <w:bodyDiv w:val="1"/>
      <w:marLeft w:val="0"/>
      <w:marRight w:val="0"/>
      <w:marTop w:val="0"/>
      <w:marBottom w:val="0"/>
      <w:divBdr>
        <w:top w:val="none" w:sz="0" w:space="0" w:color="auto"/>
        <w:left w:val="none" w:sz="0" w:space="0" w:color="auto"/>
        <w:bottom w:val="none" w:sz="0" w:space="0" w:color="auto"/>
        <w:right w:val="none" w:sz="0" w:space="0" w:color="auto"/>
      </w:divBdr>
    </w:div>
    <w:div w:id="1997373405">
      <w:bodyDiv w:val="1"/>
      <w:marLeft w:val="0"/>
      <w:marRight w:val="0"/>
      <w:marTop w:val="0"/>
      <w:marBottom w:val="0"/>
      <w:divBdr>
        <w:top w:val="none" w:sz="0" w:space="0" w:color="auto"/>
        <w:left w:val="none" w:sz="0" w:space="0" w:color="auto"/>
        <w:bottom w:val="none" w:sz="0" w:space="0" w:color="auto"/>
        <w:right w:val="none" w:sz="0" w:space="0" w:color="auto"/>
      </w:divBdr>
    </w:div>
    <w:div w:id="2000113656">
      <w:bodyDiv w:val="1"/>
      <w:marLeft w:val="0"/>
      <w:marRight w:val="0"/>
      <w:marTop w:val="0"/>
      <w:marBottom w:val="0"/>
      <w:divBdr>
        <w:top w:val="none" w:sz="0" w:space="0" w:color="auto"/>
        <w:left w:val="none" w:sz="0" w:space="0" w:color="auto"/>
        <w:bottom w:val="none" w:sz="0" w:space="0" w:color="auto"/>
        <w:right w:val="none" w:sz="0" w:space="0" w:color="auto"/>
      </w:divBdr>
    </w:div>
    <w:div w:id="2008360393">
      <w:bodyDiv w:val="1"/>
      <w:marLeft w:val="0"/>
      <w:marRight w:val="0"/>
      <w:marTop w:val="0"/>
      <w:marBottom w:val="0"/>
      <w:divBdr>
        <w:top w:val="none" w:sz="0" w:space="0" w:color="auto"/>
        <w:left w:val="none" w:sz="0" w:space="0" w:color="auto"/>
        <w:bottom w:val="none" w:sz="0" w:space="0" w:color="auto"/>
        <w:right w:val="none" w:sz="0" w:space="0" w:color="auto"/>
      </w:divBdr>
    </w:div>
    <w:div w:id="2009362037">
      <w:bodyDiv w:val="1"/>
      <w:marLeft w:val="0"/>
      <w:marRight w:val="0"/>
      <w:marTop w:val="0"/>
      <w:marBottom w:val="0"/>
      <w:divBdr>
        <w:top w:val="none" w:sz="0" w:space="0" w:color="auto"/>
        <w:left w:val="none" w:sz="0" w:space="0" w:color="auto"/>
        <w:bottom w:val="none" w:sz="0" w:space="0" w:color="auto"/>
        <w:right w:val="none" w:sz="0" w:space="0" w:color="auto"/>
      </w:divBdr>
    </w:div>
    <w:div w:id="2015645628">
      <w:bodyDiv w:val="1"/>
      <w:marLeft w:val="0"/>
      <w:marRight w:val="0"/>
      <w:marTop w:val="0"/>
      <w:marBottom w:val="0"/>
      <w:divBdr>
        <w:top w:val="none" w:sz="0" w:space="0" w:color="auto"/>
        <w:left w:val="none" w:sz="0" w:space="0" w:color="auto"/>
        <w:bottom w:val="none" w:sz="0" w:space="0" w:color="auto"/>
        <w:right w:val="none" w:sz="0" w:space="0" w:color="auto"/>
      </w:divBdr>
    </w:div>
    <w:div w:id="2022313103">
      <w:bodyDiv w:val="1"/>
      <w:marLeft w:val="0"/>
      <w:marRight w:val="0"/>
      <w:marTop w:val="0"/>
      <w:marBottom w:val="0"/>
      <w:divBdr>
        <w:top w:val="none" w:sz="0" w:space="0" w:color="auto"/>
        <w:left w:val="none" w:sz="0" w:space="0" w:color="auto"/>
        <w:bottom w:val="none" w:sz="0" w:space="0" w:color="auto"/>
        <w:right w:val="none" w:sz="0" w:space="0" w:color="auto"/>
      </w:divBdr>
    </w:div>
    <w:div w:id="2026713931">
      <w:bodyDiv w:val="1"/>
      <w:marLeft w:val="0"/>
      <w:marRight w:val="0"/>
      <w:marTop w:val="0"/>
      <w:marBottom w:val="0"/>
      <w:divBdr>
        <w:top w:val="none" w:sz="0" w:space="0" w:color="auto"/>
        <w:left w:val="none" w:sz="0" w:space="0" w:color="auto"/>
        <w:bottom w:val="none" w:sz="0" w:space="0" w:color="auto"/>
        <w:right w:val="none" w:sz="0" w:space="0" w:color="auto"/>
      </w:divBdr>
    </w:div>
    <w:div w:id="2033340704">
      <w:bodyDiv w:val="1"/>
      <w:marLeft w:val="0"/>
      <w:marRight w:val="0"/>
      <w:marTop w:val="0"/>
      <w:marBottom w:val="0"/>
      <w:divBdr>
        <w:top w:val="none" w:sz="0" w:space="0" w:color="auto"/>
        <w:left w:val="none" w:sz="0" w:space="0" w:color="auto"/>
        <w:bottom w:val="none" w:sz="0" w:space="0" w:color="auto"/>
        <w:right w:val="none" w:sz="0" w:space="0" w:color="auto"/>
      </w:divBdr>
    </w:div>
    <w:div w:id="2041080728">
      <w:bodyDiv w:val="1"/>
      <w:marLeft w:val="0"/>
      <w:marRight w:val="0"/>
      <w:marTop w:val="0"/>
      <w:marBottom w:val="0"/>
      <w:divBdr>
        <w:top w:val="none" w:sz="0" w:space="0" w:color="auto"/>
        <w:left w:val="none" w:sz="0" w:space="0" w:color="auto"/>
        <w:bottom w:val="none" w:sz="0" w:space="0" w:color="auto"/>
        <w:right w:val="none" w:sz="0" w:space="0" w:color="auto"/>
      </w:divBdr>
    </w:div>
    <w:div w:id="2041930393">
      <w:bodyDiv w:val="1"/>
      <w:marLeft w:val="0"/>
      <w:marRight w:val="0"/>
      <w:marTop w:val="0"/>
      <w:marBottom w:val="0"/>
      <w:divBdr>
        <w:top w:val="none" w:sz="0" w:space="0" w:color="auto"/>
        <w:left w:val="none" w:sz="0" w:space="0" w:color="auto"/>
        <w:bottom w:val="none" w:sz="0" w:space="0" w:color="auto"/>
        <w:right w:val="none" w:sz="0" w:space="0" w:color="auto"/>
      </w:divBdr>
    </w:div>
    <w:div w:id="2044482172">
      <w:bodyDiv w:val="1"/>
      <w:marLeft w:val="0"/>
      <w:marRight w:val="0"/>
      <w:marTop w:val="0"/>
      <w:marBottom w:val="0"/>
      <w:divBdr>
        <w:top w:val="none" w:sz="0" w:space="0" w:color="auto"/>
        <w:left w:val="none" w:sz="0" w:space="0" w:color="auto"/>
        <w:bottom w:val="none" w:sz="0" w:space="0" w:color="auto"/>
        <w:right w:val="none" w:sz="0" w:space="0" w:color="auto"/>
      </w:divBdr>
    </w:div>
    <w:div w:id="2046179232">
      <w:bodyDiv w:val="1"/>
      <w:marLeft w:val="0"/>
      <w:marRight w:val="0"/>
      <w:marTop w:val="0"/>
      <w:marBottom w:val="0"/>
      <w:divBdr>
        <w:top w:val="none" w:sz="0" w:space="0" w:color="auto"/>
        <w:left w:val="none" w:sz="0" w:space="0" w:color="auto"/>
        <w:bottom w:val="none" w:sz="0" w:space="0" w:color="auto"/>
        <w:right w:val="none" w:sz="0" w:space="0" w:color="auto"/>
      </w:divBdr>
    </w:div>
    <w:div w:id="2051565355">
      <w:bodyDiv w:val="1"/>
      <w:marLeft w:val="0"/>
      <w:marRight w:val="0"/>
      <w:marTop w:val="0"/>
      <w:marBottom w:val="0"/>
      <w:divBdr>
        <w:top w:val="none" w:sz="0" w:space="0" w:color="auto"/>
        <w:left w:val="none" w:sz="0" w:space="0" w:color="auto"/>
        <w:bottom w:val="none" w:sz="0" w:space="0" w:color="auto"/>
        <w:right w:val="none" w:sz="0" w:space="0" w:color="auto"/>
      </w:divBdr>
    </w:div>
    <w:div w:id="2052533945">
      <w:bodyDiv w:val="1"/>
      <w:marLeft w:val="0"/>
      <w:marRight w:val="0"/>
      <w:marTop w:val="0"/>
      <w:marBottom w:val="0"/>
      <w:divBdr>
        <w:top w:val="none" w:sz="0" w:space="0" w:color="auto"/>
        <w:left w:val="none" w:sz="0" w:space="0" w:color="auto"/>
        <w:bottom w:val="none" w:sz="0" w:space="0" w:color="auto"/>
        <w:right w:val="none" w:sz="0" w:space="0" w:color="auto"/>
      </w:divBdr>
    </w:div>
    <w:div w:id="2054038315">
      <w:bodyDiv w:val="1"/>
      <w:marLeft w:val="0"/>
      <w:marRight w:val="0"/>
      <w:marTop w:val="0"/>
      <w:marBottom w:val="0"/>
      <w:divBdr>
        <w:top w:val="none" w:sz="0" w:space="0" w:color="auto"/>
        <w:left w:val="none" w:sz="0" w:space="0" w:color="auto"/>
        <w:bottom w:val="none" w:sz="0" w:space="0" w:color="auto"/>
        <w:right w:val="none" w:sz="0" w:space="0" w:color="auto"/>
      </w:divBdr>
    </w:div>
    <w:div w:id="2060744087">
      <w:bodyDiv w:val="1"/>
      <w:marLeft w:val="0"/>
      <w:marRight w:val="0"/>
      <w:marTop w:val="0"/>
      <w:marBottom w:val="0"/>
      <w:divBdr>
        <w:top w:val="none" w:sz="0" w:space="0" w:color="auto"/>
        <w:left w:val="none" w:sz="0" w:space="0" w:color="auto"/>
        <w:bottom w:val="none" w:sz="0" w:space="0" w:color="auto"/>
        <w:right w:val="none" w:sz="0" w:space="0" w:color="auto"/>
      </w:divBdr>
    </w:div>
    <w:div w:id="2061857902">
      <w:bodyDiv w:val="1"/>
      <w:marLeft w:val="0"/>
      <w:marRight w:val="0"/>
      <w:marTop w:val="0"/>
      <w:marBottom w:val="0"/>
      <w:divBdr>
        <w:top w:val="none" w:sz="0" w:space="0" w:color="auto"/>
        <w:left w:val="none" w:sz="0" w:space="0" w:color="auto"/>
        <w:bottom w:val="none" w:sz="0" w:space="0" w:color="auto"/>
        <w:right w:val="none" w:sz="0" w:space="0" w:color="auto"/>
      </w:divBdr>
    </w:div>
    <w:div w:id="2063669698">
      <w:bodyDiv w:val="1"/>
      <w:marLeft w:val="0"/>
      <w:marRight w:val="0"/>
      <w:marTop w:val="0"/>
      <w:marBottom w:val="0"/>
      <w:divBdr>
        <w:top w:val="none" w:sz="0" w:space="0" w:color="auto"/>
        <w:left w:val="none" w:sz="0" w:space="0" w:color="auto"/>
        <w:bottom w:val="none" w:sz="0" w:space="0" w:color="auto"/>
        <w:right w:val="none" w:sz="0" w:space="0" w:color="auto"/>
      </w:divBdr>
    </w:div>
    <w:div w:id="2068717806">
      <w:bodyDiv w:val="1"/>
      <w:marLeft w:val="0"/>
      <w:marRight w:val="0"/>
      <w:marTop w:val="0"/>
      <w:marBottom w:val="0"/>
      <w:divBdr>
        <w:top w:val="none" w:sz="0" w:space="0" w:color="auto"/>
        <w:left w:val="none" w:sz="0" w:space="0" w:color="auto"/>
        <w:bottom w:val="none" w:sz="0" w:space="0" w:color="auto"/>
        <w:right w:val="none" w:sz="0" w:space="0" w:color="auto"/>
      </w:divBdr>
    </w:div>
    <w:div w:id="2073114692">
      <w:bodyDiv w:val="1"/>
      <w:marLeft w:val="0"/>
      <w:marRight w:val="0"/>
      <w:marTop w:val="0"/>
      <w:marBottom w:val="0"/>
      <w:divBdr>
        <w:top w:val="none" w:sz="0" w:space="0" w:color="auto"/>
        <w:left w:val="none" w:sz="0" w:space="0" w:color="auto"/>
        <w:bottom w:val="none" w:sz="0" w:space="0" w:color="auto"/>
        <w:right w:val="none" w:sz="0" w:space="0" w:color="auto"/>
      </w:divBdr>
    </w:div>
    <w:div w:id="2079399157">
      <w:bodyDiv w:val="1"/>
      <w:marLeft w:val="0"/>
      <w:marRight w:val="0"/>
      <w:marTop w:val="0"/>
      <w:marBottom w:val="0"/>
      <w:divBdr>
        <w:top w:val="none" w:sz="0" w:space="0" w:color="auto"/>
        <w:left w:val="none" w:sz="0" w:space="0" w:color="auto"/>
        <w:bottom w:val="none" w:sz="0" w:space="0" w:color="auto"/>
        <w:right w:val="none" w:sz="0" w:space="0" w:color="auto"/>
      </w:divBdr>
    </w:div>
    <w:div w:id="2089620185">
      <w:bodyDiv w:val="1"/>
      <w:marLeft w:val="0"/>
      <w:marRight w:val="0"/>
      <w:marTop w:val="0"/>
      <w:marBottom w:val="0"/>
      <w:divBdr>
        <w:top w:val="none" w:sz="0" w:space="0" w:color="auto"/>
        <w:left w:val="none" w:sz="0" w:space="0" w:color="auto"/>
        <w:bottom w:val="none" w:sz="0" w:space="0" w:color="auto"/>
        <w:right w:val="none" w:sz="0" w:space="0" w:color="auto"/>
      </w:divBdr>
    </w:div>
    <w:div w:id="2094158120">
      <w:bodyDiv w:val="1"/>
      <w:marLeft w:val="0"/>
      <w:marRight w:val="0"/>
      <w:marTop w:val="0"/>
      <w:marBottom w:val="0"/>
      <w:divBdr>
        <w:top w:val="none" w:sz="0" w:space="0" w:color="auto"/>
        <w:left w:val="none" w:sz="0" w:space="0" w:color="auto"/>
        <w:bottom w:val="none" w:sz="0" w:space="0" w:color="auto"/>
        <w:right w:val="none" w:sz="0" w:space="0" w:color="auto"/>
      </w:divBdr>
    </w:div>
    <w:div w:id="2096397627">
      <w:bodyDiv w:val="1"/>
      <w:marLeft w:val="0"/>
      <w:marRight w:val="0"/>
      <w:marTop w:val="0"/>
      <w:marBottom w:val="0"/>
      <w:divBdr>
        <w:top w:val="none" w:sz="0" w:space="0" w:color="auto"/>
        <w:left w:val="none" w:sz="0" w:space="0" w:color="auto"/>
        <w:bottom w:val="none" w:sz="0" w:space="0" w:color="auto"/>
        <w:right w:val="none" w:sz="0" w:space="0" w:color="auto"/>
      </w:divBdr>
    </w:div>
    <w:div w:id="2099402474">
      <w:bodyDiv w:val="1"/>
      <w:marLeft w:val="0"/>
      <w:marRight w:val="0"/>
      <w:marTop w:val="0"/>
      <w:marBottom w:val="0"/>
      <w:divBdr>
        <w:top w:val="none" w:sz="0" w:space="0" w:color="auto"/>
        <w:left w:val="none" w:sz="0" w:space="0" w:color="auto"/>
        <w:bottom w:val="none" w:sz="0" w:space="0" w:color="auto"/>
        <w:right w:val="none" w:sz="0" w:space="0" w:color="auto"/>
      </w:divBdr>
    </w:div>
    <w:div w:id="2107188036">
      <w:bodyDiv w:val="1"/>
      <w:marLeft w:val="0"/>
      <w:marRight w:val="0"/>
      <w:marTop w:val="0"/>
      <w:marBottom w:val="0"/>
      <w:divBdr>
        <w:top w:val="none" w:sz="0" w:space="0" w:color="auto"/>
        <w:left w:val="none" w:sz="0" w:space="0" w:color="auto"/>
        <w:bottom w:val="none" w:sz="0" w:space="0" w:color="auto"/>
        <w:right w:val="none" w:sz="0" w:space="0" w:color="auto"/>
      </w:divBdr>
    </w:div>
    <w:div w:id="2115132526">
      <w:bodyDiv w:val="1"/>
      <w:marLeft w:val="0"/>
      <w:marRight w:val="0"/>
      <w:marTop w:val="0"/>
      <w:marBottom w:val="0"/>
      <w:divBdr>
        <w:top w:val="none" w:sz="0" w:space="0" w:color="auto"/>
        <w:left w:val="none" w:sz="0" w:space="0" w:color="auto"/>
        <w:bottom w:val="none" w:sz="0" w:space="0" w:color="auto"/>
        <w:right w:val="none" w:sz="0" w:space="0" w:color="auto"/>
      </w:divBdr>
    </w:div>
    <w:div w:id="2117938422">
      <w:bodyDiv w:val="1"/>
      <w:marLeft w:val="0"/>
      <w:marRight w:val="0"/>
      <w:marTop w:val="0"/>
      <w:marBottom w:val="0"/>
      <w:divBdr>
        <w:top w:val="none" w:sz="0" w:space="0" w:color="auto"/>
        <w:left w:val="none" w:sz="0" w:space="0" w:color="auto"/>
        <w:bottom w:val="none" w:sz="0" w:space="0" w:color="auto"/>
        <w:right w:val="none" w:sz="0" w:space="0" w:color="auto"/>
      </w:divBdr>
    </w:div>
    <w:div w:id="2119635569">
      <w:bodyDiv w:val="1"/>
      <w:marLeft w:val="0"/>
      <w:marRight w:val="0"/>
      <w:marTop w:val="0"/>
      <w:marBottom w:val="0"/>
      <w:divBdr>
        <w:top w:val="none" w:sz="0" w:space="0" w:color="auto"/>
        <w:left w:val="none" w:sz="0" w:space="0" w:color="auto"/>
        <w:bottom w:val="none" w:sz="0" w:space="0" w:color="auto"/>
        <w:right w:val="none" w:sz="0" w:space="0" w:color="auto"/>
      </w:divBdr>
    </w:div>
    <w:div w:id="2126581424">
      <w:bodyDiv w:val="1"/>
      <w:marLeft w:val="0"/>
      <w:marRight w:val="0"/>
      <w:marTop w:val="0"/>
      <w:marBottom w:val="0"/>
      <w:divBdr>
        <w:top w:val="none" w:sz="0" w:space="0" w:color="auto"/>
        <w:left w:val="none" w:sz="0" w:space="0" w:color="auto"/>
        <w:bottom w:val="none" w:sz="0" w:space="0" w:color="auto"/>
        <w:right w:val="none" w:sz="0" w:space="0" w:color="auto"/>
      </w:divBdr>
    </w:div>
    <w:div w:id="2139109436">
      <w:bodyDiv w:val="1"/>
      <w:marLeft w:val="0"/>
      <w:marRight w:val="0"/>
      <w:marTop w:val="0"/>
      <w:marBottom w:val="0"/>
      <w:divBdr>
        <w:top w:val="none" w:sz="0" w:space="0" w:color="auto"/>
        <w:left w:val="none" w:sz="0" w:space="0" w:color="auto"/>
        <w:bottom w:val="none" w:sz="0" w:space="0" w:color="auto"/>
        <w:right w:val="none" w:sz="0" w:space="0" w:color="auto"/>
      </w:divBdr>
    </w:div>
    <w:div w:id="2141336805">
      <w:bodyDiv w:val="1"/>
      <w:marLeft w:val="0"/>
      <w:marRight w:val="0"/>
      <w:marTop w:val="0"/>
      <w:marBottom w:val="0"/>
      <w:divBdr>
        <w:top w:val="none" w:sz="0" w:space="0" w:color="auto"/>
        <w:left w:val="none" w:sz="0" w:space="0" w:color="auto"/>
        <w:bottom w:val="none" w:sz="0" w:space="0" w:color="auto"/>
        <w:right w:val="none" w:sz="0" w:space="0" w:color="auto"/>
      </w:divBdr>
    </w:div>
    <w:div w:id="2145193554">
      <w:bodyDiv w:val="1"/>
      <w:marLeft w:val="0"/>
      <w:marRight w:val="0"/>
      <w:marTop w:val="0"/>
      <w:marBottom w:val="0"/>
      <w:divBdr>
        <w:top w:val="none" w:sz="0" w:space="0" w:color="auto"/>
        <w:left w:val="none" w:sz="0" w:space="0" w:color="auto"/>
        <w:bottom w:val="none" w:sz="0" w:space="0" w:color="auto"/>
        <w:right w:val="none" w:sz="0" w:space="0" w:color="auto"/>
      </w:divBdr>
    </w:div>
    <w:div w:id="21456531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FA67BB8893134191D9394909D4A940" ma:contentTypeVersion="12" ma:contentTypeDescription="Create a new document." ma:contentTypeScope="" ma:versionID="7c9b21a987813599722e3730cd6eaecb">
  <xsd:schema xmlns:xsd="http://www.w3.org/2001/XMLSchema" xmlns:xs="http://www.w3.org/2001/XMLSchema" xmlns:p="http://schemas.microsoft.com/office/2006/metadata/properties" xmlns:ns2="8f8875c8-43a9-487a-8483-c93934f2a15b" xmlns:ns3="0822d87c-9f4b-4af0-9aff-df69078804cc" targetNamespace="http://schemas.microsoft.com/office/2006/metadata/properties" ma:root="true" ma:fieldsID="b378793884891a40cc43184d8f2d233b" ns2:_="" ns3:_="">
    <xsd:import namespace="8f8875c8-43a9-487a-8483-c93934f2a15b"/>
    <xsd:import namespace="0822d87c-9f4b-4af0-9aff-df69078804c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8875c8-43a9-487a-8483-c93934f2a1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22d87c-9f4b-4af0-9aff-df69078804c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Mac21</b:Tag>
    <b:SourceType>Report</b:SourceType>
    <b:Guid>{632B7587-82F6-0F4A-A84D-A16E458F5B63}</b:Guid>
    <b:Author>
      <b:Author>
        <b:NameList>
          <b:Person>
            <b:Last>Mack</b:Last>
            <b:First>Sebastian</b:First>
          </b:Person>
        </b:NameList>
      </b:Author>
    </b:Author>
    <b:Title>Never waste a good crisis European banking regulation in the pandemic Policy Brief</b:Title>
    <b:Publisher>Hertie School</b:Publisher>
    <b:City>Berlin</b:City>
    <b:Year>2021</b:Year>
    <b:RefOrder>15</b:RefOrder>
  </b:Source>
  <b:Source>
    <b:Tag>Ste22</b:Tag>
    <b:SourceType>Report</b:SourceType>
    <b:Guid>{C46B7056-0F45-C346-A620-D02BEAEC9025}</b:Guid>
    <b:Author>
      <b:Author>
        <b:NameList>
          <b:Person>
            <b:Last>Schmitz</b:Last>
            <b:First>Stefan</b:First>
          </b:Person>
          <b:Person>
            <b:Last>Posch</b:Last>
            <b:First>Michaela</b:First>
          </b:Person>
          <b:Person>
            <b:Last>Strobl</b:Last>
            <b:First>Peter</b:First>
          </b:Person>
        </b:NameList>
      </b:Author>
    </b:Author>
    <b:Title>The EU macroprudential review should prioritize removing regulatory overlaps and increasing the flexibility of the CCyB</b:Title>
    <b:Publisher>SUERF</b:Publisher>
    <b:Year>2022</b:Year>
    <b:Institution>Oesterreichische Nationalbank</b:Institution>
    <b:RefOrder>16</b:RefOrder>
  </b:Source>
  <b:Source>
    <b:Tag>Sto20</b:Tag>
    <b:SourceType>JournalArticle</b:SourceType>
    <b:Guid>{8C54EE11-643A-FC45-A855-36ED02821B12}</b:Guid>
    <b:Title>Different Approaches to Implementing a Countercyclical Capital Buffer | Bulletin – September Quarter 2020</b:Title>
    <b:JournalName>Financial Stability Department</b:JournalName>
    <b:Year>2020</b:Year>
    <b:Author>
      <b:Author>
        <b:NameList>
          <b:Person>
            <b:Last>Stojkov</b:Last>
            <b:First>Katarina</b:First>
          </b:Person>
        </b:NameList>
      </b:Author>
    </b:Author>
    <b:Publisher>Reserve Bank of Australia</b:Publisher>
    <b:Month>September</b:Month>
    <b:Day>17</b:Day>
    <b:RefOrder>17</b:RefOrder>
  </b:Source>
  <b:Source>
    <b:Tag>Galan</b:Tag>
    <b:SourceType>JournalArticle</b:SourceType>
    <b:Guid>{07AD9863-4840-E544-AFC8-0AE849505D73}</b:Guid>
    <b:Title>The benefits are at the tail: Uncovering the impact of macroprudential policy on growth-at-risk</b:Title>
    <b:JournalName>Journal of Financial Stability</b:JournalName>
    <b:Year>2020</b:Year>
    <b:Pages>10.1016/j.jfs.2020.100831</b:Pages>
    <b:Author>
      <b:Author>
        <b:NameList>
          <b:Person>
            <b:Last>Galán</b:Last>
            <b:First>Jorge E.</b:First>
          </b:Person>
        </b:NameList>
      </b:Author>
    </b:Author>
    <b:Month>November</b:Month>
    <b:Issue>100831</b:Issue>
    <b:RefOrder>5</b:RefOrder>
  </b:Source>
  <b:Source>
    <b:Tag>Gal14</b:Tag>
    <b:SourceType>JournalArticle</b:SourceType>
    <b:Guid>{138509B0-FDD7-FD43-88F5-FFCD40BBF948}</b:Guid>
    <b:Title>Distributional Linkages between European Sovereign Bond and Bank Asset Returns</b:Title>
    <b:JournalName>SSRN Electronic Journal</b:JournalName>
    <b:Year>2014</b:Year>
    <b:Author>
      <b:Author>
        <b:NameList>
          <b:Person>
            <b:Last>Galvez</b:Last>
            <b:First>Julio</b:First>
          </b:Person>
          <b:Person>
            <b:Last>Mencia</b:Last>
            <b:First>Javier</b:First>
          </b:Person>
        </b:NameList>
      </b:Author>
    </b:Author>
    <b:Publisher>Centre for Monetary and Financial Studies (CEMFI)</b:Publisher>
    <b:Pages>10.2139/ssrn.2523863</b:Pages>
    <b:RefOrder>18</b:RefOrder>
  </b:Source>
  <b:Source>
    <b:Tag>Aikman19</b:Tag>
    <b:SourceType>JournalArticle</b:SourceType>
    <b:Guid>{CCF56436-DDD7-5142-BE0B-E2A000FED7F6}</b:Guid>
    <b:Author>
      <b:Author>
        <b:NameList>
          <b:Person>
            <b:Last>Aikman</b:Last>
            <b:First>David</b:First>
          </b:Person>
          <b:Person>
            <b:Last>Bridges</b:Last>
            <b:First>Jonathan</b:First>
          </b:Person>
          <b:Person>
            <b:Last>Hoke</b:Last>
            <b:First>Sinem</b:First>
            <b:Middle>Hacioglu</b:Middle>
          </b:Person>
          <b:Person>
            <b:Last>O’Neill</b:Last>
            <b:First>Cian</b:First>
          </b:Person>
          <b:Person>
            <b:Last>Raja</b:Last>
            <b:First>Akash</b:First>
          </b:Person>
        </b:NameList>
      </b:Author>
    </b:Author>
    <b:Title>Credit, capital and crises: a GDP-at-Risk approach</b:Title>
    <b:Year>2019</b:Year>
    <b:Publisher>Bank of England</b:Publisher>
    <b:Month>September</b:Month>
    <b:RefOrder>19</b:RefOrder>
  </b:Source>
  <b:Source>
    <b:Tag>Sua22</b:Tag>
    <b:SourceType>JournalArticle</b:SourceType>
    <b:Guid>{0830D468-F91A-A248-A4C6-8F3B265E0526}</b:Guid>
    <b:Author>
      <b:Author>
        <b:NameList>
          <b:Person>
            <b:Last>Suarez</b:Last>
            <b:First>Javier</b:First>
          </b:Person>
        </b:NameList>
      </b:Author>
    </b:Author>
    <b:Title>Growth-at-risk and macroprudential policy design</b:Title>
    <b:JournalName>Journal of Financial Stability</b:JournalName>
    <b:Year>2022</b:Year>
    <b:Pages>10.1016/j.jfs.2022.101008</b:Pages>
    <b:Volume>60</b:Volume>
    <b:Issue>1572-3089</b:Issue>
    <b:RefOrder>20</b:RefOrder>
  </b:Source>
  <b:Source>
    <b:Tag>Koo14</b:Tag>
    <b:SourceType>JournalArticle</b:SourceType>
    <b:Guid>{A9B9D30F-13F1-A24D-A3BF-80050865FE18}</b:Guid>
    <b:Author>
      <b:Author>
        <b:NameList>
          <b:Person>
            <b:Last>Koop</b:Last>
            <b:First>Gary</b:First>
          </b:Person>
          <b:Person>
            <b:Last>Korobilis</b:Last>
            <b:First>Dimitris</b:First>
          </b:Person>
        </b:NameList>
      </b:Author>
    </b:Author>
    <b:Title>A new index of financial conditions</b:Title>
    <b:JournalName>European Economic Review</b:JournalName>
    <b:Year>2014</b:Year>
    <b:Pages>101-116, 10.1016/j.euroecorev.2014.07.002</b:Pages>
    <b:Volume>71</b:Volume>
    <b:Issue>0014-2921</b:Issue>
    <b:RefOrder>3</b:RefOrder>
  </b:Source>
  <b:Source>
    <b:Tag>Cec21</b:Tag>
    <b:SourceType>JournalArticle</b:SourceType>
    <b:Guid>{D9288C19-E726-7045-A4C4-2460DF1A62FC}</b:Guid>
    <b:Title>On the Stance of Macroprudential Policy</b:Title>
    <b:JournalName>SSRN Electronic Journal</b:JournalName>
    <b:Year>2021</b:Year>
    <b:Pages>10.2139/ssrn.3975941</b:Pages>
    <b:Author>
      <b:Author>
        <b:NameList>
          <b:Person>
            <b:Last>Cecchetti</b:Last>
            <b:First>Stephen</b:First>
            <b:Middle>G.</b:Middle>
          </b:Person>
          <b:Person>
            <b:Last>Suarez</b:Last>
            <b:First>Javier</b:First>
          </b:Person>
        </b:NameList>
      </b:Author>
    </b:Author>
    <b:Publisher>ESRB: Advisory Scientific Committee Reports</b:Publisher>
    <b:Month>December</b:Month>
    <b:Issue>11</b:Issue>
    <b:RefOrder>21</b:RefOrder>
  </b:Source>
  <b:Source>
    <b:Tag>Cha21</b:Tag>
    <b:SourceType>JournalArticle</b:SourceType>
    <b:Guid>{DDF98798-C05C-4C4B-8C98-16F22CA4D038}</b:Guid>
    <b:Author>
      <b:Author>
        <b:NameList>
          <b:Person>
            <b:Last>Chavleishvili</b:Last>
            <b:First>Sulkhan</b:First>
          </b:Person>
          <b:Person>
            <b:Last>Engle</b:Last>
            <b:First>Robert</b:First>
            <b:Middle>F.</b:Middle>
          </b:Person>
          <b:Person>
            <b:Last>Fahr</b:Last>
            <b:First>Stephan</b:First>
            <b:Middle>Alexander</b:Middle>
          </b:Person>
          <b:Person>
            <b:Last>Kremer</b:Last>
            <b:First>Manfred</b:First>
          </b:Person>
          <b:Person>
            <b:Last>Manganelli</b:Last>
            <b:First>Simone</b:First>
          </b:Person>
          <b:Person>
            <b:Last>Schwaab</b:Last>
            <b:First>Bernd</b:First>
          </b:Person>
        </b:NameList>
      </b:Author>
    </b:Author>
    <b:Title>The Risk Management Approach to Macro-Prudential Policy</b:Title>
    <b:JournalName>SSRN Electronic Journal</b:JournalName>
    <b:Year>2021</b:Year>
    <b:Pages>10.2139/ssrn.3859109</b:Pages>
    <b:Publisher>European Central Bank</b:Publisher>
    <b:RefOrder>22</b:RefOrder>
  </b:Source>
  <b:Source>
    <b:Tag>Alam19</b:Tag>
    <b:SourceType>JournalArticle</b:SourceType>
    <b:Guid>{C3D3938A-0B29-A642-A029-CE252DDE2021}</b:Guid>
    <b:Title>Digging Deeper--Evidence on the Effects of Macroprudential Policies from a New Database</b:Title>
    <b:JournalName>IMF Working Papers</b:JournalName>
    <b:Year>2019</b:Year>
    <b:Pages>10.5089/9781498302708.001</b:Pages>
    <b:Author>
      <b:Author>
        <b:NameList>
          <b:Person>
            <b:Last>Alam</b:Last>
            <b:First>Zohair</b:First>
          </b:Person>
          <b:Person>
            <b:Last>Alter</b:Last>
            <b:First>Adrian</b:First>
          </b:Person>
          <b:Person>
            <b:Last>Eiseman</b:Last>
            <b:First>Jesse</b:First>
          </b:Person>
          <b:Person>
            <b:Last>Gelos</b:Last>
            <b:First>R.</b:First>
          </b:Person>
          <b:Person>
            <b:Last>Kang</b:Last>
            <b:First>Heedon</b:First>
          </b:Person>
          <b:Person>
            <b:Last>Narita</b:Last>
            <b:First>Machiko</b:First>
          </b:Person>
          <b:Person>
            <b:Last>Nier</b:Last>
            <b:First>Erlend</b:First>
          </b:Person>
          <b:Person>
            <b:Last>Wang</b:Last>
            <b:First>Naixi</b:First>
          </b:Person>
        </b:NameList>
      </b:Author>
    </b:Author>
    <b:Volume>19</b:Volume>
    <b:Issue>66</b:Issue>
    <b:RefOrder>4</b:RefOrder>
  </b:Source>
  <b:Source>
    <b:Tag>Jim17</b:Tag>
    <b:SourceType>JournalArticle</b:SourceType>
    <b:Guid>{C406BB2B-1076-BC4C-B2F6-4252C6CF11A0}</b:Guid>
    <b:Author>
      <b:Author>
        <b:NameList>
          <b:Person>
            <b:Last>Jiménez</b:Last>
            <b:First>Gabriel</b:First>
          </b:Person>
          <b:Person>
            <b:Last>Ongena</b:Last>
            <b:First>Steven</b:First>
          </b:Person>
          <b:Person>
            <b:Last>Peydró</b:Last>
            <b:First>José-Luis</b:First>
          </b:Person>
          <b:Person>
            <b:Last>Saurina</b:Last>
            <b:First>Jesús</b:First>
          </b:Person>
        </b:NameList>
      </b:Author>
    </b:Author>
    <b:Title>Macroprudential Policy, Countercyclical Bank Capital Buffers, and Credit Supply: Evidence from the Spanish Dynamic Provisioning Experiments</b:Title>
    <b:JournalName>Journal of Political Economy</b:JournalName>
    <b:Year>2017</b:Year>
    <b:Pages>2126-2177, 10.1086/694289</b:Pages>
    <b:Volume>125</b:Volume>
    <b:Issue>6</b:Issue>
    <b:RefOrder>23</b:RefOrder>
  </b:Source>
  <b:Source>
    <b:Tag>Boa17</b:Tag>
    <b:SourceType>JournalArticle</b:SourceType>
    <b:Guid>{BD5CF531-A3FD-4942-9A73-19E694B291AC}</b:Guid>
    <b:Title>What are the Effects of Macroprudential Policies on Macroeconomic Performance?</b:Title>
    <b:JournalName>BIS Quarterly Review</b:JournalName>
    <b:Year>2017</b:Year>
    <b:Author>
      <b:Author>
        <b:NameList>
          <b:Person>
            <b:Last>Boar</b:Last>
            <b:First>Codruta</b:First>
          </b:Person>
          <b:Person>
            <b:Last>Gambacorta</b:Last>
            <b:First>Leonardo</b:First>
          </b:Person>
          <b:Person>
            <b:Last>Lombardo</b:Last>
            <b:First>Giovanni</b:First>
          </b:Person>
          <b:Person>
            <b:Last>Silva</b:Last>
            <b:First>Luiz</b:First>
            <b:Middle>A. Pereira da</b:Middle>
          </b:Person>
        </b:NameList>
      </b:Author>
    </b:Author>
    <b:RefOrder>24</b:RefOrder>
  </b:Source>
  <b:Source>
    <b:Tag>Koe78</b:Tag>
    <b:SourceType>JournalArticle</b:SourceType>
    <b:Guid>{CB4CD893-F41D-D24D-9907-AE861FA84B7E}</b:Guid>
    <b:Author>
      <b:Author>
        <b:NameList>
          <b:Person>
            <b:Last>Koenker</b:Last>
            <b:First>Roger</b:First>
          </b:Person>
          <b:Person>
            <b:Last>Bassett</b:Last>
            <b:First>Gilbert</b:First>
          </b:Person>
        </b:NameList>
      </b:Author>
    </b:Author>
    <b:Title>Regression Quantiles</b:Title>
    <b:JournalName>Econometrica</b:JournalName>
    <b:Year>1978</b:Year>
    <b:Pages>33, 10.2307/1913643</b:Pages>
    <b:Volume>46</b:Volume>
    <b:Issue>1</b:Issue>
    <b:RefOrder>11</b:RefOrder>
  </b:Source>
  <b:Source>
    <b:Tag>Kip22</b:Tag>
    <b:SourceType>JournalArticle</b:SourceType>
    <b:Guid>{83FF5C7D-74B2-2E41-9D39-B6D419E841EE}</b:Guid>
    <b:Author>
      <b:Author>
        <b:NameList>
          <b:Person>
            <b:Last>Kipriyanov</b:Last>
            <b:First>Aleksei</b:First>
          </b:Person>
        </b:NameList>
      </b:Author>
    </b:Author>
    <b:Title>Comparison of Models for Growth-at-Risk Forecasting</b:Title>
    <b:JournalName>Russian journal of money and finance</b:JournalName>
    <b:Year>2022</b:Year>
    <b:Pages>23-45, 10.31477/rjmf.202201.23</b:Pages>
    <b:Volume>81</b:Volume>
    <b:Issue>1</b:Issue>
    <b:RefOrder>12</b:RefOrder>
  </b:Source>
  <b:Source>
    <b:Tag>Hol12</b:Tag>
    <b:SourceType>JournalArticle</b:SourceType>
    <b:Guid>{F3B3DBD9-20A0-9647-8044-532BCB8BF92F}</b:Guid>
    <b:Author>
      <b:Author>
        <b:NameList>
          <b:Person>
            <b:Last>Holló</b:Last>
            <b:First>Dániel</b:First>
          </b:Person>
          <b:Person>
            <b:Last>Kremer</b:Last>
            <b:First>Manfred</b:First>
          </b:Person>
          <b:Person>
            <b:Last>Lo Duca</b:Last>
            <b:First>Marco</b:First>
          </b:Person>
        </b:NameList>
      </b:Author>
    </b:Author>
    <b:Title>A Composite Indicator of Systemic Stress in the Financial System</b:Title>
    <b:JournalName>ECB Working Paper 1426</b:JournalName>
    <b:Year>2012</b:Year>
    <b:Publisher>European Central Bank</b:Publisher>
    <b:RefOrder>1</b:RefOrder>
  </b:Source>
  <b:Source>
    <b:Tag>Pla14</b:Tag>
    <b:SourceType>JournalArticle</b:SourceType>
    <b:Guid>{F95D2416-55AC-A24D-ABBC-FF80E2C559DD}</b:Guid>
    <b:Author>
      <b:Author>
        <b:NameList>
          <b:Person>
            <b:Last>Plašil</b:Last>
            <b:First>Miroslav</b:First>
          </b:Person>
          <b:Person>
            <b:Last>Seidler</b:Last>
            <b:First>Jakub</b:First>
          </b:Person>
          <b:Person>
            <b:Last>Hlaváč</b:Last>
            <b:First>Petr</b:First>
          </b:Person>
          <b:Person>
            <b:Last>Konečný</b:Last>
            <b:First>Tomáš</b:First>
          </b:Person>
        </b:NameList>
      </b:Author>
    </b:Author>
    <b:Title>An indicator of the financial cycle in the Czech economy</b:Title>
    <b:JournalName>Czech Financial Stability Report 2013/2014</b:JournalName>
    <b:Year>2014</b:Year>
    <b:Publisher>Czech National Bank</b:Publisher>
    <b:RefOrder>2</b:RefOrder>
  </b:Source>
  <b:Source>
    <b:Tag>IMF24</b:Tag>
    <b:SourceType>JournalArticle</b:SourceType>
    <b:Guid>{5D03B0DD-FAEC-8A4E-A15C-2FA8DE507F59}</b:Guid>
    <b:Author>
      <b:Author>
        <b:NameList>
          <b:Person>
            <b:Last>IMF</b:Last>
          </b:Person>
        </b:NameList>
      </b:Author>
    </b:Author>
    <b:Title>International Financial Statistics</b:Title>
    <b:Year>2024</b:Year>
    <b:RefOrder>25</b:RefOrder>
  </b:Source>
  <b:Source>
    <b:Tag>IMF241</b:Tag>
    <b:SourceType>JournalArticle</b:SourceType>
    <b:Guid>{F1C77720-BD87-DF47-B8EE-C2BA86A70CB6}</b:Guid>
    <b:Author>
      <b:Author>
        <b:NameList>
          <b:Person>
            <b:Last>IMF</b:Last>
          </b:Person>
        </b:NameList>
      </b:Author>
    </b:Author>
    <b:Title>Financial Soundness Indicators</b:Title>
    <b:Year>2024</b:Year>
    <b:RefOrder>26</b:RefOrder>
  </b:Source>
  <b:Source>
    <b:Tag>Wor23</b:Tag>
    <b:SourceType>JournalArticle</b:SourceType>
    <b:Guid>{E2009B9C-63B0-2949-95F7-498C59255153}</b:Guid>
    <b:Author>
      <b:Author>
        <b:NameList>
          <b:Person>
            <b:Last>World Bank</b:Last>
          </b:Person>
        </b:NameList>
      </b:Author>
    </b:Author>
    <b:Title>Global Economic Monitor (GEM) [Data set]</b:Title>
    <b:Year>2023</b:Year>
    <b:Pages>https://databank.worldbank.org/source/global-economic-monitor-(gem)</b:Pages>
    <b:RefOrder>27</b:RefOrder>
  </b:Source>
  <b:Source>
    <b:Tag>Jor15</b:Tag>
    <b:SourceType>JournalArticle</b:SourceType>
    <b:Guid>{4EF830C3-D7CE-EF47-8F74-DC6FF2AC1812}</b:Guid>
    <b:Title>Leveraged bubbles</b:Title>
    <b:JournalName>Journal of Monetary Economics</b:JournalName>
    <b:Year>2015</b:Year>
    <b:Pages>S1-S20, 10.1016/j.jmoneco.2015.08.005</b:Pages>
    <b:Author>
      <b:Author>
        <b:NameList>
          <b:Person>
            <b:Last>Jordà</b:Last>
            <b:First>Òscar</b:First>
          </b:Person>
          <b:Person>
            <b:Last>Schularick</b:Last>
            <b:First>Moritz</b:First>
          </b:Person>
          <b:Person>
            <b:Last>Taylor</b:Last>
            <b:First>Alan</b:First>
            <b:Middle>M.</b:Middle>
          </b:Person>
        </b:NameList>
      </b:Author>
    </b:Author>
    <b:Volume>76</b:Volume>
    <b:RefOrder>6</b:RefOrder>
  </b:Source>
  <b:Source>
    <b:Tag>Giot03</b:Tag>
    <b:SourceType>JournalArticle</b:SourceType>
    <b:Guid>{0589052C-6CD2-1A44-A1A3-72FAE21C8BFE}</b:Guid>
    <b:Author>
      <b:Author>
        <b:NameList>
          <b:Person>
            <b:Last>Giot</b:Last>
            <b:First>Pierre</b:First>
          </b:Person>
          <b:Person>
            <b:Last>Laurent</b:Last>
            <b:First>Sébastien</b:First>
          </b:Person>
        </b:NameList>
      </b:Author>
    </b:Author>
    <b:Title>Value-at-risk for long and short trading positions</b:Title>
    <b:JournalName>Journal of Applied Econometrics</b:JournalName>
    <b:Year>2003</b:Year>
    <b:Pages>641-663, 10.1002/jae.710</b:Pages>
    <b:Volume>18</b:Volume>
    <b:RefOrder>28</b:RefOrder>
  </b:Source>
  <b:Source>
    <b:Tag>Car11</b:Tag>
    <b:SourceType>JournalArticle</b:SourceType>
    <b:Guid>{112D9102-2A07-3B4C-935B-F5CEEF824700}</b:Guid>
    <b:Author>
      <b:Author>
        <b:NameList>
          <b:Person>
            <b:Last>Cardarelli</b:Last>
            <b:First>Roberto</b:First>
          </b:Person>
          <b:Person>
            <b:Last>Elekdag</b:Last>
            <b:First>Selim</b:First>
          </b:Person>
          <b:Person>
            <b:Last>Lall</b:Last>
            <b:First>Subir</b:First>
          </b:Person>
        </b:NameList>
      </b:Author>
    </b:Author>
    <b:Title>Financial stress and economic contractions</b:Title>
    <b:JournalName>Journal of Financial Stability</b:JournalName>
    <b:Year>2011</b:Year>
    <b:Pages>78-97, 10.1016/j.jfs.2010.01.005</b:Pages>
    <b:Volume>7</b:Volume>
    <b:RefOrder>10</b:RefOrder>
  </b:Source>
  <b:Source>
    <b:Tag>Sza20</b:Tag>
    <b:SourceType>JournalArticle</b:SourceType>
    <b:Guid>{F7397E86-8733-9B4C-AD21-2F17BC69D355}</b:Guid>
    <b:Author>
      <b:Author>
        <b:NameList>
          <b:Person>
            <b:Last>Szabo</b:Last>
            <b:First>Milan</b:First>
          </b:Person>
        </b:NameList>
      </b:Author>
    </b:Author>
    <b:Title>Growth-at-Risk: Bayesian Approach</b:Title>
    <b:JournalName>Working Paper Series of the Czech National Bank (CNB)</b:JournalName>
    <b:Year>2020</b:Year>
    <b:RefOrder>8</b:RefOrder>
  </b:Source>
  <b:Source>
    <b:Tag>Pra19</b:Tag>
    <b:SourceType>JournalArticle</b:SourceType>
    <b:Guid>{018D43AD-020F-E341-B1D9-5689BCBEB4D0}</b:Guid>
    <b:Title>Growth at Risk: Concept and Application in IMF Country Surveillance</b:Title>
    <b:JournalName>IMF Working Papers</b:JournalName>
    <b:Year>2019</b:Year>
    <b:Pages>10.5089/9781484397015.001</b:Pages>
    <b:Author>
      <b:Author>
        <b:NameList>
          <b:Person>
            <b:Last>Adrian</b:Last>
            <b:First>Alter</b:First>
          </b:Person>
          <b:Person>
            <b:Last>Prasad</b:Last>
            <b:First>Ananthakrishnan</b:First>
          </b:Person>
          <b:Person>
            <b:Last>Elekdag</b:Last>
            <b:First>Selim</b:First>
          </b:Person>
          <b:Person>
            <b:Last>Jeasakul</b:Last>
            <b:First>Phakawa</b:First>
          </b:Person>
          <b:Person>
            <b:Last>Lafarguette</b:Last>
            <b:First>Romain</b:First>
          </b:Person>
          <b:Person>
            <b:Last>Xiaochen Feng</b:Last>
            <b:First>Alan</b:First>
          </b:Person>
          <b:Person>
            <b:Last>Wang</b:Last>
            <b:First>Changchun</b:First>
          </b:Person>
        </b:NameList>
      </b:Author>
    </b:Author>
    <b:Volume>19</b:Volume>
    <b:Issue>36</b:Issue>
    <b:RefOrder>7</b:RefOrder>
  </b:Source>
  <b:Source>
    <b:Tag>Adr19</b:Tag>
    <b:SourceType>JournalArticle</b:SourceType>
    <b:Guid>{210E21D3-73D0-304F-BABC-814E9DA419ED}</b:Guid>
    <b:Title>Vulnerable Growth</b:Title>
    <b:JournalName>American Economic Review</b:JournalName>
    <b:Year>2019</b:Year>
    <b:Pages>1263–89, 10.1257/aer.20161923</b:Pages>
    <b:Author>
      <b:Author>
        <b:NameList>
          <b:Person>
            <b:Last>Adrian</b:Last>
            <b:First>Tobias</b:First>
          </b:Person>
          <b:Person>
            <b:Last>Boyarchenko</b:Last>
            <b:First>Nina</b:First>
          </b:Person>
          <b:Person>
            <b:Last>Giannone</b:Last>
            <b:First>Domenico</b:First>
          </b:Person>
        </b:NameList>
      </b:Author>
    </b:Author>
    <b:Volume>109</b:Volume>
    <b:RefOrder>13</b:RefOrder>
  </b:Source>
  <b:Source>
    <b:Tag>Gal13</b:Tag>
    <b:SourceType>JournalArticle</b:SourceType>
    <b:Guid>{30C3489F-B5F3-254F-B2A0-08228E3258FF}</b:Guid>
    <b:Author>
      <b:Author>
        <b:NameList>
          <b:Person>
            <b:Last>Galati</b:Last>
            <b:First>Gabriele</b:First>
          </b:Person>
          <b:Person>
            <b:Last>Moessner</b:Last>
            <b:First>Richhild</b:First>
          </b:Person>
        </b:NameList>
      </b:Author>
    </b:Author>
    <b:Title>MACROPRUDENTIAL POLICY – A LITERATURE REVIEW</b:Title>
    <b:JournalName>Journal of Economic Surveys</b:JournalName>
    <b:Year>2013</b:Year>
    <b:Pages>846-878, 10.1111/j.1467-6419.2012.00729.x</b:Pages>
    <b:Volume>27</b:Volume>
    <b:RefOrder>9</b:RefOrder>
  </b:Source>
  <b:Source>
    <b:Tag>BIS10</b:Tag>
    <b:SourceType>Report</b:SourceType>
    <b:Guid>{ED1CD714-8C3E-5048-95B9-BB98C941A142}</b:Guid>
    <b:Author>
      <b:Author>
        <b:NameList>
          <b:Person>
            <b:Last>BIS</b:Last>
          </b:Person>
        </b:NameList>
      </b:Author>
    </b:Author>
    <b:Title>Guidance for national authorities operating the countercyclical capital buffer</b:Title>
    <b:Year>2010</b:Year>
    <b:Publisher>Basel Committee on Banking Supervision</b:Publisher>
    <b:City>Basel</b:City>
    <b:RefOrder>29</b:RefOrder>
  </b:Source>
  <b:Source>
    <b:Tag>CNB23</b:Tag>
    <b:SourceType>Report</b:SourceType>
    <b:Guid>{87F07155-55F1-AC4C-A248-A82DE9CFAE6E}</b:Guid>
    <b:Author>
      <b:Author>
        <b:NameList>
          <b:Person>
            <b:Last>CNB</b:Last>
          </b:Person>
        </b:NameList>
      </b:Author>
    </b:Author>
    <b:Title>The CNB’s approach to setting the countercyclical capital buffer</b:Title>
    <b:Publisher>Czech National Bank</b:Publisher>
    <b:City>Prague</b:City>
    <b:Year>2023</b:Year>
    <b:RefOrder>14</b:RefOrder>
  </b:Source>
  <b:Source>
    <b:Tag>ESRB19</b:Tag>
    <b:SourceType>Report</b:SourceType>
    <b:Guid>{AC0ED368-311E-BF49-A45B-D1F6F82BE898}</b:Guid>
    <b:Author>
      <b:Author>
        <b:NameList>
          <b:Person>
            <b:Last>ESRB</b:Last>
          </b:Person>
        </b:NameList>
      </b:Author>
    </b:Author>
    <b:Title>Features of a macroprudential stance: initial considerations</b:Title>
    <b:Publisher>European Systemic Risk Board</b:Publisher>
    <b:City>Frankfurt</b:City>
    <b:Year>2019</b:Year>
    <b:RefOrder>30</b:RefOrder>
  </b:Source>
  <b:Source>
    <b:Tag>ESRB18</b:Tag>
    <b:SourceType>Report</b:SourceType>
    <b:Guid>{D0EC8242-1994-584C-9F40-22A11EE9073E}</b:Guid>
    <b:Title>A Review of Macroprudential Policy in the EU in 2017</b:Title>
    <b:Year>2018</b:Year>
    <b:Author>
      <b:Author>
        <b:NameList>
          <b:Person>
            <b:Last>ESRB</b:Last>
          </b:Person>
        </b:NameList>
      </b:Author>
    </b:Author>
    <b:Publisher>European Systemic Risk Board</b:Publisher>
    <b:City>Frankfurt</b:City>
    <b:JournalName>European Systemic Risk Board: Macroprudential Policy Reviews</b:JournalName>
    <b:RefOrder>31</b:RefOrder>
  </b:Source>
  <b:Source>
    <b:Tag>ESRB24</b:Tag>
    <b:SourceType>Report</b:SourceType>
    <b:Guid>{2E22F897-E6B3-F846-9595-EC1730E9A0F4}</b:Guid>
    <b:Author>
      <b:Author>
        <b:NameList>
          <b:Person>
            <b:Last>ESRB</b:Last>
          </b:Person>
        </b:NameList>
      </b:Author>
    </b:Author>
    <b:Title>Improvements to the ESRB macroprudential stance framework</b:Title>
    <b:Publisher>European Systemic Risk Board</b:Publisher>
    <b:City>Frankfurt</b:City>
    <b:Year>2024</b:Year>
    <b:RefOrder>32</b:RefOrder>
  </b:Source>
  <b:Source>
    <b:Tag>ESRB21</b:Tag>
    <b:SourceType>Report</b:SourceType>
    <b:Guid>{62A2C225-4055-AF4E-8ECA-0A1C00FB89F6}</b:Guid>
    <b:Author>
      <b:Author>
        <b:NameList>
          <b:Person>
            <b:Last>ESRB</b:Last>
          </b:Person>
        </b:NameList>
      </b:Author>
    </b:Author>
    <b:Title>Report of the Expert Group on Macroprudential Stance – Phase II (implementation)</b:Title>
    <b:Publisher>European Systemic Risk Board</b:Publisher>
    <b:City>Frankfurt</b:City>
    <b:Year>2021</b:Year>
    <b:RefOrder>33</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0E692C2-D0BE-4612-A636-0A340A43F5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8875c8-43a9-487a-8483-c93934f2a15b"/>
    <ds:schemaRef ds:uri="0822d87c-9f4b-4af0-9aff-df69078804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FD7228-1354-4EFB-A4EC-BB725330CC3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FEBBB49-AD46-EF45-B897-B9E4AEB8424F}">
  <ds:schemaRefs>
    <ds:schemaRef ds:uri="http://schemas.openxmlformats.org/officeDocument/2006/bibliography"/>
  </ds:schemaRefs>
</ds:datastoreItem>
</file>

<file path=customXml/itemProps4.xml><?xml version="1.0" encoding="utf-8"?>
<ds:datastoreItem xmlns:ds="http://schemas.openxmlformats.org/officeDocument/2006/customXml" ds:itemID="{4460A41E-572B-49C8-8C8C-07157C2208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3800</TotalTime>
  <Pages>38</Pages>
  <Words>11080</Words>
  <Characters>63162</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Company>ACM</Company>
  <LinksUpToDate>false</LinksUpToDate>
  <CharactersWithSpaces>74094</CharactersWithSpaces>
  <SharedDoc>false</SharedDoc>
  <HLinks>
    <vt:vector size="48" baseType="variant">
      <vt:variant>
        <vt:i4>1900618</vt:i4>
      </vt:variant>
      <vt:variant>
        <vt:i4>84</vt:i4>
      </vt:variant>
      <vt:variant>
        <vt:i4>0</vt:i4>
      </vt:variant>
      <vt:variant>
        <vt:i4>5</vt:i4>
      </vt:variant>
      <vt:variant>
        <vt:lpwstr>http://www.acm.org/publications/submissions/latex_style</vt:lpwstr>
      </vt:variant>
      <vt:variant>
        <vt:lpwstr/>
      </vt:variant>
      <vt:variant>
        <vt:i4>65624</vt:i4>
      </vt:variant>
      <vt:variant>
        <vt:i4>48</vt:i4>
      </vt:variant>
      <vt:variant>
        <vt:i4>0</vt:i4>
      </vt:variant>
      <vt:variant>
        <vt:i4>5</vt:i4>
      </vt:variant>
      <vt:variant>
        <vt:lpwstr>http://sheridanprinting.com/typedept/ACM-distilling-settings.htm</vt:lpwstr>
      </vt:variant>
      <vt:variant>
        <vt:lpwstr/>
      </vt:variant>
      <vt:variant>
        <vt:i4>4259861</vt:i4>
      </vt:variant>
      <vt:variant>
        <vt:i4>45</vt:i4>
      </vt:variant>
      <vt:variant>
        <vt:i4>0</vt:i4>
      </vt:variant>
      <vt:variant>
        <vt:i4>5</vt:i4>
      </vt:variant>
      <vt:variant>
        <vt:lpwstr>http://chi2014.acm.org/authors/guide-to-an-accessible-submission</vt:lpwstr>
      </vt:variant>
      <vt:variant>
        <vt:lpwstr/>
      </vt:variant>
      <vt:variant>
        <vt:i4>1900618</vt:i4>
      </vt:variant>
      <vt:variant>
        <vt:i4>21</vt:i4>
      </vt:variant>
      <vt:variant>
        <vt:i4>0</vt:i4>
      </vt:variant>
      <vt:variant>
        <vt:i4>5</vt:i4>
      </vt:variant>
      <vt:variant>
        <vt:lpwstr>http://www.acm.org/publications/submissions/latex_style</vt:lpwstr>
      </vt:variant>
      <vt:variant>
        <vt:lpwstr/>
      </vt:variant>
      <vt:variant>
        <vt:i4>786512</vt:i4>
      </vt:variant>
      <vt:variant>
        <vt:i4>6</vt:i4>
      </vt:variant>
      <vt:variant>
        <vt:i4>0</vt:i4>
      </vt:variant>
      <vt:variant>
        <vt:i4>5</vt:i4>
      </vt:variant>
      <vt:variant>
        <vt:lpwstr>http://www.acm.org/publications/policies/copyright_policy</vt:lpwstr>
      </vt:variant>
      <vt:variant>
        <vt:lpwstr/>
      </vt:variant>
      <vt:variant>
        <vt:i4>5898367</vt:i4>
      </vt:variant>
      <vt:variant>
        <vt:i4>0</vt:i4>
      </vt:variant>
      <vt:variant>
        <vt:i4>0</vt:i4>
      </vt:variant>
      <vt:variant>
        <vt:i4>5</vt:i4>
      </vt:variant>
      <vt:variant>
        <vt:lpwstr>http://dl.acm.org/ccs.cfm</vt:lpwstr>
      </vt:variant>
      <vt:variant>
        <vt:lpwstr/>
      </vt:variant>
      <vt:variant>
        <vt:i4>2490451</vt:i4>
      </vt:variant>
      <vt:variant>
        <vt:i4>7276</vt:i4>
      </vt:variant>
      <vt:variant>
        <vt:i4>1025</vt:i4>
      </vt:variant>
      <vt:variant>
        <vt:i4>1</vt:i4>
      </vt:variant>
      <vt:variant>
        <vt:lpwstr>MIT-campus1</vt:lpwstr>
      </vt:variant>
      <vt:variant>
        <vt:lpwstr/>
      </vt:variant>
      <vt:variant>
        <vt:i4>4980759</vt:i4>
      </vt:variant>
      <vt:variant>
        <vt:i4>10435</vt:i4>
      </vt:variant>
      <vt:variant>
        <vt:i4>1026</vt:i4>
      </vt:variant>
      <vt:variant>
        <vt:i4>1</vt:i4>
      </vt:variant>
      <vt:variant>
        <vt:lpwstr>DevicesCrop-Outlines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SIGCHI</dc:creator>
  <cp:keywords>Guides, instructions, Author's kit, Conference Publications</cp:keywords>
  <dc:description/>
  <cp:lastModifiedBy>Victor Yerz</cp:lastModifiedBy>
  <cp:revision>795</cp:revision>
  <cp:lastPrinted>2018-12-26T15:25:00Z</cp:lastPrinted>
  <dcterms:created xsi:type="dcterms:W3CDTF">2021-09-24T18:46:00Z</dcterms:created>
  <dcterms:modified xsi:type="dcterms:W3CDTF">2024-09-15T07:39:00Z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ewHeaderText">
    <vt:lpwstr>For review only – do not cite or distribute</vt:lpwstr>
  </property>
  <property fmtid="{D5CDD505-2E9C-101B-9397-08002B2CF9AE}" pid="3" name="PublishHeaderText">
    <vt:lpwstr> </vt:lpwstr>
  </property>
  <property fmtid="{D5CDD505-2E9C-101B-9397-08002B2CF9AE}" pid="4" name="ContentTypeId">
    <vt:lpwstr>0x010100CDFA67BB8893134191D9394909D4A940</vt:lpwstr>
  </property>
  <property fmtid="{D5CDD505-2E9C-101B-9397-08002B2CF9AE}" pid="5" name="Order">
    <vt:r8>3217400</vt:r8>
  </property>
  <property fmtid="{D5CDD505-2E9C-101B-9397-08002B2CF9AE}" pid="6" name="ComplianceAssetId">
    <vt:lpwstr/>
  </property>
</Properties>
</file>