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6E5F5" w14:textId="5741F623" w:rsidR="00646E21" w:rsidRPr="00452DF8" w:rsidRDefault="00452DF8" w:rsidP="00452DF8">
      <w:pPr>
        <w:pStyle w:val="Title"/>
        <w:rPr>
          <w:sz w:val="32"/>
          <w:szCs w:val="32"/>
        </w:rPr>
      </w:pPr>
      <w:r w:rsidRPr="00452DF8">
        <w:rPr>
          <w:sz w:val="32"/>
          <w:szCs w:val="32"/>
        </w:rPr>
        <w:t>Measuring the risk build up in Armenian financial system: A Growth-at-Risk approach</w:t>
      </w:r>
    </w:p>
    <w:p w14:paraId="0A3F5EB1" w14:textId="5752D4FF" w:rsidR="00676734" w:rsidRPr="008506FC" w:rsidRDefault="00452DF8" w:rsidP="002263C9">
      <w:pPr>
        <w:pStyle w:val="AuthorName"/>
        <w:rPr>
          <w:vertAlign w:val="superscript"/>
        </w:rPr>
      </w:pPr>
      <w:r>
        <w:t>Vladimir Yeghiazaryan</w:t>
      </w:r>
      <w:r w:rsidR="00676734" w:rsidRPr="008506FC">
        <w:rPr>
          <w:vertAlign w:val="superscript"/>
        </w:rPr>
        <w:t>a</w:t>
      </w:r>
      <w:r w:rsidR="00676734" w:rsidRPr="008506FC">
        <w:t xml:space="preserve">, </w:t>
      </w:r>
      <w:r w:rsidRPr="00452DF8">
        <w:t>Arthur Grigoryan</w:t>
      </w:r>
      <w:r w:rsidR="00676734" w:rsidRPr="008506FC">
        <w:rPr>
          <w:vertAlign w:val="superscript"/>
        </w:rPr>
        <w:t>b</w:t>
      </w:r>
    </w:p>
    <w:p w14:paraId="75C39D53" w14:textId="347CA340" w:rsidR="00676734" w:rsidRPr="008506FC" w:rsidRDefault="002D6AE0" w:rsidP="002263C9">
      <w:pPr>
        <w:pStyle w:val="AuthorAffiliation"/>
      </w:pPr>
      <w:r w:rsidRPr="008506FC">
        <w:rPr>
          <w:vertAlign w:val="superscript"/>
        </w:rPr>
        <w:t xml:space="preserve">a </w:t>
      </w:r>
      <w:r w:rsidR="00452DF8" w:rsidRPr="00452DF8">
        <w:t>Central Bank of Armenia</w:t>
      </w:r>
      <w:r w:rsidR="00EE4A38" w:rsidRPr="008506FC">
        <w:t xml:space="preserve">, </w:t>
      </w:r>
      <w:r w:rsidR="00452DF8">
        <w:t>Yerevan</w:t>
      </w:r>
      <w:r w:rsidR="00EE4A38" w:rsidRPr="008506FC">
        <w:t xml:space="preserve">, </w:t>
      </w:r>
      <w:r w:rsidR="00452DF8">
        <w:t>Armenia</w:t>
      </w:r>
      <w:r w:rsidR="00EE4A38" w:rsidRPr="008506FC">
        <w:t xml:space="preserve">, </w:t>
      </w:r>
      <w:r w:rsidR="00452DF8">
        <w:rPr>
          <w:rStyle w:val="AuthorEmailChar"/>
        </w:rPr>
        <w:t>v</w:t>
      </w:r>
      <w:r w:rsidR="00452DF8" w:rsidRPr="00452DF8">
        <w:rPr>
          <w:rStyle w:val="AuthorEmailChar"/>
        </w:rPr>
        <w:t>ladimir.</w:t>
      </w:r>
      <w:r w:rsidR="00452DF8">
        <w:rPr>
          <w:rStyle w:val="AuthorEmailChar"/>
        </w:rPr>
        <w:t>y</w:t>
      </w:r>
      <w:r w:rsidR="00452DF8" w:rsidRPr="00452DF8">
        <w:rPr>
          <w:rStyle w:val="AuthorEmailChar"/>
        </w:rPr>
        <w:t>eghiazaryan@cba.am</w:t>
      </w:r>
    </w:p>
    <w:p w14:paraId="2178EABB" w14:textId="112052C5" w:rsidR="00216CFA" w:rsidRPr="008506FC" w:rsidRDefault="002D6AE0" w:rsidP="00452DF8">
      <w:pPr>
        <w:pStyle w:val="AuthorAffiliation"/>
      </w:pPr>
      <w:r w:rsidRPr="008506FC">
        <w:rPr>
          <w:vertAlign w:val="superscript"/>
        </w:rPr>
        <w:t>b</w:t>
      </w:r>
      <w:r w:rsidRPr="008506FC">
        <w:t xml:space="preserve"> </w:t>
      </w:r>
      <w:r w:rsidR="00452DF8" w:rsidRPr="00452DF8">
        <w:t>Central Bank of Armenia</w:t>
      </w:r>
      <w:r w:rsidR="00216CFA" w:rsidRPr="008506FC">
        <w:t xml:space="preserve">, </w:t>
      </w:r>
      <w:r w:rsidR="00452DF8">
        <w:t>Yerevan</w:t>
      </w:r>
      <w:r w:rsidR="00216CFA" w:rsidRPr="008506FC">
        <w:t xml:space="preserve">, </w:t>
      </w:r>
      <w:r w:rsidR="00452DF8">
        <w:t>Armenia</w:t>
      </w:r>
      <w:r w:rsidR="00216CFA" w:rsidRPr="008506FC">
        <w:t>,</w:t>
      </w:r>
      <w:r w:rsidR="00216CFA" w:rsidRPr="00013ED9">
        <w:rPr>
          <w:rStyle w:val="AuthorEmailChar"/>
        </w:rPr>
        <w:t xml:space="preserve"> </w:t>
      </w:r>
      <w:r w:rsidR="00452DF8">
        <w:rPr>
          <w:rStyle w:val="AuthorEmailChar"/>
        </w:rPr>
        <w:t>a</w:t>
      </w:r>
      <w:r w:rsidR="00452DF8" w:rsidRPr="00452DF8">
        <w:rPr>
          <w:rStyle w:val="AuthorEmailChar"/>
        </w:rPr>
        <w:t>rthur.</w:t>
      </w:r>
      <w:r w:rsidR="00452DF8">
        <w:rPr>
          <w:rStyle w:val="AuthorEmailChar"/>
        </w:rPr>
        <w:t>g</w:t>
      </w:r>
      <w:r w:rsidR="00452DF8" w:rsidRPr="00452DF8">
        <w:rPr>
          <w:rStyle w:val="AuthorEmailChar"/>
        </w:rPr>
        <w:t>rigoryan@cba.am</w:t>
      </w:r>
    </w:p>
    <w:p w14:paraId="799703C2" w14:textId="77777777" w:rsidR="00291C99" w:rsidRPr="008506FC" w:rsidRDefault="00291C99" w:rsidP="002263C9">
      <w:pPr>
        <w:pStyle w:val="AuthorAffiliation"/>
      </w:pPr>
    </w:p>
    <w:p w14:paraId="67367779" w14:textId="00549672" w:rsidR="0082437C" w:rsidRPr="008506FC" w:rsidRDefault="0082437C" w:rsidP="002263C9">
      <w:pPr>
        <w:sectPr w:rsidR="0082437C" w:rsidRPr="008506FC" w:rsidSect="000734E0">
          <w:pgSz w:w="12240" w:h="15840" w:code="1"/>
          <w:pgMar w:top="1440" w:right="1440" w:bottom="1440" w:left="1440" w:header="720" w:footer="288" w:gutter="0"/>
          <w:cols w:space="720"/>
          <w:titlePg/>
          <w:docGrid w:linePitch="360"/>
        </w:sectPr>
      </w:pPr>
    </w:p>
    <w:p w14:paraId="2F92542B" w14:textId="1F4C1C13" w:rsidR="006B3F1F" w:rsidRPr="008506FC" w:rsidRDefault="006B3F1F" w:rsidP="002263C9">
      <w:pPr>
        <w:rPr>
          <w:b/>
        </w:rPr>
      </w:pPr>
      <w:r w:rsidRPr="008506FC">
        <w:rPr>
          <w:b/>
        </w:rPr>
        <w:t>A</w:t>
      </w:r>
      <w:r w:rsidR="002263C9" w:rsidRPr="008506FC">
        <w:rPr>
          <w:b/>
        </w:rPr>
        <w:t>bstract</w:t>
      </w:r>
    </w:p>
    <w:p w14:paraId="1BB3CF17" w14:textId="5AE0904C" w:rsidR="006B3F1F" w:rsidRPr="008506FC" w:rsidRDefault="000A6C04" w:rsidP="003C7D81">
      <w:r w:rsidRPr="000A6C04">
        <w:t xml:space="preserve">In recent years macroprudential policy has been evolving, with the aim to more closely manage the build-up of cyclical vulnerabilities in the financial system. The materialization of financial stress can trigger downside risks for growth in the medium term, but the realization of these risks can be mitigated through the effective use of macroprudential tools. This paper aims to quantify these risks and the effects of macroprudential policy on them, through the use of empirical growth-at-risk (GaR) frameworks. It also aims to augment the process of decision-making by proposing methods for designing a policy rule for macroprudential policy. </w:t>
      </w:r>
      <w:r w:rsidR="001D2611">
        <w:t>This</w:t>
      </w:r>
      <w:r w:rsidRPr="000A6C04">
        <w:t xml:space="preserve"> rule shouldn't be viewed as </w:t>
      </w:r>
      <w:r w:rsidR="001D2611">
        <w:t xml:space="preserve">a </w:t>
      </w:r>
      <w:r w:rsidRPr="000A6C04">
        <w:t>binding constraint, but rather as guideline that could serve as a basis for preemptive action.</w:t>
      </w:r>
    </w:p>
    <w:p w14:paraId="5C1C542F" w14:textId="3F780F8A" w:rsidR="006B3F1F" w:rsidRPr="008506FC" w:rsidRDefault="002263C9" w:rsidP="002263C9">
      <w:pPr>
        <w:rPr>
          <w:b/>
        </w:rPr>
      </w:pPr>
      <w:r w:rsidRPr="008506FC">
        <w:rPr>
          <w:b/>
        </w:rPr>
        <w:t>Keywords</w:t>
      </w:r>
    </w:p>
    <w:p w14:paraId="09062D14" w14:textId="4B96A6F1" w:rsidR="00782A36" w:rsidRDefault="003C732D" w:rsidP="0054300D">
      <w:r>
        <w:t>growth-at-risk, s</w:t>
      </w:r>
      <w:r w:rsidRPr="003C732D">
        <w:t>ystemic risk</w:t>
      </w:r>
      <w:r>
        <w:t>, q</w:t>
      </w:r>
      <w:r w:rsidRPr="003C732D">
        <w:t>uantile regressions</w:t>
      </w:r>
      <w:r>
        <w:t>, m</w:t>
      </w:r>
      <w:r w:rsidRPr="003C732D">
        <w:t>acroprudential policy</w:t>
      </w:r>
      <w:r>
        <w:t xml:space="preserve">, </w:t>
      </w:r>
      <w:r w:rsidRPr="003C732D">
        <w:t>policy stance</w:t>
      </w:r>
    </w:p>
    <w:p w14:paraId="00043EC6" w14:textId="77777777" w:rsidR="00C31CEF" w:rsidRPr="00E06FBA" w:rsidRDefault="00C31CEF" w:rsidP="0054300D"/>
    <w:p w14:paraId="61D869FF" w14:textId="6E72765C" w:rsidR="00A6678D" w:rsidRPr="008506FC" w:rsidRDefault="004535A6" w:rsidP="002263C9">
      <w:pPr>
        <w:pStyle w:val="SectionHeading"/>
        <w:rPr>
          <w:rStyle w:val="TabletextChar"/>
          <w:szCs w:val="20"/>
        </w:rPr>
      </w:pPr>
      <w:r w:rsidRPr="008506FC">
        <w:t>Introduction</w:t>
      </w:r>
    </w:p>
    <w:p w14:paraId="563FE0BA" w14:textId="458A09A5" w:rsidR="003B0677" w:rsidRDefault="000A6C04" w:rsidP="004B1F17">
      <w:pPr>
        <w:ind w:firstLine="284"/>
      </w:pPr>
      <w:r>
        <w:t xml:space="preserve">In this paper, we focus on designing </w:t>
      </w:r>
      <w:r w:rsidR="00DA6596" w:rsidRPr="000A6C04">
        <w:t>a policy rule for macroprudential policy</w:t>
      </w:r>
      <w:r w:rsidR="004B7570">
        <w:t xml:space="preserve"> </w:t>
      </w:r>
      <w:r>
        <w:t>for the case of the Armenian financial system.</w:t>
      </w:r>
      <w:r w:rsidR="00D14E81">
        <w:t xml:space="preserve"> </w:t>
      </w:r>
      <w:r w:rsidR="00EC2F47">
        <w:t xml:space="preserve">To estimate the effects of </w:t>
      </w:r>
      <w:r w:rsidR="00EC2F47" w:rsidRPr="000A6C04">
        <w:t>macroprudential policy</w:t>
      </w:r>
      <w:r w:rsidR="004F420A">
        <w:t>,</w:t>
      </w:r>
      <w:r w:rsidR="00EC2F47">
        <w:t xml:space="preserve"> the current </w:t>
      </w:r>
      <w:r w:rsidR="00EC2F47" w:rsidRPr="00EC2F47">
        <w:t>literature</w:t>
      </w:r>
      <w:r w:rsidR="00EC2F47">
        <w:t xml:space="preserve"> </w:t>
      </w:r>
      <w:sdt>
        <w:sdtPr>
          <w:id w:val="-1880778647"/>
          <w:citation/>
        </w:sdtPr>
        <w:sdtContent>
          <w:r w:rsidR="00EC2F47">
            <w:fldChar w:fldCharType="begin"/>
          </w:r>
          <w:r w:rsidR="00EC2F47">
            <w:instrText xml:space="preserve"> CITATION Alam19 \l 1033 </w:instrText>
          </w:r>
          <w:r w:rsidR="00EC2F47">
            <w:fldChar w:fldCharType="separate"/>
          </w:r>
          <w:r w:rsidR="00790F65">
            <w:rPr>
              <w:noProof/>
            </w:rPr>
            <w:t>(Alam, et al., 2019)</w:t>
          </w:r>
          <w:r w:rsidR="00EC2F47">
            <w:fldChar w:fldCharType="end"/>
          </w:r>
        </w:sdtContent>
      </w:sdt>
      <w:r w:rsidR="00EC2F47">
        <w:t xml:space="preserve"> </w:t>
      </w:r>
      <w:sdt>
        <w:sdtPr>
          <w:id w:val="-1067107470"/>
          <w:citation/>
        </w:sdtPr>
        <w:sdtContent>
          <w:r w:rsidR="00EC2F47">
            <w:fldChar w:fldCharType="begin"/>
          </w:r>
          <w:r w:rsidR="00EC2F47">
            <w:instrText xml:space="preserve"> CITATION Galan \l 1033 </w:instrText>
          </w:r>
          <w:r w:rsidR="00EC2F47">
            <w:fldChar w:fldCharType="separate"/>
          </w:r>
          <w:r w:rsidR="00790F65">
            <w:rPr>
              <w:noProof/>
            </w:rPr>
            <w:t>(Galán, 2020)</w:t>
          </w:r>
          <w:r w:rsidR="00EC2F47">
            <w:fldChar w:fldCharType="end"/>
          </w:r>
        </w:sdtContent>
      </w:sdt>
      <w:r w:rsidR="00EC2F47">
        <w:t xml:space="preserve"> </w:t>
      </w:r>
      <w:r w:rsidR="00EC2F47" w:rsidRPr="00EC2F47">
        <w:t>opts to construct</w:t>
      </w:r>
      <w:r w:rsidR="00EC2F47">
        <w:t xml:space="preserve">ing an index given </w:t>
      </w:r>
      <w:r w:rsidR="004F420A">
        <w:t xml:space="preserve">the history and the macroprudential policy </w:t>
      </w:r>
      <w:r w:rsidR="004F420A" w:rsidRPr="004F420A">
        <w:t>stance</w:t>
      </w:r>
      <w:r w:rsidR="004F420A">
        <w:t xml:space="preserve"> of a country. </w:t>
      </w:r>
      <w:r w:rsidR="004F420A" w:rsidRPr="004F420A">
        <w:t>Unfortunately</w:t>
      </w:r>
      <w:r w:rsidR="004F420A">
        <w:t>, like many countries, the data related to macroprudential policy in Armenian is quite limited</w:t>
      </w:r>
      <w:r w:rsidR="008060C8">
        <w:t xml:space="preserve">. To account for this, we use a two-step approach. First, we estimate a panel quantile regression very close in its logic and spirit to Galán (2020) and Aikman et al. (2019). Using </w:t>
      </w:r>
      <w:r w:rsidR="001D2611">
        <w:t xml:space="preserve">a </w:t>
      </w:r>
      <w:r w:rsidR="00DB4E49" w:rsidRPr="00DB4E49">
        <w:t xml:space="preserve">quarterly </w:t>
      </w:r>
      <w:r w:rsidR="001D2611">
        <w:t xml:space="preserve">dataset with </w:t>
      </w:r>
      <w:r w:rsidR="008060C8">
        <w:t xml:space="preserve">43 countries and </w:t>
      </w:r>
      <w:r w:rsidR="001D2611">
        <w:t>21</w:t>
      </w:r>
      <w:r w:rsidR="008060C8">
        <w:t xml:space="preserve"> variables</w:t>
      </w:r>
      <w:r w:rsidR="001D2611">
        <w:t xml:space="preserve"> for the period 1993-2023</w:t>
      </w:r>
      <w:r w:rsidR="008060C8">
        <w:t xml:space="preserve"> we derive </w:t>
      </w:r>
      <w:r w:rsidR="008060C8" w:rsidRPr="008060C8">
        <w:t>robust</w:t>
      </w:r>
      <w:r w:rsidR="008060C8">
        <w:t xml:space="preserve"> results for the effects of macroprudential policy on </w:t>
      </w:r>
      <w:r w:rsidR="004C33E8">
        <w:t xml:space="preserve">the distribution of the </w:t>
      </w:r>
      <w:r w:rsidR="008060C8">
        <w:t xml:space="preserve">output growth. </w:t>
      </w:r>
      <w:r w:rsidR="004B1F17">
        <w:t xml:space="preserve">The reason we focus </w:t>
      </w:r>
      <w:r w:rsidR="004B1F17">
        <w:lastRenderedPageBreak/>
        <w:t xml:space="preserve">on the </w:t>
      </w:r>
      <w:r w:rsidR="00765F0E">
        <w:t>g</w:t>
      </w:r>
      <w:r w:rsidR="004B1F17" w:rsidRPr="004B1F17">
        <w:t xml:space="preserve">ross domestic product </w:t>
      </w:r>
      <w:r w:rsidR="004B1F17">
        <w:t xml:space="preserve">(GDP) growth, is because it is closely related to the performance of the financial system and is a good measure for </w:t>
      </w:r>
      <w:r w:rsidR="004B1F17" w:rsidRPr="004B1F17">
        <w:t>quantifying</w:t>
      </w:r>
      <w:r w:rsidR="004B1F17">
        <w:t xml:space="preserve"> the </w:t>
      </w:r>
      <w:r w:rsidR="004B1F17" w:rsidRPr="004B1F17">
        <w:t>vulnerabilities</w:t>
      </w:r>
      <w:r w:rsidR="004B1F17">
        <w:t xml:space="preserve"> and </w:t>
      </w:r>
      <w:r w:rsidR="004B1F17" w:rsidRPr="004B1F17">
        <w:t>potential losses</w:t>
      </w:r>
      <w:r w:rsidR="004B1F17">
        <w:t xml:space="preserve">. </w:t>
      </w:r>
      <w:r w:rsidR="008060C8">
        <w:t>Next, we estimate a</w:t>
      </w:r>
      <w:r w:rsidR="004C33E8">
        <w:t xml:space="preserve"> similar, but</w:t>
      </w:r>
      <w:r w:rsidR="008060C8">
        <w:t xml:space="preserve"> local </w:t>
      </w:r>
      <w:r w:rsidR="004B7570">
        <w:t xml:space="preserve">quantile regression </w:t>
      </w:r>
      <w:r w:rsidR="008060C8">
        <w:t xml:space="preserve">model </w:t>
      </w:r>
      <w:r w:rsidR="004B7570">
        <w:t xml:space="preserve">for Armenia, </w:t>
      </w:r>
      <w:r w:rsidR="00DB4E49">
        <w:t xml:space="preserve">with 11 variables for the period 2003-2024 </w:t>
      </w:r>
      <w:r w:rsidR="004B7570">
        <w:t xml:space="preserve">including the limited macroprudential data. Finally, we use the results from the panel model to improve the </w:t>
      </w:r>
      <w:r w:rsidR="004C33E8">
        <w:t>macroprudential policy</w:t>
      </w:r>
      <w:r w:rsidR="00E9479E">
        <w:t xml:space="preserve"> estimates of the local model</w:t>
      </w:r>
      <w:r w:rsidR="004C33E8">
        <w:t>.</w:t>
      </w:r>
    </w:p>
    <w:p w14:paraId="5F5CC3D9" w14:textId="6EF0E56A" w:rsidR="00E9479E" w:rsidRDefault="00DB4E49" w:rsidP="00D14E81">
      <w:pPr>
        <w:ind w:firstLine="284"/>
      </w:pPr>
      <w:r>
        <w:t xml:space="preserve">According to the results, macroprudential policy </w:t>
      </w:r>
      <w:r w:rsidR="00397361">
        <w:t xml:space="preserve">has nonlinear effects on the </w:t>
      </w:r>
      <w:r w:rsidR="003B0677">
        <w:t>short-term output growth distribution</w:t>
      </w:r>
      <w:r w:rsidR="00397361">
        <w:t xml:space="preserve">. The effects </w:t>
      </w:r>
      <w:r w:rsidR="003B0677">
        <w:t xml:space="preserve">are negative </w:t>
      </w:r>
      <w:r>
        <w:t>on the median of the distribution</w:t>
      </w:r>
      <w:r w:rsidR="00760E83">
        <w:t xml:space="preserve">. For the case of </w:t>
      </w:r>
      <w:r w:rsidR="00760E83" w:rsidRPr="00760E83">
        <w:t>countercyclical capital buffer</w:t>
      </w:r>
      <w:r w:rsidR="00760E83">
        <w:t xml:space="preserve"> (CCyB), a </w:t>
      </w:r>
      <w:r w:rsidR="00760E83" w:rsidRPr="00760E83">
        <w:t>tightening</w:t>
      </w:r>
      <w:r w:rsidR="00760E83">
        <w:t xml:space="preserve"> of </w:t>
      </w:r>
      <w:r w:rsidR="00760E83" w:rsidRPr="00760E83">
        <w:t>macroprudential policy</w:t>
      </w:r>
      <w:r w:rsidR="00760E83">
        <w:t xml:space="preserve"> would imply stricter capital requirements on the banks and a reduction of credit supply. This would be followed by a decrease in consumption and investment, and thus </w:t>
      </w:r>
      <w:r w:rsidR="000E77EE">
        <w:t>negatively affect short-term output growth. Additionally, we find that macroprudential policy has positive effects on the tail of the</w:t>
      </w:r>
      <w:r w:rsidR="003B0677">
        <w:t xml:space="preserve"> </w:t>
      </w:r>
      <w:r w:rsidR="000E77EE">
        <w:t xml:space="preserve">distribution. </w:t>
      </w:r>
      <w:r w:rsidR="00AA414E">
        <w:t xml:space="preserve">Following our example with the CCyB, higher capital increases the </w:t>
      </w:r>
      <w:r w:rsidR="00AA414E" w:rsidRPr="00AA414E">
        <w:t>resilience</w:t>
      </w:r>
      <w:r w:rsidR="00AA414E">
        <w:t xml:space="preserve"> of the banks and reduces potential losses in case of tail event</w:t>
      </w:r>
      <w:r w:rsidR="003B0677">
        <w:t>s</w:t>
      </w:r>
      <w:r w:rsidR="00AA414E">
        <w:t xml:space="preserve">. </w:t>
      </w:r>
      <w:r w:rsidR="00AA414E" w:rsidRPr="00AA414E">
        <w:t>Jiménez</w:t>
      </w:r>
      <w:r w:rsidR="00AA414E">
        <w:t xml:space="preserve"> et al. (20</w:t>
      </w:r>
      <w:r w:rsidR="00397361">
        <w:t xml:space="preserve">17) also find that an </w:t>
      </w:r>
      <w:r w:rsidR="00397361" w:rsidRPr="00397361">
        <w:t>increase in capital buffers</w:t>
      </w:r>
      <w:r w:rsidR="00397361">
        <w:t xml:space="preserve"> </w:t>
      </w:r>
      <w:r w:rsidR="00397361" w:rsidRPr="00397361">
        <w:t xml:space="preserve">extends credit to </w:t>
      </w:r>
      <w:r w:rsidR="003B0677" w:rsidRPr="003B0677">
        <w:t xml:space="preserve">firms </w:t>
      </w:r>
      <w:r w:rsidR="00397361">
        <w:t>and reduces the risk of insolvency.</w:t>
      </w:r>
      <w:r w:rsidR="003B0677">
        <w:t xml:space="preserve"> </w:t>
      </w:r>
      <w:r w:rsidR="00461773">
        <w:t xml:space="preserve">Our results are in line with the literature </w:t>
      </w:r>
      <w:sdt>
        <w:sdtPr>
          <w:id w:val="-1299219390"/>
          <w:citation/>
        </w:sdtPr>
        <w:sdtContent>
          <w:r w:rsidR="00D14E81">
            <w:fldChar w:fldCharType="begin"/>
          </w:r>
          <w:r w:rsidR="00D14E81">
            <w:instrText xml:space="preserve"> CITATION Galan \l 1033 </w:instrText>
          </w:r>
          <w:r w:rsidR="00D14E81">
            <w:fldChar w:fldCharType="separate"/>
          </w:r>
          <w:r w:rsidR="00790F65">
            <w:rPr>
              <w:noProof/>
            </w:rPr>
            <w:t>(Galán, 2020)</w:t>
          </w:r>
          <w:r w:rsidR="00D14E81">
            <w:fldChar w:fldCharType="end"/>
          </w:r>
        </w:sdtContent>
      </w:sdt>
      <w:r w:rsidR="00D14E81">
        <w:t xml:space="preserve"> and support the theoretical frame where </w:t>
      </w:r>
      <w:r w:rsidR="00B07498">
        <w:t xml:space="preserve">macroprudential policy </w:t>
      </w:r>
      <w:r w:rsidR="00D14E81">
        <w:t xml:space="preserve">is facing a </w:t>
      </w:r>
      <w:r w:rsidR="00D14E81" w:rsidRPr="00D14E81">
        <w:t>trade-off</w:t>
      </w:r>
      <w:r w:rsidR="00D14E81">
        <w:t xml:space="preserve"> between </w:t>
      </w:r>
      <w:r w:rsidR="000A6C04">
        <w:t xml:space="preserve">short-term costs (a decline in </w:t>
      </w:r>
      <w:r w:rsidR="00D14E81">
        <w:t>output</w:t>
      </w:r>
      <w:r w:rsidR="000A6C04">
        <w:t xml:space="preserve">) </w:t>
      </w:r>
      <w:r w:rsidR="00D14E81">
        <w:t>and the</w:t>
      </w:r>
      <w:r w:rsidR="000A6C04">
        <w:t xml:space="preserve"> long-term benefits (reduction of risks captured by the shrinking tail of </w:t>
      </w:r>
      <w:r w:rsidR="00D14E81">
        <w:t>the</w:t>
      </w:r>
      <w:r w:rsidR="000A6C04">
        <w:t xml:space="preserve"> distribution).</w:t>
      </w:r>
    </w:p>
    <w:p w14:paraId="12D72E9B" w14:textId="4A8312C7" w:rsidR="00B07498" w:rsidRDefault="00986CC8" w:rsidP="00D14E81">
      <w:pPr>
        <w:ind w:firstLine="284"/>
      </w:pPr>
      <w:r>
        <w:t xml:space="preserve">It is important to note that the effect of macroprudential policy also depends </w:t>
      </w:r>
      <w:r w:rsidR="009E4729">
        <w:t xml:space="preserve">other economic conditions. </w:t>
      </w:r>
      <w:r w:rsidR="00470ED8">
        <w:t xml:space="preserve">In this paper we </w:t>
      </w:r>
      <w:r w:rsidR="00470ED8" w:rsidRPr="00470ED8">
        <w:t>distinguish</w:t>
      </w:r>
      <w:r w:rsidR="00470ED8">
        <w:t xml:space="preserve"> two main indicators, </w:t>
      </w:r>
      <w:r w:rsidR="00470ED8" w:rsidRPr="00470ED8">
        <w:t>financial vulnerability</w:t>
      </w:r>
      <w:r w:rsidR="00470ED8">
        <w:t xml:space="preserve"> and </w:t>
      </w:r>
      <w:r w:rsidR="00470ED8" w:rsidRPr="00470ED8">
        <w:t>financial stress</w:t>
      </w:r>
      <w:r w:rsidR="00470ED8">
        <w:t xml:space="preserve">. </w:t>
      </w:r>
      <w:r w:rsidR="007E0A15">
        <w:t xml:space="preserve">To measure the </w:t>
      </w:r>
      <w:r w:rsidR="007E0A15" w:rsidRPr="00470ED8">
        <w:t>financial</w:t>
      </w:r>
      <w:r w:rsidR="007E0A15" w:rsidRPr="007E0A15">
        <w:t xml:space="preserve"> vulnerabilit</w:t>
      </w:r>
      <w:r w:rsidR="007E0A15">
        <w:t xml:space="preserve">y in the system we use the </w:t>
      </w:r>
      <w:r w:rsidR="007E0A15" w:rsidRPr="007E0A15">
        <w:t>financial cycle index</w:t>
      </w:r>
      <w:r w:rsidR="007E0A15">
        <w:t xml:space="preserve"> (FCyI), which is an extension to the </w:t>
      </w:r>
      <w:r w:rsidR="007E0A15" w:rsidRPr="007E0A15">
        <w:t>Basel credit-to-GDP</w:t>
      </w:r>
      <w:r w:rsidR="007E0A15">
        <w:t xml:space="preserve"> gap approach. </w:t>
      </w:r>
      <w:r w:rsidR="00A112AE">
        <w:t>On the other hand, to measure f</w:t>
      </w:r>
      <w:r w:rsidR="00A112AE" w:rsidRPr="00470ED8">
        <w:t>inancial stress</w:t>
      </w:r>
      <w:r w:rsidR="00A112AE">
        <w:t xml:space="preserve">, we estimate a </w:t>
      </w:r>
      <w:r w:rsidR="00A112AE" w:rsidRPr="00A112AE">
        <w:t>financial conditions index</w:t>
      </w:r>
      <w:r w:rsidR="00A112AE">
        <w:t xml:space="preserve"> (FCI) following the methodology by Gary Koop and </w:t>
      </w:r>
      <w:r w:rsidR="00A112AE" w:rsidRPr="00A112AE">
        <w:t>Dimitris Korobilis</w:t>
      </w:r>
      <w:r w:rsidR="00A112AE">
        <w:t xml:space="preserve"> (2014). A factor augmented vector autoregressive model with time-varying coefficients and stochastic volatility is used with 17 financial variables that are </w:t>
      </w:r>
      <w:r w:rsidR="00A112AE" w:rsidRPr="00A112AE">
        <w:t>aggregated</w:t>
      </w:r>
      <w:r w:rsidR="00A112AE">
        <w:t xml:space="preserve"> to form the index. F</w:t>
      </w:r>
      <w:r w:rsidR="00A112AE" w:rsidRPr="00470ED8">
        <w:t>inancial vulnerabilit</w:t>
      </w:r>
      <w:r w:rsidR="00AD07AE">
        <w:t>ies</w:t>
      </w:r>
      <w:r w:rsidR="00A112AE">
        <w:t xml:space="preserve"> </w:t>
      </w:r>
      <w:r w:rsidR="00AD07AE">
        <w:t>are</w:t>
      </w:r>
      <w:r w:rsidR="00B27CD5">
        <w:t xml:space="preserve"> </w:t>
      </w:r>
      <w:r w:rsidR="00A112AE">
        <w:t>risk</w:t>
      </w:r>
      <w:r w:rsidR="00AD07AE">
        <w:t>s</w:t>
      </w:r>
      <w:r w:rsidR="00A112AE">
        <w:t xml:space="preserve"> that </w:t>
      </w:r>
      <w:r w:rsidR="00AD07AE">
        <w:t>are</w:t>
      </w:r>
      <w:r w:rsidR="00A112AE">
        <w:t xml:space="preserve"> realized during f</w:t>
      </w:r>
      <w:r w:rsidR="00A112AE" w:rsidRPr="00470ED8">
        <w:t>inancial stress</w:t>
      </w:r>
      <w:r w:rsidR="00A112AE">
        <w:t xml:space="preserve">, as such, these two </w:t>
      </w:r>
      <w:r w:rsidR="00A112AE" w:rsidRPr="00A112AE">
        <w:t>indices</w:t>
      </w:r>
      <w:r w:rsidR="00A112AE">
        <w:t xml:space="preserve"> are tightly related</w:t>
      </w:r>
      <w:r w:rsidR="00AD07AE">
        <w:t xml:space="preserve">. To account for the relationship between them, </w:t>
      </w:r>
      <w:r w:rsidR="00A112AE">
        <w:t xml:space="preserve">we also include </w:t>
      </w:r>
      <w:r w:rsidR="00EA444F">
        <w:t>their product, aka the “</w:t>
      </w:r>
      <w:r w:rsidR="00EA444F" w:rsidRPr="00EA444F">
        <w:t>crisis index</w:t>
      </w:r>
      <w:r w:rsidR="00EA444F">
        <w:t>”</w:t>
      </w:r>
      <w:r w:rsidR="00AD07AE">
        <w:t xml:space="preserve"> (CI)</w:t>
      </w:r>
      <w:r w:rsidR="00EA444F">
        <w:t xml:space="preserve"> as part of the control variables in the model.</w:t>
      </w:r>
    </w:p>
    <w:p w14:paraId="2F5921C9" w14:textId="55FC059B" w:rsidR="004F1BA1" w:rsidRPr="008506FC" w:rsidRDefault="00D14E81" w:rsidP="00470603">
      <w:pPr>
        <w:ind w:firstLine="284"/>
      </w:pPr>
      <w:r>
        <w:t>F</w:t>
      </w:r>
      <w:r w:rsidR="000A6C04">
        <w:t>or designing the policy rule, this paper uses the work of Javier Suarez (2021) as its main reference</w:t>
      </w:r>
      <w:r w:rsidR="00D44DC0">
        <w:t xml:space="preserve">. </w:t>
      </w:r>
      <w:r w:rsidR="00264A97">
        <w:t>For the policy rule</w:t>
      </w:r>
      <w:r w:rsidR="00264A97" w:rsidRPr="00264A97">
        <w:t xml:space="preserve"> </w:t>
      </w:r>
      <w:r w:rsidR="00264A97">
        <w:t xml:space="preserve">Suarez (2021) proposes a simple </w:t>
      </w:r>
      <w:r w:rsidR="00D163F7" w:rsidRPr="00D163F7">
        <w:t xml:space="preserve">welfare </w:t>
      </w:r>
      <w:r w:rsidR="00264A97">
        <w:t xml:space="preserve">function derived from micro </w:t>
      </w:r>
      <w:r w:rsidR="00264A97" w:rsidRPr="00264A97">
        <w:t>foundations</w:t>
      </w:r>
      <w:r w:rsidR="00264A97">
        <w:t xml:space="preserve">. We use our </w:t>
      </w:r>
      <w:r w:rsidR="00264A97" w:rsidRPr="00264A97">
        <w:t>empirical</w:t>
      </w:r>
      <w:r w:rsidR="00264A97">
        <w:t xml:space="preserve"> </w:t>
      </w:r>
      <w:r w:rsidR="00264A97">
        <w:lastRenderedPageBreak/>
        <w:t xml:space="preserve">framework alongside this </w:t>
      </w:r>
      <w:r w:rsidR="00264A97" w:rsidRPr="00264A97">
        <w:t>utility</w:t>
      </w:r>
      <w:r w:rsidR="00264A97">
        <w:t xml:space="preserve"> function to </w:t>
      </w:r>
      <w:r w:rsidR="00EA444F" w:rsidRPr="00EA444F">
        <w:t xml:space="preserve">determine </w:t>
      </w:r>
      <w:r w:rsidR="00264A97">
        <w:t>the “</w:t>
      </w:r>
      <w:r w:rsidR="00264A97" w:rsidRPr="00264A97">
        <w:t>optimal policy</w:t>
      </w:r>
      <w:r w:rsidR="00264A97">
        <w:t xml:space="preserve">.” </w:t>
      </w:r>
      <w:r w:rsidR="000A6C04">
        <w:t>We have performed</w:t>
      </w:r>
      <w:r w:rsidR="00264A97">
        <w:t xml:space="preserve"> this</w:t>
      </w:r>
      <w:r w:rsidR="000A6C04">
        <w:t xml:space="preserve"> analysis with a strong intention to use it in the policymaking procedure while also contributing to the existing research.</w:t>
      </w:r>
    </w:p>
    <w:p w14:paraId="036A5AAE" w14:textId="14D0FDB7" w:rsidR="000770C1" w:rsidRDefault="000770C1" w:rsidP="00B719CA">
      <w:pPr>
        <w:pStyle w:val="SectionHeading"/>
      </w:pPr>
      <w:r>
        <w:t>Methodology</w:t>
      </w:r>
    </w:p>
    <w:p w14:paraId="30A1FFAB" w14:textId="34BEC8CE" w:rsidR="00646075" w:rsidRDefault="00646075" w:rsidP="00B719CA">
      <w:pPr>
        <w:pStyle w:val="SectionHeading"/>
        <w:numPr>
          <w:ilvl w:val="1"/>
          <w:numId w:val="8"/>
        </w:numPr>
      </w:pPr>
      <w:r>
        <w:t>Panel quantile regression</w:t>
      </w:r>
    </w:p>
    <w:p w14:paraId="774F931E" w14:textId="4D3352FB" w:rsidR="00646075" w:rsidRDefault="004B1F17" w:rsidP="00765F0E">
      <w:pPr>
        <w:ind w:firstLine="284"/>
      </w:pPr>
      <w:r>
        <w:t xml:space="preserve">As we have discussed before, </w:t>
      </w:r>
      <w:r w:rsidR="00765F0E">
        <w:t xml:space="preserve">macroprudential policy </w:t>
      </w:r>
      <w:r>
        <w:t xml:space="preserve">has different effects on the GDP growth distribution </w:t>
      </w:r>
      <w:r w:rsidR="00087BEC">
        <w:t>(</w:t>
      </w:r>
      <w:r w:rsidR="00087BEC">
        <w:rPr>
          <w:noProof/>
        </w:rPr>
        <w:t>Boar et al., 2017)</w:t>
      </w:r>
      <w:r w:rsidR="00040473">
        <w:rPr>
          <w:noProof/>
        </w:rPr>
        <w:t>.</w:t>
      </w:r>
      <w:r w:rsidR="00765F0E">
        <w:rPr>
          <w:noProof/>
        </w:rPr>
        <w:t xml:space="preserve"> </w:t>
      </w:r>
      <w:r w:rsidR="00040473">
        <w:rPr>
          <w:noProof/>
        </w:rPr>
        <w:t>T</w:t>
      </w:r>
      <w:r w:rsidR="00765F0E">
        <w:rPr>
          <w:noProof/>
        </w:rPr>
        <w:t>o model these n</w:t>
      </w:r>
      <w:r w:rsidR="00765F0E" w:rsidRPr="00765F0E">
        <w:rPr>
          <w:noProof/>
        </w:rPr>
        <w:t>onlinearities</w:t>
      </w:r>
      <w:r w:rsidR="00765F0E">
        <w:rPr>
          <w:noProof/>
        </w:rPr>
        <w:t xml:space="preserve"> we use the </w:t>
      </w:r>
      <w:r w:rsidR="00765F0E" w:rsidRPr="00765F0E">
        <w:rPr>
          <w:noProof/>
        </w:rPr>
        <w:t xml:space="preserve">quantile regression </w:t>
      </w:r>
      <w:r w:rsidR="00765F0E">
        <w:rPr>
          <w:noProof/>
        </w:rPr>
        <w:t xml:space="preserve">framework </w:t>
      </w:r>
      <w:sdt>
        <w:sdtPr>
          <w:rPr>
            <w:noProof/>
          </w:rPr>
          <w:id w:val="-178891202"/>
          <w:citation/>
        </w:sdtPr>
        <w:sdtContent>
          <w:r w:rsidR="00765F0E">
            <w:rPr>
              <w:noProof/>
            </w:rPr>
            <w:fldChar w:fldCharType="begin"/>
          </w:r>
          <w:r w:rsidR="00765F0E">
            <w:rPr>
              <w:noProof/>
            </w:rPr>
            <w:instrText xml:space="preserve"> CITATION Koe78 \l 1033 </w:instrText>
          </w:r>
          <w:r w:rsidR="00765F0E">
            <w:rPr>
              <w:noProof/>
            </w:rPr>
            <w:fldChar w:fldCharType="separate"/>
          </w:r>
          <w:r w:rsidR="00790F65">
            <w:rPr>
              <w:noProof/>
            </w:rPr>
            <w:t>(Koenker &amp; Bassett, 1978)</w:t>
          </w:r>
          <w:r w:rsidR="00765F0E">
            <w:rPr>
              <w:noProof/>
            </w:rPr>
            <w:fldChar w:fldCharType="end"/>
          </w:r>
        </w:sdtContent>
      </w:sdt>
      <w:r w:rsidR="00765F0E">
        <w:rPr>
          <w:noProof/>
        </w:rPr>
        <w:t xml:space="preserve"> </w:t>
      </w:r>
      <w:r w:rsidR="00040473">
        <w:rPr>
          <w:noProof/>
        </w:rPr>
        <w:t xml:space="preserve">which allows us to </w:t>
      </w:r>
      <w:r w:rsidR="00765F0E">
        <w:rPr>
          <w:noProof/>
        </w:rPr>
        <w:t xml:space="preserve">focus </w:t>
      </w:r>
      <w:r w:rsidR="00040473">
        <w:rPr>
          <w:noProof/>
        </w:rPr>
        <w:t xml:space="preserve">on different conditional </w:t>
      </w:r>
      <w:r w:rsidR="00040473" w:rsidRPr="00765F0E">
        <w:rPr>
          <w:noProof/>
        </w:rPr>
        <w:t>quantile</w:t>
      </w:r>
      <w:r w:rsidR="00040473">
        <w:rPr>
          <w:noProof/>
        </w:rPr>
        <w:t>s of the ditribution and no</w:t>
      </w:r>
      <w:r w:rsidR="00D41CAA">
        <w:rPr>
          <w:noProof/>
        </w:rPr>
        <w:t>t</w:t>
      </w:r>
      <w:r w:rsidR="00040473">
        <w:rPr>
          <w:noProof/>
        </w:rPr>
        <w:t xml:space="preserve"> just the conditional mean. </w:t>
      </w:r>
      <w:r w:rsidR="00D41CAA">
        <w:rPr>
          <w:noProof/>
        </w:rPr>
        <w:t xml:space="preserve">Quantile regression has also become quite popular in forecasting growth-at-risk, which is the expected loss in GDP growth given a a tail event. In fact, it has proven to outperform </w:t>
      </w:r>
      <w:r w:rsidR="00D41CAA" w:rsidRPr="00D41CAA">
        <w:rPr>
          <w:noProof/>
        </w:rPr>
        <w:t xml:space="preserve">GARCH-type </w:t>
      </w:r>
      <w:r w:rsidR="00D41CAA">
        <w:rPr>
          <w:noProof/>
        </w:rPr>
        <w:t xml:space="preserve">models </w:t>
      </w:r>
      <w:sdt>
        <w:sdtPr>
          <w:rPr>
            <w:noProof/>
          </w:rPr>
          <w:id w:val="-1849712911"/>
          <w:citation/>
        </w:sdtPr>
        <w:sdtContent>
          <w:r w:rsidR="00040473">
            <w:rPr>
              <w:noProof/>
            </w:rPr>
            <w:fldChar w:fldCharType="begin"/>
          </w:r>
          <w:r w:rsidR="00040473">
            <w:rPr>
              <w:noProof/>
            </w:rPr>
            <w:instrText xml:space="preserve"> CITATION Kip22 \l 1033 </w:instrText>
          </w:r>
          <w:r w:rsidR="00040473">
            <w:rPr>
              <w:noProof/>
            </w:rPr>
            <w:fldChar w:fldCharType="separate"/>
          </w:r>
          <w:r w:rsidR="00790F65">
            <w:rPr>
              <w:noProof/>
            </w:rPr>
            <w:t>(Kipriyanov, 2022)</w:t>
          </w:r>
          <w:r w:rsidR="00040473">
            <w:rPr>
              <w:noProof/>
            </w:rPr>
            <w:fldChar w:fldCharType="end"/>
          </w:r>
        </w:sdtContent>
      </w:sdt>
      <w:r w:rsidR="00D41CAA">
        <w:rPr>
          <w:noProof/>
        </w:rPr>
        <w:t xml:space="preserve"> in this task. In a panel framework, </w:t>
      </w:r>
      <w:r w:rsidR="00D41CAA">
        <w:t xml:space="preserve">quantile regression helps to account for heterogeneous covariates, while the </w:t>
      </w:r>
      <w:r w:rsidR="00D41CAA" w:rsidRPr="00D41CAA">
        <w:t>fixed effects</w:t>
      </w:r>
      <w:r w:rsidR="00D41CAA">
        <w:t xml:space="preserve"> consider the unobserved heterogeneity which doesn’t change with respect to time </w:t>
      </w:r>
      <w:sdt>
        <w:sdtPr>
          <w:id w:val="139548121"/>
          <w:citation/>
        </w:sdtPr>
        <w:sdtContent>
          <w:r w:rsidR="00D41CAA">
            <w:fldChar w:fldCharType="begin"/>
          </w:r>
          <w:r w:rsidR="00D41CAA">
            <w:instrText xml:space="preserve"> CITATION Galan \l 1033 </w:instrText>
          </w:r>
          <w:r w:rsidR="00D41CAA">
            <w:fldChar w:fldCharType="separate"/>
          </w:r>
          <w:r w:rsidR="00790F65">
            <w:rPr>
              <w:noProof/>
            </w:rPr>
            <w:t>(Galán, 2020)</w:t>
          </w:r>
          <w:r w:rsidR="00D41CAA">
            <w:fldChar w:fldCharType="end"/>
          </w:r>
        </w:sdtContent>
      </w:sdt>
      <w:r w:rsidR="00B62631">
        <w:t>. It is important to note that in this framework the fixed effects are subject to change depending on the quantile. For a general case, a panel quantile regression takes the following form:</w:t>
      </w:r>
    </w:p>
    <w:p w14:paraId="194C7171" w14:textId="3D14BCF6" w:rsidR="00B62631" w:rsidRPr="00216396" w:rsidRDefault="00000000" w:rsidP="00765F0E">
      <w:pPr>
        <w:ind w:firstLine="284"/>
        <w:rPr>
          <w:b/>
        </w:rPr>
      </w:pPr>
      <m:oMathPara>
        <m:oMath>
          <m:eqArr>
            <m:eqArrPr>
              <m:maxDist m:val="1"/>
              <m:ctrlPr>
                <w:rPr>
                  <w:rFonts w:ascii="Cambria Math" w:hAnsi="Cambria Math"/>
                  <w:b/>
                  <w:i/>
                </w:rPr>
              </m:ctrlPr>
            </m:eqArrPr>
            <m:e>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i,t+h</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α</m:t>
                  </m:r>
                </m:e>
                <m:sub>
                  <m:r>
                    <m:rPr>
                      <m:sty m:val="bi"/>
                    </m:rPr>
                    <w:rPr>
                      <w:rFonts w:ascii="Cambria Math" w:hAnsi="Cambria Math"/>
                    </w:rPr>
                    <m:t>i,τ</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i,t</m:t>
                  </m:r>
                </m:sub>
              </m:sSub>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τ</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τ,t+h</m:t>
                  </m:r>
                </m:sub>
              </m:sSub>
              <m:r>
                <m:rPr>
                  <m:sty m:val="bi"/>
                </m:rPr>
                <w:rPr>
                  <w:rFonts w:ascii="Cambria Math" w:hAnsi="Cambria Math"/>
                </w:rPr>
                <m:t>#</m:t>
              </m:r>
              <m:d>
                <m:dPr>
                  <m:ctrlPr>
                    <w:rPr>
                      <w:rFonts w:ascii="Cambria Math" w:hAnsi="Cambria Math"/>
                      <w:b/>
                      <w:i/>
                    </w:rPr>
                  </m:ctrlPr>
                </m:dPr>
                <m:e>
                  <m:r>
                    <m:rPr>
                      <m:sty m:val="bi"/>
                    </m:rPr>
                    <w:rPr>
                      <w:rFonts w:ascii="Cambria Math" w:hAnsi="Cambria Math"/>
                    </w:rPr>
                    <m:t>1</m:t>
                  </m:r>
                </m:e>
              </m:d>
            </m:e>
          </m:eqArr>
        </m:oMath>
      </m:oMathPara>
    </w:p>
    <w:p w14:paraId="1A922BF6" w14:textId="099D3E4A" w:rsidR="00216396" w:rsidRPr="00CA3503" w:rsidRDefault="00000000" w:rsidP="00765F0E">
      <w:pPr>
        <w:ind w:firstLine="284"/>
        <w:rPr>
          <w:b/>
        </w:rPr>
      </w:pPr>
      <m:oMathPara>
        <m:oMath>
          <m:eqArr>
            <m:eqArrPr>
              <m:maxDist m:val="1"/>
              <m:ctrlPr>
                <w:rPr>
                  <w:rFonts w:ascii="Cambria Math" w:hAnsi="Cambria Math"/>
                  <w:b/>
                  <w:i/>
                </w:rPr>
              </m:ctrlPr>
            </m:eqArrPr>
            <m:e>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τ,t+h</m:t>
                  </m:r>
                </m:sub>
              </m:sSub>
              <m:r>
                <m:rPr>
                  <m:sty m:val="bi"/>
                </m:rPr>
                <w:rPr>
                  <w:rFonts w:ascii="Cambria Math" w:hAnsi="Cambria Math"/>
                </w:rPr>
                <m:t>=</m:t>
              </m:r>
              <m:nary>
                <m:naryPr>
                  <m:chr m:val="∑"/>
                  <m:limLoc m:val="undOvr"/>
                  <m:ctrlPr>
                    <w:rPr>
                      <w:rFonts w:ascii="Cambria Math" w:hAnsi="Cambria Math"/>
                      <w:b/>
                      <w:i/>
                    </w:rPr>
                  </m:ctrlPr>
                </m:naryPr>
                <m:sub>
                  <m:r>
                    <m:rPr>
                      <m:sty m:val="bi"/>
                    </m:rPr>
                    <w:rPr>
                      <w:rFonts w:ascii="Cambria Math" w:hAnsi="Cambria Math"/>
                    </w:rPr>
                    <m:t>i=1</m:t>
                  </m:r>
                </m:sub>
                <m:sup>
                  <m:r>
                    <m:rPr>
                      <m:sty m:val="bi"/>
                    </m:rPr>
                    <w:rPr>
                      <w:rFonts w:ascii="Cambria Math" w:hAnsi="Cambria Math"/>
                    </w:rPr>
                    <m:t>n</m:t>
                  </m:r>
                </m:sup>
                <m:e>
                  <m:nary>
                    <m:naryPr>
                      <m:chr m:val="∑"/>
                      <m:limLoc m:val="undOvr"/>
                      <m:ctrlPr>
                        <w:rPr>
                          <w:rFonts w:ascii="Cambria Math" w:hAnsi="Cambria Math"/>
                          <w:b/>
                          <w:i/>
                        </w:rPr>
                      </m:ctrlPr>
                    </m:naryPr>
                    <m:sub>
                      <m:r>
                        <m:rPr>
                          <m:sty m:val="bi"/>
                        </m:rPr>
                        <w:rPr>
                          <w:rFonts w:ascii="Cambria Math" w:hAnsi="Cambria Math"/>
                        </w:rPr>
                        <m:t>t=1</m:t>
                      </m:r>
                    </m:sub>
                    <m:sup>
                      <m:r>
                        <m:rPr>
                          <m:sty m:val="bi"/>
                        </m:rPr>
                        <w:rPr>
                          <w:rFonts w:ascii="Cambria Math" w:hAnsi="Cambria Math"/>
                        </w:rPr>
                        <m:t>T-h</m:t>
                      </m:r>
                    </m:sup>
                    <m:e>
                      <m:sSub>
                        <m:sSubPr>
                          <m:ctrlPr>
                            <w:rPr>
                              <w:rFonts w:ascii="Cambria Math" w:hAnsi="Cambria Math"/>
                              <w:b/>
                              <w:i/>
                            </w:rPr>
                          </m:ctrlPr>
                        </m:sSubPr>
                        <m:e>
                          <m:r>
                            <m:rPr>
                              <m:sty m:val="bi"/>
                            </m:rPr>
                            <w:rPr>
                              <w:rFonts w:ascii="Cambria Math" w:hAnsi="Cambria Math"/>
                            </w:rPr>
                            <m:t>ρ</m:t>
                          </m:r>
                        </m:e>
                        <m:sub>
                          <m:r>
                            <m:rPr>
                              <m:sty m:val="bi"/>
                            </m:rPr>
                            <w:rPr>
                              <w:rFonts w:ascii="Cambria Math" w:hAnsi="Cambria Math"/>
                            </w:rPr>
                            <m:t>τ</m:t>
                          </m:r>
                        </m:sub>
                      </m:sSub>
                      <m:d>
                        <m:dPr>
                          <m:begChr m:val="|"/>
                          <m:endChr m:val="|"/>
                          <m:ctrlPr>
                            <w:rPr>
                              <w:rFonts w:ascii="Cambria Math" w:hAnsi="Cambria Math"/>
                              <w:b/>
                              <w:i/>
                            </w:rPr>
                          </m:ctrlPr>
                        </m:dPr>
                        <m:e>
                          <m:sSubSup>
                            <m:sSubSupPr>
                              <m:ctrlPr>
                                <w:rPr>
                                  <w:rFonts w:ascii="Cambria Math" w:hAnsi="Cambria Math"/>
                                  <w:b/>
                                  <w:i/>
                                </w:rPr>
                              </m:ctrlPr>
                            </m:sSubSupPr>
                            <m:e>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i,t+h</m:t>
                                  </m:r>
                                </m:sub>
                              </m:sSub>
                              <m:r>
                                <m:rPr>
                                  <m:sty m:val="bi"/>
                                </m:rPr>
                                <w:rPr>
                                  <w:rFonts w:ascii="Cambria Math" w:hAnsi="Cambria Math"/>
                                </w:rPr>
                                <m:t>-y</m:t>
                              </m:r>
                            </m:e>
                            <m:sub>
                              <m:r>
                                <m:rPr>
                                  <m:sty m:val="bi"/>
                                </m:rPr>
                                <w:rPr>
                                  <w:rFonts w:ascii="Cambria Math" w:hAnsi="Cambria Math"/>
                                </w:rPr>
                                <m:t>i,t+h</m:t>
                              </m:r>
                            </m:sub>
                            <m:sup>
                              <m:r>
                                <m:rPr>
                                  <m:sty m:val="bi"/>
                                </m:rPr>
                                <w:rPr>
                                  <w:rFonts w:ascii="Cambria Math" w:hAnsi="Cambria Math"/>
                                </w:rPr>
                                <m:t>*</m:t>
                              </m:r>
                            </m:sup>
                          </m:sSubSup>
                        </m:e>
                      </m:d>
                    </m:e>
                  </m:nary>
                </m:e>
              </m:nary>
              <m:r>
                <m:rPr>
                  <m:sty m:val="bi"/>
                </m:rPr>
                <w:rPr>
                  <w:rFonts w:ascii="Cambria Math" w:hAnsi="Cambria Math"/>
                </w:rPr>
                <m:t>#</m:t>
              </m:r>
              <m:d>
                <m:dPr>
                  <m:ctrlPr>
                    <w:rPr>
                      <w:rFonts w:ascii="Cambria Math" w:hAnsi="Cambria Math"/>
                      <w:b/>
                      <w:i/>
                    </w:rPr>
                  </m:ctrlPr>
                </m:dPr>
                <m:e>
                  <m:r>
                    <m:rPr>
                      <m:sty m:val="bi"/>
                    </m:rPr>
                    <w:rPr>
                      <w:rFonts w:ascii="Cambria Math" w:hAnsi="Cambria Math"/>
                    </w:rPr>
                    <m:t>2</m:t>
                  </m:r>
                </m:e>
              </m:d>
            </m:e>
          </m:eqArr>
        </m:oMath>
      </m:oMathPara>
    </w:p>
    <w:p w14:paraId="4802208A" w14:textId="72702F55" w:rsidR="00CA3503" w:rsidRPr="00CA3503" w:rsidRDefault="00000000" w:rsidP="00765F0E">
      <w:pPr>
        <w:ind w:firstLine="284"/>
        <w:rPr>
          <w:b/>
        </w:rPr>
      </w:pPr>
      <m:oMathPara>
        <m:oMath>
          <m:eqArr>
            <m:eqArrPr>
              <m:maxDist m:val="1"/>
              <m:ctrlPr>
                <w:rPr>
                  <w:rFonts w:ascii="Cambria Math" w:hAnsi="Cambria Math"/>
                  <w:b/>
                  <w:i/>
                </w:rPr>
              </m:ctrlPr>
            </m:eqArrPr>
            <m:e>
              <m:sSub>
                <m:sSubPr>
                  <m:ctrlPr>
                    <w:rPr>
                      <w:rFonts w:ascii="Cambria Math" w:hAnsi="Cambria Math"/>
                      <w:b/>
                      <w:i/>
                    </w:rPr>
                  </m:ctrlPr>
                </m:sSubPr>
                <m:e>
                  <m:r>
                    <m:rPr>
                      <m:sty m:val="bi"/>
                    </m:rPr>
                    <w:rPr>
                      <w:rFonts w:ascii="Cambria Math" w:hAnsi="Cambria Math"/>
                    </w:rPr>
                    <m:t>ρ</m:t>
                  </m:r>
                </m:e>
                <m:sub>
                  <m:r>
                    <m:rPr>
                      <m:sty m:val="bi"/>
                    </m:rPr>
                    <w:rPr>
                      <w:rFonts w:ascii="Cambria Math" w:hAnsi="Cambria Math"/>
                    </w:rPr>
                    <m:t>τ</m:t>
                  </m:r>
                </m:sub>
              </m:sSub>
              <m:r>
                <m:rPr>
                  <m:sty m:val="bi"/>
                </m:rPr>
                <w:rPr>
                  <w:rFonts w:ascii="Cambria Math" w:hAnsi="Cambria Math"/>
                </w:rPr>
                <m:t>=τ⋅</m:t>
              </m:r>
              <m:sSub>
                <m:sSubPr>
                  <m:ctrlPr>
                    <w:rPr>
                      <w:rFonts w:ascii="Cambria Math" w:hAnsi="Cambria Math"/>
                      <w:b/>
                      <w:i/>
                    </w:rPr>
                  </m:ctrlPr>
                </m:sSubPr>
                <m:e>
                  <m:r>
                    <m:rPr>
                      <m:sty m:val="bi"/>
                    </m:rPr>
                    <w:rPr>
                      <w:rFonts w:ascii="Cambria Math" w:hAnsi="Cambria Math"/>
                    </w:rPr>
                    <m:t>1</m:t>
                  </m:r>
                </m:e>
                <m:sub>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i,t+h</m:t>
                      </m:r>
                    </m:sub>
                  </m:sSub>
                  <m:r>
                    <m:rPr>
                      <m:sty m:val="bi"/>
                    </m:rPr>
                    <w:rPr>
                      <w:rFonts w:ascii="Cambria Math" w:hAnsi="Cambria Math"/>
                    </w:rPr>
                    <m:t>≥</m:t>
                  </m:r>
                  <m:sSubSup>
                    <m:sSubSupPr>
                      <m:ctrlPr>
                        <w:rPr>
                          <w:rFonts w:ascii="Cambria Math" w:hAnsi="Cambria Math"/>
                          <w:b/>
                          <w:i/>
                        </w:rPr>
                      </m:ctrlPr>
                    </m:sSubSupPr>
                    <m:e>
                      <m:r>
                        <m:rPr>
                          <m:sty m:val="bi"/>
                        </m:rPr>
                        <w:rPr>
                          <w:rFonts w:ascii="Cambria Math" w:hAnsi="Cambria Math"/>
                        </w:rPr>
                        <m:t>y</m:t>
                      </m:r>
                    </m:e>
                    <m:sub>
                      <m:r>
                        <m:rPr>
                          <m:sty m:val="bi"/>
                        </m:rPr>
                        <w:rPr>
                          <w:rFonts w:ascii="Cambria Math" w:hAnsi="Cambria Math"/>
                        </w:rPr>
                        <m:t>i,t+h</m:t>
                      </m:r>
                    </m:sub>
                    <m:sup>
                      <m:r>
                        <m:rPr>
                          <m:sty m:val="bi"/>
                        </m:rPr>
                        <w:rPr>
                          <w:rFonts w:ascii="Cambria Math" w:hAnsi="Cambria Math"/>
                        </w:rPr>
                        <m:t>*</m:t>
                      </m:r>
                    </m:sup>
                  </m:sSubSup>
                </m:sub>
              </m:sSub>
              <m:r>
                <m:rPr>
                  <m:sty m:val="bi"/>
                </m:rPr>
                <w:rPr>
                  <w:rFonts w:ascii="Cambria Math" w:hAnsi="Cambria Math"/>
                </w:rPr>
                <m:t>+</m:t>
              </m:r>
              <m:d>
                <m:dPr>
                  <m:ctrlPr>
                    <w:rPr>
                      <w:rFonts w:ascii="Cambria Math" w:hAnsi="Cambria Math"/>
                      <w:b/>
                      <w:i/>
                    </w:rPr>
                  </m:ctrlPr>
                </m:dPr>
                <m:e>
                  <m:r>
                    <m:rPr>
                      <m:sty m:val="bi"/>
                    </m:rPr>
                    <w:rPr>
                      <w:rFonts w:ascii="Cambria Math" w:hAnsi="Cambria Math"/>
                    </w:rPr>
                    <m:t>1-τ</m:t>
                  </m:r>
                </m:e>
              </m:d>
              <m:r>
                <m:rPr>
                  <m:sty m:val="bi"/>
                </m:rPr>
                <w:rPr>
                  <w:rFonts w:ascii="Cambria Math" w:hAnsi="Cambria Math"/>
                </w:rPr>
                <m:t>⋅</m:t>
              </m:r>
              <m:sSub>
                <m:sSubPr>
                  <m:ctrlPr>
                    <w:rPr>
                      <w:rFonts w:ascii="Cambria Math" w:hAnsi="Cambria Math"/>
                      <w:b/>
                      <w:i/>
                    </w:rPr>
                  </m:ctrlPr>
                </m:sSubPr>
                <m:e>
                  <m:r>
                    <m:rPr>
                      <m:sty m:val="bi"/>
                    </m:rPr>
                    <w:rPr>
                      <w:rFonts w:ascii="Cambria Math" w:hAnsi="Cambria Math"/>
                    </w:rPr>
                    <m:t>1</m:t>
                  </m:r>
                </m:e>
                <m:sub>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i,t+h</m:t>
                      </m:r>
                    </m:sub>
                  </m:sSub>
                  <m:r>
                    <m:rPr>
                      <m:sty m:val="bi"/>
                    </m:rPr>
                    <w:rPr>
                      <w:rFonts w:ascii="Cambria Math" w:hAnsi="Cambria Math"/>
                    </w:rPr>
                    <m:t>≤</m:t>
                  </m:r>
                  <m:sSubSup>
                    <m:sSubSupPr>
                      <m:ctrlPr>
                        <w:rPr>
                          <w:rFonts w:ascii="Cambria Math" w:hAnsi="Cambria Math"/>
                          <w:b/>
                          <w:i/>
                        </w:rPr>
                      </m:ctrlPr>
                    </m:sSubSupPr>
                    <m:e>
                      <m:r>
                        <m:rPr>
                          <m:sty m:val="bi"/>
                        </m:rPr>
                        <w:rPr>
                          <w:rFonts w:ascii="Cambria Math" w:hAnsi="Cambria Math"/>
                        </w:rPr>
                        <m:t>y</m:t>
                      </m:r>
                    </m:e>
                    <m:sub>
                      <m:r>
                        <m:rPr>
                          <m:sty m:val="bi"/>
                        </m:rPr>
                        <w:rPr>
                          <w:rFonts w:ascii="Cambria Math" w:hAnsi="Cambria Math"/>
                        </w:rPr>
                        <m:t>i,t+h</m:t>
                      </m:r>
                    </m:sub>
                    <m:sup>
                      <m:r>
                        <m:rPr>
                          <m:sty m:val="bi"/>
                        </m:rPr>
                        <w:rPr>
                          <w:rFonts w:ascii="Cambria Math" w:hAnsi="Cambria Math"/>
                        </w:rPr>
                        <m:t>*</m:t>
                      </m:r>
                    </m:sup>
                  </m:sSubSup>
                </m:sub>
              </m:sSub>
              <m:r>
                <m:rPr>
                  <m:sty m:val="bi"/>
                </m:rPr>
                <w:rPr>
                  <w:rFonts w:ascii="Cambria Math" w:hAnsi="Cambria Math"/>
                </w:rPr>
                <m:t>#</m:t>
              </m:r>
              <m:d>
                <m:dPr>
                  <m:ctrlPr>
                    <w:rPr>
                      <w:rFonts w:ascii="Cambria Math" w:hAnsi="Cambria Math"/>
                      <w:b/>
                      <w:i/>
                    </w:rPr>
                  </m:ctrlPr>
                </m:dPr>
                <m:e>
                  <m:r>
                    <m:rPr>
                      <m:sty m:val="bi"/>
                    </m:rPr>
                    <w:rPr>
                      <w:rFonts w:ascii="Cambria Math" w:hAnsi="Cambria Math"/>
                    </w:rPr>
                    <m:t>3</m:t>
                  </m:r>
                </m:e>
              </m:d>
            </m:e>
          </m:eqArr>
        </m:oMath>
      </m:oMathPara>
    </w:p>
    <w:p w14:paraId="353B3139" w14:textId="0065683B" w:rsidR="00CA3503" w:rsidRPr="00D41CAA" w:rsidRDefault="002326A8" w:rsidP="002326A8">
      <w:r>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it+h</m:t>
            </m:r>
          </m:sub>
          <m:sup>
            <m:r>
              <w:rPr>
                <w:rFonts w:ascii="Cambria Math" w:hAnsi="Cambria Math"/>
              </w:rPr>
              <m:t>*</m:t>
            </m:r>
          </m:sup>
        </m:sSubSup>
      </m:oMath>
      <w:r>
        <w:t xml:space="preserve"> is the quantile regression estimate, </w:t>
      </w:r>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i,t</m:t>
            </m:r>
          </m:sub>
        </m:sSub>
      </m:oMath>
      <w:r w:rsidRPr="002326A8">
        <w:t xml:space="preserve"> </w:t>
      </w:r>
      <w:r w:rsidR="000C4EE6">
        <w:t xml:space="preserve">is a vector of </w:t>
      </w:r>
      <w:r w:rsidR="000C4EE6" w:rsidRPr="000C4EE6">
        <w:t>exogenous variable</w:t>
      </w:r>
      <w:r w:rsidR="000C4EE6">
        <w:t xml:space="preserve">s, </w:t>
      </w:r>
      <m:oMath>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i,τ</m:t>
            </m:r>
          </m:sub>
        </m:sSub>
      </m:oMath>
      <w:r w:rsidR="000C4EE6" w:rsidRPr="000C4EE6">
        <w:t xml:space="preserve"> </w:t>
      </w:r>
      <w:r w:rsidR="000C4EE6">
        <w:t xml:space="preserve">is a vector of fixed effects, </w:t>
      </w:r>
      <m:oMath>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τ</m:t>
            </m:r>
          </m:sub>
        </m:sSub>
      </m:oMath>
      <w:r w:rsidR="000C4EE6">
        <w:t xml:space="preserve"> are the quantile-based weights</w:t>
      </w:r>
      <w:r w:rsidR="003E43AB">
        <w:t xml:space="preserve">, </w:t>
      </w:r>
      <m:oMath>
        <m:r>
          <m:rPr>
            <m:sty m:val="bi"/>
          </m:rPr>
          <w:rPr>
            <w:rFonts w:ascii="Cambria Math" w:hAnsi="Cambria Math"/>
          </w:rPr>
          <m:t>τ</m:t>
        </m:r>
      </m:oMath>
      <w:r w:rsidR="000C4EE6" w:rsidRPr="000C4EE6">
        <w:t xml:space="preserve"> is the</w:t>
      </w:r>
      <w:r w:rsidR="000C4EE6">
        <w:t xml:space="preserve"> quantile</w:t>
      </w:r>
      <w:r w:rsidR="00C8552E">
        <w:t>,</w:t>
      </w:r>
      <w:r w:rsidR="003E43AB">
        <w:t xml:space="preserve"> </w:t>
      </w:r>
      <w:r w:rsidR="00C8552E">
        <w:t>while</w:t>
      </w:r>
      <w:r w:rsidR="003E43AB">
        <w:t xml:space="preserve"> </w:t>
      </w:r>
      <m:oMath>
        <m:r>
          <m:rPr>
            <m:sty m:val="bi"/>
          </m:rPr>
          <w:rPr>
            <w:rFonts w:ascii="Cambria Math" w:hAnsi="Cambria Math"/>
          </w:rPr>
          <m:t>T</m:t>
        </m:r>
      </m:oMath>
      <w:r w:rsidR="00C8552E" w:rsidRPr="00C8552E">
        <w:t xml:space="preserve"> and </w:t>
      </w:r>
      <m:oMath>
        <m:r>
          <m:rPr>
            <m:sty m:val="bi"/>
          </m:rPr>
          <w:rPr>
            <w:rFonts w:ascii="Cambria Math" w:hAnsi="Cambria Math"/>
          </w:rPr>
          <m:t>n</m:t>
        </m:r>
      </m:oMath>
      <w:r w:rsidR="00C8552E" w:rsidRPr="00C8552E">
        <w:t xml:space="preserve"> are the time dimension and </w:t>
      </w:r>
      <w:r w:rsidR="00C8552E">
        <w:t>the cross-section dimension respectively</w:t>
      </w:r>
      <w:r w:rsidR="000C4EE6">
        <w:t xml:space="preserve">. </w:t>
      </w:r>
      <w:r w:rsidR="004B2FFF">
        <w:t xml:space="preserve">In our case </w:t>
      </w:r>
      <m:oMath>
        <m:r>
          <m:rPr>
            <m:sty m:val="bi"/>
          </m:rPr>
          <w:rPr>
            <w:rFonts w:ascii="Cambria Math" w:hAnsi="Cambria Math"/>
          </w:rPr>
          <m:t>T</m:t>
        </m:r>
        <m:r>
          <m:rPr>
            <m:sty m:val="p"/>
          </m:rPr>
          <w:rPr>
            <w:rFonts w:ascii="Cambria Math" w:hAnsi="Cambria Math"/>
          </w:rPr>
          <m:t>=124</m:t>
        </m:r>
      </m:oMath>
      <w:r w:rsidR="004B2FFF" w:rsidRPr="00C8552E">
        <w:t xml:space="preserve"> </w:t>
      </w:r>
      <w:r w:rsidR="004B2FFF">
        <w:t xml:space="preserve">and </w:t>
      </w:r>
      <m:oMath>
        <m:r>
          <m:rPr>
            <m:sty m:val="bi"/>
          </m:rPr>
          <w:rPr>
            <w:rFonts w:ascii="Cambria Math" w:hAnsi="Cambria Math"/>
          </w:rPr>
          <m:t>n</m:t>
        </m:r>
        <m:r>
          <m:rPr>
            <m:sty m:val="p"/>
          </m:rPr>
          <w:rPr>
            <w:rFonts w:ascii="Cambria Math" w:hAnsi="Cambria Math"/>
          </w:rPr>
          <m:t>=43</m:t>
        </m:r>
      </m:oMath>
      <w:r w:rsidR="004B2FFF">
        <w:t xml:space="preserve">. </w:t>
      </w:r>
      <w:r w:rsidR="000C4EE6">
        <w:t>An important note is that the model use</w:t>
      </w:r>
      <w:r w:rsidR="00601246">
        <w:t>s</w:t>
      </w:r>
      <w:r w:rsidR="000C4EE6">
        <w:t xml:space="preserve"> l</w:t>
      </w:r>
      <w:r w:rsidR="000C4EE6" w:rsidRPr="000C4EE6">
        <w:t xml:space="preserve">east </w:t>
      </w:r>
      <w:r w:rsidR="000C4EE6">
        <w:t>a</w:t>
      </w:r>
      <w:r w:rsidR="000C4EE6" w:rsidRPr="000C4EE6">
        <w:t xml:space="preserve">bsolute </w:t>
      </w:r>
      <w:r w:rsidR="000C4EE6">
        <w:t>d</w:t>
      </w:r>
      <w:r w:rsidR="000C4EE6" w:rsidRPr="000C4EE6">
        <w:t xml:space="preserve">eviation </w:t>
      </w:r>
      <w:r w:rsidR="000C4EE6">
        <w:t xml:space="preserve">(LAD) as its </w:t>
      </w:r>
      <w:r w:rsidR="000C4EE6" w:rsidRPr="000C4EE6">
        <w:t>optimality criterion</w:t>
      </w:r>
      <w:r w:rsidR="000C4EE6">
        <w:t>.</w:t>
      </w:r>
    </w:p>
    <w:p w14:paraId="1C392871" w14:textId="42DBD5E3" w:rsidR="00646075" w:rsidRDefault="00646075" w:rsidP="00B719CA">
      <w:pPr>
        <w:pStyle w:val="SectionHeading"/>
        <w:numPr>
          <w:ilvl w:val="1"/>
          <w:numId w:val="8"/>
        </w:numPr>
      </w:pPr>
      <w:r>
        <w:t>Financial conditions index</w:t>
      </w:r>
    </w:p>
    <w:p w14:paraId="06A9423B" w14:textId="442D6445" w:rsidR="00646075" w:rsidRPr="00402976" w:rsidRDefault="009566AF" w:rsidP="001C32C5">
      <w:pPr>
        <w:ind w:firstLine="284"/>
      </w:pPr>
      <w:r w:rsidRPr="00402976">
        <w:t>To estimate the FCI we will use a f</w:t>
      </w:r>
      <w:r w:rsidRPr="009566AF">
        <w:t>actor augmented VAR with structural instabilities</w:t>
      </w:r>
      <w:r w:rsidRPr="00402976">
        <w:t xml:space="preserve"> and </w:t>
      </w:r>
      <w:r w:rsidRPr="009566AF">
        <w:t>time-varying coefficients</w:t>
      </w:r>
      <w:r w:rsidR="0000625C" w:rsidRPr="00402976">
        <w:t xml:space="preserve"> (</w:t>
      </w:r>
      <w:r w:rsidR="0000625C" w:rsidRPr="0000625C">
        <w:t>TVP-FAVAR</w:t>
      </w:r>
      <w:r w:rsidR="0000625C" w:rsidRPr="00402976">
        <w:t xml:space="preserve">). The p-lag </w:t>
      </w:r>
      <w:r w:rsidR="0000625C" w:rsidRPr="0000625C">
        <w:t xml:space="preserve">TVP-FAVAR </w:t>
      </w:r>
      <w:sdt>
        <w:sdtPr>
          <w:id w:val="-1748724668"/>
          <w:citation/>
        </w:sdtPr>
        <w:sdtContent>
          <w:r w:rsidR="00E67522">
            <w:fldChar w:fldCharType="begin"/>
          </w:r>
          <w:r w:rsidR="00E67522">
            <w:instrText xml:space="preserve"> CITATION Koo14 \l 1033 </w:instrText>
          </w:r>
          <w:r w:rsidR="00E67522">
            <w:fldChar w:fldCharType="separate"/>
          </w:r>
          <w:r w:rsidR="00790F65">
            <w:rPr>
              <w:noProof/>
            </w:rPr>
            <w:t>(Koop &amp; Korobilis, 2014)</w:t>
          </w:r>
          <w:r w:rsidR="00E67522">
            <w:fldChar w:fldCharType="end"/>
          </w:r>
        </w:sdtContent>
      </w:sdt>
      <w:r w:rsidR="00E67522">
        <w:t xml:space="preserve"> </w:t>
      </w:r>
      <w:r w:rsidR="0000625C" w:rsidRPr="00402976">
        <w:t>state space model takes the form:</w:t>
      </w:r>
    </w:p>
    <w:p w14:paraId="6419D2A1" w14:textId="0DEBB54C" w:rsidR="0000625C" w:rsidRPr="00106E5C" w:rsidRDefault="00000000" w:rsidP="00402976">
      <m:oMathPara>
        <m:oMath>
          <m:eqArr>
            <m:eqArrPr>
              <m:maxDist m:val="1"/>
              <m:ctrlPr>
                <w:rPr>
                  <w:rFonts w:ascii="Cambria Math" w:hAnsi="Cambria Math"/>
                </w:rPr>
              </m:ctrlPr>
            </m:eqArr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e>
                    </m:mr>
                    <m:mr>
                      <m:e>
                        <m:sSub>
                          <m:sSubPr>
                            <m:ctrlPr>
                              <w:rPr>
                                <w:rFonts w:ascii="Cambria Math" w:hAnsi="Cambria Math"/>
                              </w:rPr>
                            </m:ctrlPr>
                          </m:sSubPr>
                          <m:e>
                            <m:r>
                              <w:rPr>
                                <w:rFonts w:ascii="Cambria Math" w:hAnsi="Cambria Math"/>
                              </w:rPr>
                              <m:t>x</m:t>
                            </m:r>
                          </m:e>
                          <m:sub>
                            <m:r>
                              <w:rPr>
                                <w:rFonts w:ascii="Cambria Math" w:hAnsi="Cambria Math"/>
                              </w:rPr>
                              <m:t>t</m:t>
                            </m:r>
                          </m:sub>
                        </m:sSub>
                      </m:e>
                    </m:mr>
                  </m:m>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mr>
                    <m:mr>
                      <m:e>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y</m:t>
                            </m:r>
                          </m:sup>
                        </m:sSubSup>
                      </m:e>
                      <m:e>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f</m:t>
                            </m:r>
                          </m:sup>
                        </m:sSubSup>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e>
                    </m:mr>
                    <m:mr>
                      <m:e>
                        <m:sSub>
                          <m:sSubPr>
                            <m:ctrlPr>
                              <w:rPr>
                                <w:rFonts w:ascii="Cambria Math" w:hAnsi="Cambria Math"/>
                              </w:rPr>
                            </m:ctrlPr>
                          </m:sSubPr>
                          <m:e>
                            <m:r>
                              <w:rPr>
                                <w:rFonts w:ascii="Cambria Math" w:hAnsi="Cambria Math"/>
                              </w:rPr>
                              <m:t>f</m:t>
                            </m:r>
                          </m:e>
                          <m:sub>
                            <m:r>
                              <w:rPr>
                                <w:rFonts w:ascii="Cambria Math" w:hAnsi="Cambria Math"/>
                              </w:rPr>
                              <m:t>t</m:t>
                            </m:r>
                          </m:sub>
                        </m:sSub>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sSub>
                          <m:sSubPr>
                            <m:ctrlPr>
                              <w:rPr>
                                <w:rFonts w:ascii="Cambria Math" w:hAnsi="Cambria Math"/>
                              </w:rPr>
                            </m:ctrlPr>
                          </m:sSubPr>
                          <m:e>
                            <m:r>
                              <w:rPr>
                                <w:rFonts w:ascii="Cambria Math" w:hAnsi="Cambria Math"/>
                              </w:rPr>
                              <m:t>v</m:t>
                            </m:r>
                          </m:e>
                          <m:sub>
                            <m:r>
                              <w:rPr>
                                <w:rFonts w:ascii="Cambria Math" w:hAnsi="Cambria Math"/>
                              </w:rPr>
                              <m:t>t</m:t>
                            </m:r>
                          </m:sub>
                        </m:sSub>
                      </m:e>
                    </m:mr>
                  </m:m>
                </m:e>
              </m:d>
              <m:r>
                <m:rPr>
                  <m:sty m:val="p"/>
                </m:rPr>
                <w:rPr>
                  <w:rFonts w:ascii="Cambria Math" w:hAnsi="Cambria Math"/>
                </w:rPr>
                <m:t>#</m:t>
              </m:r>
              <m:d>
                <m:dPr>
                  <m:ctrlPr>
                    <w:rPr>
                      <w:rFonts w:ascii="Cambria Math" w:hAnsi="Cambria Math"/>
                    </w:rPr>
                  </m:ctrlPr>
                </m:dPr>
                <m:e>
                  <m:r>
                    <m:rPr>
                      <m:sty m:val="p"/>
                    </m:rPr>
                    <w:rPr>
                      <w:rFonts w:ascii="Cambria Math" w:hAnsi="Cambria Math"/>
                    </w:rPr>
                    <m:t>4</m:t>
                  </m:r>
                </m:e>
              </m:d>
            </m:e>
          </m:eqArr>
        </m:oMath>
      </m:oMathPara>
    </w:p>
    <w:p w14:paraId="05EB6DCE" w14:textId="44025119" w:rsidR="00402976" w:rsidRPr="00106E5C" w:rsidRDefault="00000000" w:rsidP="00402976">
      <m:oMathPara>
        <m:oMath>
          <m:eqArr>
            <m:eqArrPr>
              <m:maxDist m:val="1"/>
              <m:ctrlPr>
                <w:rPr>
                  <w:rFonts w:ascii="Cambria Math" w:hAnsi="Cambria Math"/>
                </w:rPr>
              </m:ctrlPr>
            </m:eqArr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e>
                    </m:mr>
                    <m:mr>
                      <m:e>
                        <m:sSub>
                          <m:sSubPr>
                            <m:ctrlPr>
                              <w:rPr>
                                <w:rFonts w:ascii="Cambria Math" w:hAnsi="Cambria Math"/>
                              </w:rPr>
                            </m:ctrlPr>
                          </m:sSubPr>
                          <m:e>
                            <m:r>
                              <w:rPr>
                                <w:rFonts w:ascii="Cambria Math" w:hAnsi="Cambria Math"/>
                              </w:rPr>
                              <m:t>f</m:t>
                            </m:r>
                          </m:e>
                          <m:sub>
                            <m:r>
                              <w:rPr>
                                <w:rFonts w:ascii="Cambria Math" w:hAnsi="Cambria Math"/>
                              </w:rPr>
                              <m:t>t</m:t>
                            </m:r>
                          </m:sub>
                        </m:sSub>
                      </m:e>
                    </m:mr>
                  </m:m>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e>
                    </m:mr>
                    <m:m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-1</m:t>
                            </m:r>
                          </m:sub>
                        </m:sSub>
                      </m:e>
                    </m:mr>
                  </m:m>
                </m:e>
              </m:d>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m:t>
                  </m:r>
                  <m:r>
                    <w:rPr>
                      <w:rFonts w:ascii="Cambria Math" w:hAnsi="Cambria Math"/>
                    </w:rPr>
                    <m:t>p</m:t>
                  </m:r>
                </m:sub>
              </m:sSub>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t-p</m:t>
                            </m:r>
                          </m:sub>
                        </m:sSub>
                      </m:e>
                    </m:mr>
                    <m:m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p</m:t>
                            </m:r>
                          </m:sub>
                        </m:sSub>
                      </m:e>
                    </m:mr>
                  </m:m>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5</m:t>
                  </m:r>
                </m:e>
              </m:d>
            </m:e>
          </m:eqArr>
        </m:oMath>
      </m:oMathPara>
    </w:p>
    <w:p w14:paraId="27EDF7D6" w14:textId="08CD988D" w:rsidR="00106E5C" w:rsidRDefault="00000000" w:rsidP="00402976">
      <w:pPr>
        <w:rPr>
          <w:i/>
          <w:iCs/>
        </w:rPr>
      </w:pPr>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λ</m:t>
                </m:r>
              </m:e>
              <m:sub>
                <m:r>
                  <w:rPr>
                    <w:rFonts w:ascii="Cambria Math" w:hAnsi="Cambria Math"/>
                  </w:rPr>
                  <m:t>t-1</m:t>
                </m:r>
              </m:sub>
            </m:sSub>
            <m:r>
              <w:rPr>
                <w:rFonts w:ascii="Cambria Math" w:hAnsi="Cambria Math"/>
              </w:rPr>
              <m:t>+</m:t>
            </m:r>
            <m:sSub>
              <m:sSubPr>
                <m:ctrlPr>
                  <w:rPr>
                    <w:rFonts w:ascii="Cambria Math" w:hAnsi="Cambria Math"/>
                    <w:i/>
                    <w:iCs/>
                  </w:rPr>
                </m:ctrlPr>
              </m:sSubPr>
              <m:e>
                <m:r>
                  <w:rPr>
                    <w:rFonts w:ascii="Cambria Math" w:hAnsi="Cambria Math"/>
                  </w:rPr>
                  <m:t>θ</m:t>
                </m:r>
              </m:e>
              <m:sub>
                <m:r>
                  <w:rPr>
                    <w:rFonts w:ascii="Cambria Math" w:hAnsi="Cambria Math"/>
                  </w:rPr>
                  <m:t>t</m:t>
                </m:r>
              </m:sub>
            </m:sSub>
            <m:r>
              <w:rPr>
                <w:rFonts w:ascii="Cambria Math" w:hAnsi="Cambria Math"/>
              </w:rPr>
              <m:t>#</m:t>
            </m:r>
            <m:d>
              <m:dPr>
                <m:ctrlPr>
                  <w:rPr>
                    <w:rFonts w:ascii="Cambria Math" w:hAnsi="Cambria Math"/>
                    <w:i/>
                    <w:iCs/>
                  </w:rPr>
                </m:ctrlPr>
              </m:dPr>
              <m:e>
                <m:r>
                  <w:rPr>
                    <w:rFonts w:ascii="Cambria Math" w:hAnsi="Cambria Math"/>
                  </w:rPr>
                  <m:t>6</m:t>
                </m:r>
              </m:e>
            </m:d>
          </m:e>
        </m:eqArr>
      </m:oMath>
      <w:r w:rsidR="00106E5C">
        <w:rPr>
          <w:i/>
          <w:iCs/>
        </w:rPr>
        <w:t xml:space="preserve"> </w:t>
      </w:r>
    </w:p>
    <w:p w14:paraId="7D4140E9" w14:textId="5084252C" w:rsidR="00106E5C" w:rsidRDefault="00000000" w:rsidP="00106E5C">
      <w:pPr>
        <w:rPr>
          <w:i/>
          <w:iCs/>
        </w:rPr>
      </w:pPr>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t-1</m:t>
                </m:r>
              </m:sub>
            </m:sSub>
            <m: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t</m:t>
                </m:r>
              </m:sub>
            </m:sSub>
            <m:r>
              <w:rPr>
                <w:rFonts w:ascii="Cambria Math" w:hAnsi="Cambria Math"/>
              </w:rPr>
              <m:t>#</m:t>
            </m:r>
            <m:d>
              <m:dPr>
                <m:ctrlPr>
                  <w:rPr>
                    <w:rFonts w:ascii="Cambria Math" w:hAnsi="Cambria Math"/>
                    <w:i/>
                    <w:iCs/>
                  </w:rPr>
                </m:ctrlPr>
              </m:dPr>
              <m:e>
                <m:r>
                  <w:rPr>
                    <w:rFonts w:ascii="Cambria Math" w:hAnsi="Cambria Math"/>
                  </w:rPr>
                  <m:t>7</m:t>
                </m:r>
              </m:e>
            </m:d>
          </m:e>
        </m:eqArr>
      </m:oMath>
      <w:r w:rsidR="00106E5C">
        <w:rPr>
          <w:i/>
          <w:iCs/>
        </w:rPr>
        <w:t xml:space="preserve"> </w:t>
      </w:r>
    </w:p>
    <w:p w14:paraId="1B6E7408" w14:textId="6AD3D96B" w:rsidR="001C32C5" w:rsidRDefault="00402976" w:rsidP="001B2444">
      <w:pPr>
        <w:ind w:firstLine="284"/>
      </w:pPr>
      <w:r w:rsidRPr="00402976">
        <w:t>where</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402976">
        <w:t xml:space="preserve"> is </w:t>
      </w:r>
      <w:r>
        <w:t xml:space="preserve">an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×1</m:t>
        </m:r>
      </m:oMath>
      <w:r>
        <w:t xml:space="preserve"> vector of financial variables, with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=17</m:t>
        </m:r>
      </m:oMath>
      <w:r>
        <w:t xml:space="preserve">. </w:t>
      </w:r>
      <w:r w:rsidR="001B2444">
        <w:t xml:space="preserve">These include interest rate spreads, </w:t>
      </w:r>
      <w:r w:rsidR="001B2444" w:rsidRPr="001B2444">
        <w:t>mortgage</w:t>
      </w:r>
      <w:r w:rsidR="001B2444">
        <w:t xml:space="preserve"> </w:t>
      </w:r>
      <w:r w:rsidR="001B2444" w:rsidRPr="001B2444">
        <w:t>rates</w:t>
      </w:r>
      <w:r w:rsidR="001B2444">
        <w:t xml:space="preserve">, </w:t>
      </w:r>
      <w:r w:rsidR="001B2444" w:rsidRPr="001B2444">
        <w:t>government bond</w:t>
      </w:r>
      <w:r w:rsidR="001B2444">
        <w:t xml:space="preserve"> rates, the </w:t>
      </w:r>
      <w:r w:rsidR="001B2444" w:rsidRPr="001B2444">
        <w:t>level</w:t>
      </w:r>
      <w:r w:rsidR="001B2444">
        <w:t>,</w:t>
      </w:r>
      <w:r w:rsidR="001B2444" w:rsidRPr="001B2444">
        <w:t xml:space="preserve"> slope</w:t>
      </w:r>
      <w:r w:rsidR="001B2444">
        <w:t xml:space="preserve"> and</w:t>
      </w:r>
      <w:r w:rsidR="001B2444" w:rsidRPr="001B2444">
        <w:t xml:space="preserve"> curvature</w:t>
      </w:r>
      <w:r w:rsidR="001B2444">
        <w:t xml:space="preserve"> of the </w:t>
      </w:r>
      <w:r w:rsidR="001B2444" w:rsidRPr="001B2444">
        <w:t>yield curve</w:t>
      </w:r>
      <w:r w:rsidR="001B2444">
        <w:t xml:space="preserve">, the </w:t>
      </w:r>
      <w:r w:rsidR="001B2444" w:rsidRPr="001B2444">
        <w:t>return on equity</w:t>
      </w:r>
      <w:r w:rsidR="001B2444">
        <w:t xml:space="preserve"> (RoE)</w:t>
      </w:r>
      <w:r w:rsidR="001B2444" w:rsidRPr="001B2444">
        <w:t xml:space="preserve"> </w:t>
      </w:r>
      <w:r w:rsidR="001B2444">
        <w:t xml:space="preserve">of banks and so on. </w:t>
      </w:r>
      <w:r>
        <w:t xml:space="preserve">The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402976">
        <w:t xml:space="preserve"> is </w:t>
      </w:r>
      <w:r>
        <w:t xml:space="preserve">an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×1</m:t>
        </m:r>
      </m:oMath>
      <w:r>
        <w:t xml:space="preserve"> vector of </w:t>
      </w:r>
      <w:r w:rsidR="00106E5C">
        <w:t xml:space="preserve">macro variables. In our model we included the </w:t>
      </w:r>
      <w:r w:rsidR="00106E5C" w:rsidRPr="00106E5C">
        <w:t>consumer price index</w:t>
      </w:r>
      <w:r w:rsidR="00106E5C">
        <w:t xml:space="preserve"> (CPI), real GDP growth and the </w:t>
      </w:r>
      <w:r w:rsidR="00106E5C" w:rsidRPr="00106E5C">
        <w:t>monetary policy rate</w:t>
      </w:r>
      <w:r w:rsidR="00106E5C">
        <w:t xml:space="preserve">. In our design matrix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y</m:t>
            </m:r>
          </m:sup>
        </m:sSubSup>
      </m:oMath>
      <w:r w:rsidR="00106E5C" w:rsidRPr="00106E5C">
        <w:t xml:space="preserve"> is a vector of </w:t>
      </w:r>
      <w:r w:rsidR="00106E5C">
        <w:t xml:space="preserve">regression coefficients, while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f</m:t>
            </m:r>
          </m:sup>
        </m:sSubSup>
      </m:oMath>
      <w:r w:rsidR="00106E5C" w:rsidRPr="00106E5C">
        <w:t xml:space="preserve"> is a vector of </w:t>
      </w:r>
      <w:r w:rsidR="00106E5C">
        <w:t xml:space="preserve">factor loadings. In the state </w:t>
      </w:r>
      <w:r w:rsidR="00106E5C" w:rsidRPr="00106E5C">
        <w:t>equation</w:t>
      </w:r>
      <w:r w:rsidR="00106E5C">
        <w:t xml:space="preserve"> we have the latent factor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106E5C">
        <w:t xml:space="preserve"> interpreted as the FCI.</w:t>
      </w:r>
      <w:r w:rsidR="00CB280A">
        <w:t xml:space="preserve"> The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CB280A">
        <w:t xml:space="preserve"> is a vector intercepts, while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,p</m:t>
            </m:r>
          </m:sub>
        </m:sSub>
        <m:r>
          <m:rPr>
            <m:sty m:val="p"/>
          </m:rPr>
          <w:rPr>
            <w:rFonts w:ascii="Cambria Math" w:hAnsi="Cambria Math"/>
          </w:rPr>
          <m:t>)</m:t>
        </m:r>
      </m:oMath>
      <w:r w:rsidR="00CB280A">
        <w:t xml:space="preserve"> are </w:t>
      </w:r>
      <w:r w:rsidR="00CB280A" w:rsidRPr="00CB280A">
        <w:t>matrices</w:t>
      </w:r>
      <w:r w:rsidR="00CB280A">
        <w:t xml:space="preserve"> of </w:t>
      </w:r>
      <w:r w:rsidR="00CB280A" w:rsidRPr="00CB280A">
        <w:t>VAR coefficients</w:t>
      </w:r>
      <w:r w:rsidR="00CB280A">
        <w:t>.</w:t>
      </w:r>
      <w:r w:rsidR="00E67522">
        <w:t xml:space="preserve"> We use </w:t>
      </w:r>
      <m:oMath>
        <m:sSub>
          <m:sSubPr>
            <m:ctrlPr>
              <w:rPr>
                <w:rFonts w:ascii="Cambria Math" w:hAnsi="Cambria Math"/>
                <w:i/>
                <w:iCs/>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λ</m:t>
                            </m:r>
                          </m:e>
                          <m:sub>
                            <m:r>
                              <w:rPr>
                                <w:rFonts w:ascii="Cambria Math" w:hAnsi="Cambria Math"/>
                              </w:rPr>
                              <m:t>t</m:t>
                            </m:r>
                          </m:sub>
                          <m:sup>
                            <m:r>
                              <w:rPr>
                                <w:rFonts w:ascii="Cambria Math" w:hAnsi="Cambria Math"/>
                              </w:rPr>
                              <m:t>y</m:t>
                            </m:r>
                          </m:sup>
                        </m:sSubSup>
                      </m:e>
                    </m:d>
                  </m:e>
                  <m:sup>
                    <m:r>
                      <w:rPr>
                        <w:rFonts w:ascii="Cambria Math" w:hAnsi="Cambria Math"/>
                      </w:rPr>
                      <m:t>T</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λ</m:t>
                            </m:r>
                          </m:e>
                          <m:sub>
                            <m:r>
                              <w:rPr>
                                <w:rFonts w:ascii="Cambria Math" w:hAnsi="Cambria Math"/>
                              </w:rPr>
                              <m:t>t</m:t>
                            </m:r>
                          </m:sub>
                          <m:sup>
                            <m:r>
                              <w:rPr>
                                <w:rFonts w:ascii="Cambria Math" w:hAnsi="Cambria Math"/>
                              </w:rPr>
                              <m:t>f</m:t>
                            </m:r>
                          </m:sup>
                        </m:sSubSup>
                      </m:e>
                    </m:d>
                  </m:e>
                  <m:sup>
                    <m:r>
                      <w:rPr>
                        <w:rFonts w:ascii="Cambria Math" w:hAnsi="Cambria Math"/>
                      </w:rPr>
                      <m:t>T</m:t>
                    </m:r>
                  </m:sup>
                </m:sSup>
              </m:e>
            </m:d>
          </m:e>
          <m:sup>
            <m:r>
              <w:rPr>
                <w:rFonts w:ascii="Cambria Math" w:hAnsi="Cambria Math"/>
              </w:rPr>
              <m:t>T</m:t>
            </m:r>
          </m:sup>
        </m:sSup>
      </m:oMath>
      <w:r w:rsidR="00E67522">
        <w:rPr>
          <w:iCs/>
        </w:rPr>
        <w:t xml:space="preserve">and </w:t>
      </w:r>
      <m:oMath>
        <m:sSub>
          <m:sSubPr>
            <m:ctrlPr>
              <w:rPr>
                <w:rFonts w:ascii="Cambria Math" w:hAnsi="Cambria Math"/>
                <w:i/>
                <w:iCs/>
              </w:rPr>
            </m:ctrlPr>
          </m:sSubPr>
          <m:e>
            <m:r>
              <w:rPr>
                <w:rFonts w:ascii="Cambria Math" w:hAnsi="Cambria Math"/>
              </w:rPr>
              <m:t>β</m:t>
            </m:r>
          </m:e>
          <m:sub>
            <m:r>
              <w:rPr>
                <w:rFonts w:ascii="Cambria Math" w:hAnsi="Cambria Math"/>
              </w:rPr>
              <m:t>t</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c</m:t>
                    </m:r>
                  </m:e>
                  <m:sub>
                    <m:r>
                      <w:rPr>
                        <w:rFonts w:ascii="Cambria Math" w:hAnsi="Cambria Math"/>
                      </w:rPr>
                      <m:t>t</m:t>
                    </m:r>
                  </m:sub>
                  <m:sup>
                    <m:r>
                      <w:rPr>
                        <w:rFonts w:ascii="Cambria Math" w:hAnsi="Cambria Math"/>
                      </w:rPr>
                      <m:t>T</m:t>
                    </m:r>
                  </m:sup>
                </m:sSubSup>
                <m:r>
                  <w:rPr>
                    <w:rFonts w:ascii="Cambria Math" w:hAnsi="Cambria Math"/>
                  </w:rPr>
                  <m:t>,vec</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e>
                    </m:d>
                  </m:e>
                  <m:sup>
                    <m:r>
                      <w:rPr>
                        <w:rFonts w:ascii="Cambria Math" w:hAnsi="Cambria Math"/>
                      </w:rPr>
                      <m:t>T</m:t>
                    </m:r>
                  </m:sup>
                </m:sSup>
                <m:r>
                  <w:rPr>
                    <w:rFonts w:ascii="Cambria Math" w:hAnsi="Cambria Math"/>
                  </w:rPr>
                  <m:t>…ec</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,p</m:t>
                            </m:r>
                          </m:sub>
                        </m:sSub>
                      </m:e>
                    </m:d>
                  </m:e>
                  <m:sup>
                    <m:r>
                      <w:rPr>
                        <w:rFonts w:ascii="Cambria Math" w:hAnsi="Cambria Math"/>
                      </w:rPr>
                      <m:t>T</m:t>
                    </m:r>
                  </m:sup>
                </m:sSup>
              </m:e>
            </m:d>
          </m:e>
          <m:sup>
            <m:r>
              <w:rPr>
                <w:rFonts w:ascii="Cambria Math" w:hAnsi="Cambria Math"/>
              </w:rPr>
              <m:t>T</m:t>
            </m:r>
          </m:sup>
        </m:sSup>
      </m:oMath>
      <w:r w:rsidR="00E67522">
        <w:rPr>
          <w:iCs/>
        </w:rPr>
        <w:t xml:space="preserve"> to track the </w:t>
      </w:r>
      <w:r w:rsidR="00E67522" w:rsidRPr="009566AF">
        <w:t>time-varying</w:t>
      </w:r>
      <w:r w:rsidR="00E67522">
        <w:rPr>
          <w:iCs/>
        </w:rPr>
        <w:t xml:space="preserve"> </w:t>
      </w:r>
      <w:r w:rsidR="00E67522" w:rsidRPr="00E67522">
        <w:rPr>
          <w:iCs/>
        </w:rPr>
        <w:t>properties</w:t>
      </w:r>
      <w:r w:rsidR="00E67522">
        <w:rPr>
          <w:iCs/>
        </w:rPr>
        <w:t xml:space="preserve"> of the </w:t>
      </w:r>
      <w:r w:rsidR="00E67522" w:rsidRPr="00E67522">
        <w:rPr>
          <w:iCs/>
        </w:rPr>
        <w:t>parameters</w:t>
      </w:r>
      <w:r w:rsidR="00E67522">
        <w:rPr>
          <w:iCs/>
        </w:rPr>
        <w:t>.</w:t>
      </w:r>
      <w:r w:rsidR="00E67522">
        <w:t xml:space="preserve"> Finally, the error terms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CB280A">
        <w:t>,</w:t>
      </w:r>
      <w:r w:rsidR="00CB280A" w:rsidRPr="00CB280A">
        <w:t xml:space="preserve"> </w:t>
      </w:r>
      <m:oMath>
        <m:sSub>
          <m:sSubPr>
            <m:ctrlPr>
              <w:rPr>
                <w:rFonts w:ascii="Cambria Math" w:hAnsi="Cambria Math"/>
              </w:rPr>
            </m:ctrlPr>
          </m:sSubPr>
          <m:e>
            <m:r>
              <w:rPr>
                <w:rFonts w:ascii="Cambria Math" w:hAnsi="Cambria Math"/>
              </w:rPr>
              <m:t>ϵ</m:t>
            </m:r>
          </m:e>
          <m:sub>
            <m:r>
              <w:rPr>
                <w:rFonts w:ascii="Cambria Math" w:hAnsi="Cambria Math"/>
              </w:rPr>
              <m:t>t</m:t>
            </m:r>
          </m:sub>
        </m:sSub>
      </m:oMath>
      <w:r w:rsidR="00CB280A" w:rsidRPr="00CB280A">
        <w:t xml:space="preserve">, </w:t>
      </w:r>
      <m:oMath>
        <m:sSub>
          <m:sSubPr>
            <m:ctrlPr>
              <w:rPr>
                <w:rFonts w:ascii="Cambria Math" w:hAnsi="Cambria Math"/>
              </w:rPr>
            </m:ctrlPr>
          </m:sSubPr>
          <m:e>
            <m:r>
              <w:rPr>
                <w:rFonts w:ascii="Cambria Math" w:hAnsi="Cambria Math"/>
              </w:rPr>
              <m:t>θ</m:t>
            </m:r>
          </m:e>
          <m:sub>
            <m:r>
              <w:rPr>
                <w:rFonts w:ascii="Cambria Math" w:hAnsi="Cambria Math"/>
              </w:rPr>
              <m:t>t</m:t>
            </m:r>
          </m:sub>
        </m:sSub>
      </m:oMath>
      <w:r w:rsidR="00CB280A" w:rsidRPr="00CB280A">
        <w:t xml:space="preserve"> and </w:t>
      </w:r>
      <m:oMath>
        <m:sSub>
          <m:sSubPr>
            <m:ctrlPr>
              <w:rPr>
                <w:rFonts w:ascii="Cambria Math" w:hAnsi="Cambria Math"/>
                <w:i/>
                <w:iCs/>
              </w:rPr>
            </m:ctrlPr>
          </m:sSubPr>
          <m:e>
            <m:r>
              <w:rPr>
                <w:rFonts w:ascii="Cambria Math" w:hAnsi="Cambria Math"/>
              </w:rPr>
              <m:t>η</m:t>
            </m:r>
          </m:e>
          <m:sub>
            <m:r>
              <w:rPr>
                <w:rFonts w:ascii="Cambria Math" w:hAnsi="Cambria Math"/>
              </w:rPr>
              <m:t>t</m:t>
            </m:r>
          </m:sub>
        </m:sSub>
      </m:oMath>
      <w:r w:rsidR="00CB280A">
        <w:rPr>
          <w:iCs/>
        </w:rPr>
        <w:t xml:space="preserve"> are </w:t>
      </w:r>
      <w:r w:rsidR="00CB280A">
        <w:t xml:space="preserve">zero-mean gaussian disturbances. Their covariances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CB280A">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CB280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CB280A">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CB280A">
        <w:t xml:space="preserve"> may also change over time.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CB280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CB280A">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CB280A">
        <w:t xml:space="preserve"> </w:t>
      </w:r>
      <w:r w:rsidR="00E67522">
        <w:t>are diagonal, thus the disturbance terms are uncorrelated with each other.</w:t>
      </w:r>
    </w:p>
    <w:p w14:paraId="11E4CDCE" w14:textId="3CF0FBD5" w:rsidR="001C32C5" w:rsidRDefault="001C32C5" w:rsidP="001C32C5">
      <w:pPr>
        <w:ind w:firstLine="284"/>
      </w:pPr>
      <w:r>
        <w:t xml:space="preserve">To estimate the model a 3-step algorithm is used. First, we initialize the parameters, and estimate the </w:t>
      </w:r>
      <w:r w:rsidRPr="001C32C5">
        <w:t>principal component analysis</w:t>
      </w:r>
      <w:r>
        <w:t xml:space="preserve"> (PCA) based </w:t>
      </w:r>
      <m:oMath>
        <m:sSubSup>
          <m:sSubSupPr>
            <m:ctrlPr>
              <w:rPr>
                <w:rFonts w:ascii="Cambria Math" w:hAnsi="Cambria Math"/>
                <w:i/>
              </w:rPr>
            </m:ctrlPr>
          </m:sSubSupPr>
          <m:e>
            <m:r>
              <w:rPr>
                <w:rFonts w:ascii="Cambria Math" w:hAnsi="Cambria Math"/>
              </w:rPr>
              <m:t>f</m:t>
            </m:r>
            <m:ctrlPr>
              <w:rPr>
                <w:rFonts w:ascii="Cambria Math" w:hAnsi="Cambria Math"/>
                <w:i/>
                <w:iCs/>
              </w:rPr>
            </m:ctrlPr>
          </m:e>
          <m:sub>
            <m:r>
              <w:rPr>
                <w:rFonts w:ascii="Cambria Math" w:hAnsi="Cambria Math"/>
              </w:rPr>
              <m:t>t</m:t>
            </m:r>
            <m:ctrlPr>
              <w:rPr>
                <w:rFonts w:ascii="Cambria Math" w:hAnsi="Cambria Math"/>
                <w:i/>
                <w:iCs/>
              </w:rPr>
            </m:ctrlPr>
          </m:sub>
          <m:sup>
            <m:r>
              <w:rPr>
                <w:rFonts w:ascii="Cambria Math" w:hAnsi="Cambria Math"/>
              </w:rPr>
              <m:t>*</m:t>
            </m:r>
          </m:sup>
        </m:sSubSup>
      </m:oMath>
      <w:r>
        <w:t xml:space="preserve">. Next, we use this </w:t>
      </w:r>
      <m:oMath>
        <m:sSubSup>
          <m:sSubSupPr>
            <m:ctrlPr>
              <w:rPr>
                <w:rFonts w:ascii="Cambria Math" w:hAnsi="Cambria Math"/>
                <w:i/>
              </w:rPr>
            </m:ctrlPr>
          </m:sSubSupPr>
          <m:e>
            <m:r>
              <w:rPr>
                <w:rFonts w:ascii="Cambria Math" w:hAnsi="Cambria Math"/>
              </w:rPr>
              <m:t>f</m:t>
            </m:r>
            <m:ctrlPr>
              <w:rPr>
                <w:rFonts w:ascii="Cambria Math" w:hAnsi="Cambria Math"/>
                <w:i/>
                <w:iCs/>
              </w:rPr>
            </m:ctrlPr>
          </m:e>
          <m:sub>
            <m:r>
              <w:rPr>
                <w:rFonts w:ascii="Cambria Math" w:hAnsi="Cambria Math"/>
              </w:rPr>
              <m:t>t</m:t>
            </m:r>
            <m:ctrlPr>
              <w:rPr>
                <w:rFonts w:ascii="Cambria Math" w:hAnsi="Cambria Math"/>
                <w:i/>
                <w:iCs/>
              </w:rPr>
            </m:ctrlPr>
          </m:sub>
          <m:sup>
            <m:r>
              <w:rPr>
                <w:rFonts w:ascii="Cambria Math" w:hAnsi="Cambria Math"/>
              </w:rPr>
              <m:t>*</m:t>
            </m:r>
          </m:sup>
        </m:sSubSup>
      </m:oMath>
      <w:r>
        <w:t xml:space="preserve"> to obtain our </w:t>
      </w:r>
      <w:r w:rsidRPr="009566AF">
        <w:t>time-varying</w:t>
      </w:r>
      <w:r>
        <w:t xml:space="preserve"> </w:t>
      </w:r>
      <w:r w:rsidRPr="00E67522">
        <w:rPr>
          <w:iCs/>
        </w:rPr>
        <w:t>parameters</w:t>
      </w:r>
      <w:r>
        <w:rPr>
          <w:iCs/>
        </w:rPr>
        <w:t xml:space="preserve">. We then use </w:t>
      </w:r>
      <w:r w:rsidR="00601246">
        <w:rPr>
          <w:iCs/>
        </w:rPr>
        <w:t>the “</w:t>
      </w:r>
      <w:r>
        <w:t>Variance Discounting</w:t>
      </w:r>
      <w:r w:rsidR="00601246">
        <w:t>”</w:t>
      </w:r>
      <w:r w:rsidR="00251F75">
        <w:t xml:space="preserve"> (VD)</w:t>
      </w:r>
      <w:r>
        <w:t xml:space="preserve"> </w:t>
      </w:r>
      <w:r w:rsidR="00251F75">
        <w:t xml:space="preserve">method proposed by the authors </w:t>
      </w:r>
      <w:sdt>
        <w:sdtPr>
          <w:id w:val="-1159526145"/>
          <w:citation/>
        </w:sdtPr>
        <w:sdtContent>
          <w:r w:rsidR="00251F75">
            <w:fldChar w:fldCharType="begin"/>
          </w:r>
          <w:r w:rsidR="00251F75">
            <w:instrText xml:space="preserve"> CITATION Koo14 \l 1033 </w:instrText>
          </w:r>
          <w:r w:rsidR="00251F75">
            <w:fldChar w:fldCharType="separate"/>
          </w:r>
          <w:r w:rsidR="00790F65">
            <w:rPr>
              <w:noProof/>
            </w:rPr>
            <w:t>(Koop &amp; Korobilis, 2014)</w:t>
          </w:r>
          <w:r w:rsidR="00251F75">
            <w:fldChar w:fldCharType="end"/>
          </w:r>
        </w:sdtContent>
      </w:sdt>
      <w:r>
        <w:t xml:space="preserve"> to estimate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Using these disturbances, we can then estimate the actual </w:t>
      </w:r>
      <m:oMath>
        <m:sSub>
          <m:sSubPr>
            <m:ctrlPr>
              <w:rPr>
                <w:rFonts w:ascii="Cambria Math" w:hAnsi="Cambria Math"/>
                <w:i/>
                <w:iCs/>
              </w:rPr>
            </m:ctrlPr>
          </m:sSubPr>
          <m:e>
            <m:r>
              <w:rPr>
                <w:rFonts w:ascii="Cambria Math" w:hAnsi="Cambria Math"/>
              </w:rPr>
              <m:t>λ</m:t>
            </m:r>
          </m:e>
          <m:sub>
            <m:r>
              <w:rPr>
                <w:rFonts w:ascii="Cambria Math" w:hAnsi="Cambria Math"/>
              </w:rPr>
              <m:t>t</m:t>
            </m:r>
          </m:sub>
        </m:sSub>
      </m:oMath>
      <w:r>
        <w:rPr>
          <w:iCs/>
        </w:rPr>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t</m:t>
            </m:r>
          </m:sub>
        </m:sSub>
      </m:oMath>
      <w:r>
        <w:rPr>
          <w:iCs/>
        </w:rPr>
        <w:t xml:space="preserve"> using Kalman filtering and smoothing (KFS). Finally, we use the </w:t>
      </w:r>
      <w:r w:rsidRPr="009566AF">
        <w:t>time-varying</w:t>
      </w:r>
      <w:r>
        <w:rPr>
          <w:iCs/>
        </w:rPr>
        <w:t xml:space="preserve"> </w:t>
      </w:r>
      <w:r w:rsidRPr="00CB280A">
        <w:t>coefficients</w:t>
      </w:r>
      <w:r>
        <w:t xml:space="preserve"> to generate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t xml:space="preserve"> using KFS.</w:t>
      </w:r>
    </w:p>
    <w:p w14:paraId="719337AD" w14:textId="1890A8B9" w:rsidR="00532EB5" w:rsidRDefault="00532EB5" w:rsidP="00B719CA">
      <w:pPr>
        <w:pStyle w:val="SectionHeading"/>
        <w:numPr>
          <w:ilvl w:val="1"/>
          <w:numId w:val="8"/>
        </w:numPr>
      </w:pPr>
      <w:r w:rsidRPr="00532EB5">
        <w:t>Financial cycle index</w:t>
      </w:r>
    </w:p>
    <w:p w14:paraId="3067C570" w14:textId="72BA3AC2" w:rsidR="001B2444" w:rsidRDefault="009D0768" w:rsidP="001B2444">
      <w:pPr>
        <w:ind w:firstLine="284"/>
      </w:pPr>
      <w:r>
        <w:t xml:space="preserve">The financial cycle index is an aggregate of different variables related to loan loss. These include credit-to-GDP gap, private and corporate loan flows, real estate prices, and so on. Formally, </w:t>
      </w:r>
      <w:sdt>
        <w:sdtPr>
          <w:id w:val="587652401"/>
          <w:citation/>
        </w:sdtPr>
        <w:sdtContent>
          <w:r w:rsidR="001B2444">
            <w:fldChar w:fldCharType="begin"/>
          </w:r>
          <w:r w:rsidR="001B2444">
            <w:instrText xml:space="preserve"> CITATION Hol12 \l 1033 </w:instrText>
          </w:r>
          <w:r w:rsidR="001B2444">
            <w:fldChar w:fldCharType="separate"/>
          </w:r>
          <w:r w:rsidR="00790F65">
            <w:rPr>
              <w:noProof/>
            </w:rPr>
            <w:t>(Holló, Kremer, &amp; Lo Duca, 2012)</w:t>
          </w:r>
          <w:r w:rsidR="001B2444">
            <w:fldChar w:fldCharType="end"/>
          </w:r>
        </w:sdtContent>
      </w:sdt>
      <w:r w:rsidR="001B2444">
        <w:t xml:space="preserve"> the aggregation can be expressed as:</w:t>
      </w:r>
    </w:p>
    <w:p w14:paraId="13277AE9" w14:textId="46AE9C14" w:rsidR="001B2444" w:rsidRPr="001B2444" w:rsidRDefault="00000000" w:rsidP="001B2444">
      <w:pPr>
        <w:ind w:firstLine="284"/>
      </w:pPr>
      <m:oMathPara>
        <m:oMath>
          <m:eqArr>
            <m:eqArrPr>
              <m:maxDist m:val="1"/>
              <m:ctrlPr>
                <w:rPr>
                  <w:rFonts w:ascii="Cambria Math" w:hAnsi="Cambria Math"/>
                </w:rPr>
              </m:ctrlPr>
            </m:eqArrPr>
            <m:e>
              <m:r>
                <w:rPr>
                  <w:rFonts w:ascii="Cambria Math" w:hAnsi="Cambria Math"/>
                </w:rPr>
                <m:t>FCy</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e>
                <m:sup>
                  <m:r>
                    <w:rPr>
                      <w:rFonts w:ascii="Cambria Math" w:hAnsi="Cambria Math"/>
                    </w:rPr>
                    <m:t>T</m:t>
                  </m:r>
                </m:sup>
              </m:sSup>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8</m:t>
                  </m:r>
                </m:e>
              </m:d>
            </m:e>
          </m:eqArr>
        </m:oMath>
      </m:oMathPara>
    </w:p>
    <w:p w14:paraId="55F289DD" w14:textId="5D060DE2" w:rsidR="009519F4" w:rsidRPr="00CB280A" w:rsidRDefault="009519F4" w:rsidP="009519F4">
      <w:pPr>
        <w:ind w:firstLine="284"/>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the vector of </w:t>
      </w:r>
      <w:r w:rsidRPr="009519F4">
        <w:t>exogenous</w:t>
      </w:r>
      <w:r>
        <w:t xml:space="preserve"> indicators at time t and w is a vector showing the relative importance of the values in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The expression </w:t>
      </w:r>
      <m:oMath>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w:r>
        <w:t xml:space="preserve"> is the Hadamard-product between the vectors (</w:t>
      </w:r>
      <w:r w:rsidRPr="009519F4">
        <w:t>element-wise multiplication</w:t>
      </w:r>
      <w:r>
        <w:t xml:space="preserve">). </w:t>
      </w:r>
      <w:r>
        <w:lastRenderedPageBreak/>
        <w:t xml:space="preserve">The matrix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contains values of the cross-correlation coefficients for the indicators at time t. The matrix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is estimated recursively using an exponentially weighted moving average (EWMA) process</w:t>
      </w:r>
      <w:r w:rsidR="00E27D1E">
        <w:t xml:space="preserve">, </w:t>
      </w:r>
      <w:r w:rsidR="00E27D1E" w:rsidRPr="00E27D1E">
        <w:t>utilizing</w:t>
      </w:r>
      <w:r w:rsidR="00E27D1E">
        <w:t xml:space="preserve"> the previous variance and covariance values as a base. Finally, the relative weights </w:t>
      </w:r>
      <m:oMath>
        <m:r>
          <w:rPr>
            <w:rFonts w:ascii="Cambria Math" w:hAnsi="Cambria Math"/>
          </w:rPr>
          <m:t>w</m:t>
        </m:r>
      </m:oMath>
      <w:r w:rsidR="00E27D1E">
        <w:t xml:space="preserve"> are determined by running a constrained optimization to find the </w:t>
      </w:r>
      <m:oMath>
        <m:r>
          <w:rPr>
            <w:rFonts w:ascii="Cambria Math" w:hAnsi="Cambria Math"/>
          </w:rPr>
          <m:t>FCy</m:t>
        </m:r>
        <m:sSub>
          <m:sSubPr>
            <m:ctrlPr>
              <w:rPr>
                <w:rFonts w:ascii="Cambria Math" w:hAnsi="Cambria Math"/>
              </w:rPr>
            </m:ctrlPr>
          </m:sSubPr>
          <m:e>
            <m:r>
              <w:rPr>
                <w:rFonts w:ascii="Cambria Math" w:hAnsi="Cambria Math"/>
              </w:rPr>
              <m:t>I</m:t>
            </m:r>
          </m:e>
          <m:sub>
            <m:r>
              <w:rPr>
                <w:rFonts w:ascii="Cambria Math" w:hAnsi="Cambria Math"/>
              </w:rPr>
              <m:t>t</m:t>
            </m:r>
          </m:sub>
        </m:sSub>
      </m:oMath>
      <w:r w:rsidR="00E27D1E">
        <w:t xml:space="preserve"> that provides the best predictions for future loan loss impairments</w:t>
      </w:r>
      <w:r w:rsidR="008C185F">
        <w:t xml:space="preserve"> </w:t>
      </w:r>
      <w:sdt>
        <w:sdtPr>
          <w:id w:val="1518737589"/>
          <w:citation/>
        </w:sdtPr>
        <w:sdtContent>
          <w:r w:rsidR="008C185F">
            <w:fldChar w:fldCharType="begin"/>
          </w:r>
          <w:r w:rsidR="008C185F">
            <w:instrText xml:space="preserve"> CITATION Pla14 \l 1033 </w:instrText>
          </w:r>
          <w:r w:rsidR="008C185F">
            <w:fldChar w:fldCharType="separate"/>
          </w:r>
          <w:r w:rsidR="00790F65">
            <w:rPr>
              <w:noProof/>
            </w:rPr>
            <w:t>(Plašil, Seidler, Hlaváč, &amp; Konečný, 2014)</w:t>
          </w:r>
          <w:r w:rsidR="008C185F">
            <w:fldChar w:fldCharType="end"/>
          </w:r>
        </w:sdtContent>
      </w:sdt>
      <w:r w:rsidR="00E27D1E">
        <w:t>.</w:t>
      </w:r>
    </w:p>
    <w:p w14:paraId="4808FF5B" w14:textId="0BA54276" w:rsidR="00646075" w:rsidRDefault="001E35CC" w:rsidP="00B719CA">
      <w:pPr>
        <w:pStyle w:val="SectionHeading"/>
        <w:numPr>
          <w:ilvl w:val="1"/>
          <w:numId w:val="8"/>
        </w:numPr>
      </w:pPr>
      <w:r>
        <w:t>Q</w:t>
      </w:r>
      <w:r w:rsidR="00646075">
        <w:t>uantile regression for Armenia</w:t>
      </w:r>
    </w:p>
    <w:p w14:paraId="2938FAFB" w14:textId="3BEB4196" w:rsidR="00646075" w:rsidRDefault="006C28DF" w:rsidP="00D20F22">
      <w:pPr>
        <w:ind w:firstLine="284"/>
      </w:pPr>
      <w:r>
        <w:t>The baseline quantile regression model for the Armenian economic takes the form:</w:t>
      </w:r>
    </w:p>
    <w:p w14:paraId="0954D15D" w14:textId="750AFE5F" w:rsidR="0012152B" w:rsidRPr="0012152B" w:rsidRDefault="00000000" w:rsidP="006C28DF">
      <m:oMathPara>
        <m:oMath>
          <m:sSub>
            <m:sSubPr>
              <m:ctrlPr>
                <w:rPr>
                  <w:rFonts w:ascii="Cambria Math" w:hAnsi="Cambria Math"/>
                  <w:i/>
                </w:rPr>
              </m:ctrlPr>
            </m:sSubPr>
            <m:e>
              <m:r>
                <w:rPr>
                  <w:rFonts w:ascii="Cambria Math" w:hAnsi="Cambria Math"/>
                </w:rPr>
                <m:t>y</m:t>
              </m:r>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1,τ</m:t>
              </m:r>
            </m:sub>
          </m:sSub>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2,τ</m:t>
              </m:r>
            </m:sub>
          </m:sSub>
          <m:sSub>
            <m:sSubPr>
              <m:ctrlPr>
                <w:rPr>
                  <w:rFonts w:ascii="Cambria Math" w:hAnsi="Cambria Math"/>
                  <w:i/>
                </w:rPr>
              </m:ctrlPr>
            </m:sSubPr>
            <m:e>
              <m:r>
                <w:rPr>
                  <w:rFonts w:ascii="Cambria Math" w:hAnsi="Cambria Math"/>
                </w:rPr>
                <m:t>FCyI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3,τ</m:t>
              </m:r>
            </m:sub>
          </m:sSub>
          <m:sSub>
            <m:sSubPr>
              <m:ctrlPr>
                <w:rPr>
                  <w:rFonts w:ascii="Cambria Math" w:hAnsi="Cambria Math"/>
                  <w:i/>
                </w:rPr>
              </m:ctrlPr>
            </m:sSubPr>
            <m:e>
              <m:r>
                <w:rPr>
                  <w:rFonts w:ascii="Cambria Math" w:hAnsi="Cambria Math"/>
                </w:rPr>
                <m:t>FCI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4,τ</m:t>
              </m:r>
            </m:sub>
          </m:sSub>
          <m:sSub>
            <m:sSubPr>
              <m:ctrlPr>
                <w:rPr>
                  <w:rFonts w:ascii="Cambria Math" w:hAnsi="Cambria Math"/>
                  <w:i/>
                </w:rPr>
              </m:ctrlPr>
            </m:sSubPr>
            <m:e>
              <m:r>
                <w:rPr>
                  <w:rFonts w:ascii="Cambria Math" w:hAnsi="Cambria Math"/>
                </w:rPr>
                <m:t>CI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5,τ</m:t>
              </m:r>
            </m:sub>
          </m:sSub>
          <m:sSub>
            <m:sSubPr>
              <m:ctrlPr>
                <w:rPr>
                  <w:rFonts w:ascii="Cambria Math" w:hAnsi="Cambria Math"/>
                  <w:i/>
                </w:rPr>
              </m:ctrlPr>
            </m:sSubPr>
            <m:e>
              <m:r>
                <w:rPr>
                  <w:rFonts w:ascii="Cambria Math" w:hAnsi="Cambria Math"/>
                </w:rPr>
                <m:t>MPI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6,τ</m:t>
              </m:r>
            </m:sub>
          </m:sSub>
          <m:sSub>
            <m:sSubPr>
              <m:ctrlPr>
                <w:rPr>
                  <w:rFonts w:ascii="Cambria Math" w:hAnsi="Cambria Math"/>
                  <w:i/>
                </w:rPr>
              </m:ctrlPr>
            </m:sSubPr>
            <m:e>
              <m:r>
                <w:rPr>
                  <w:rFonts w:ascii="Cambria Math" w:hAnsi="Cambria Math"/>
                </w:rPr>
                <m:t>CAR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7,τ</m:t>
              </m:r>
            </m:sub>
          </m:sSub>
          <m:sSub>
            <m:sSubPr>
              <m:ctrlPr>
                <w:rPr>
                  <w:rFonts w:ascii="Cambria Math" w:hAnsi="Cambria Math"/>
                  <w:i/>
                </w:rPr>
              </m:ctrlPr>
            </m:sSubPr>
            <m:e>
              <m:r>
                <w:rPr>
                  <w:rFonts w:ascii="Cambria Math" w:hAnsi="Cambria Math"/>
                </w:rPr>
                <m:t>LR</m:t>
              </m:r>
            </m:e>
            <m:sub>
              <m:r>
                <w:rPr>
                  <w:rFonts w:ascii="Cambria Math" w:hAnsi="Cambria Math"/>
                </w:rPr>
                <m:t>t</m:t>
              </m:r>
            </m:sub>
          </m:sSub>
          <m:r>
            <w:rPr>
              <w:rFonts w:ascii="Cambria Math" w:hAnsi="Cambria Math"/>
            </w:rPr>
            <m:t>+</m:t>
          </m:r>
          <m:r>
            <m:rPr>
              <m:sty m:val="p"/>
            </m:rPr>
            <w:rPr>
              <w:rFonts w:ascii="Cambria Math" w:hAnsi="Cambria Math"/>
            </w:rPr>
            <w:br/>
          </m:r>
        </m:oMath>
        <m:oMath>
          <m:eqArr>
            <m:eqArrPr>
              <m:maxDist m:val="1"/>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8,τ</m:t>
                  </m:r>
                </m:sub>
              </m:sSub>
              <m:sSub>
                <m:sSubPr>
                  <m:ctrlPr>
                    <w:rPr>
                      <w:rFonts w:ascii="Cambria Math" w:hAnsi="Cambria Math"/>
                      <w:i/>
                    </w:rPr>
                  </m:ctrlPr>
                </m:sSubPr>
                <m:e>
                  <m:r>
                    <w:rPr>
                      <w:rFonts w:ascii="Cambria Math" w:hAnsi="Cambria Math"/>
                    </w:rPr>
                    <m:t>CPI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9,τ</m:t>
                  </m:r>
                </m:sub>
              </m:sSub>
              <m:sSub>
                <m:sSubPr>
                  <m:ctrlPr>
                    <w:rPr>
                      <w:rFonts w:ascii="Cambria Math" w:hAnsi="Cambria Math"/>
                      <w:i/>
                    </w:rPr>
                  </m:ctrlPr>
                </m:sSubPr>
                <m:e>
                  <m:r>
                    <w:rPr>
                      <w:rFonts w:ascii="Cambria Math" w:hAnsi="Cambria Math"/>
                    </w:rPr>
                    <m:t>TB</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10,τ</m:t>
                  </m:r>
                </m:sub>
              </m:sSub>
              <m:sSub>
                <m:sSubPr>
                  <m:ctrlPr>
                    <w:rPr>
                      <w:rFonts w:ascii="Cambria Math" w:hAnsi="Cambria Math"/>
                      <w:i/>
                    </w:rPr>
                  </m:ctrlPr>
                </m:sSubPr>
                <m:e>
                  <m:r>
                    <w:rPr>
                      <w:rFonts w:ascii="Cambria Math" w:hAnsi="Cambria Math"/>
                    </w:rPr>
                    <m:t>CP</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11,τ</m:t>
                  </m:r>
                </m:sub>
              </m:sSub>
              <m:sSub>
                <m:sSubPr>
                  <m:ctrlPr>
                    <w:rPr>
                      <w:rFonts w:ascii="Cambria Math" w:hAnsi="Cambria Math"/>
                      <w:i/>
                    </w:rPr>
                  </m:ctrlPr>
                </m:sSubPr>
                <m:e>
                  <m:r>
                    <w:rPr>
                      <w:rFonts w:ascii="Cambria Math" w:hAnsi="Cambria Math"/>
                    </w:rPr>
                    <m:t>REER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12,τ</m:t>
                  </m:r>
                </m:sub>
              </m:sSub>
              <m:sSub>
                <m:sSubPr>
                  <m:ctrlPr>
                    <w:rPr>
                      <w:rFonts w:ascii="Cambria Math" w:hAnsi="Cambria Math"/>
                      <w:i/>
                    </w:rPr>
                  </m:ctrlPr>
                </m:sSubPr>
                <m:e>
                  <m:r>
                    <w:rPr>
                      <w:rFonts w:ascii="Cambria Math" w:hAnsi="Cambria Math"/>
                    </w:rPr>
                    <m:t>MF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13,τ</m:t>
                  </m:r>
                </m:sub>
              </m:sSub>
              <m:sSub>
                <m:sSubPr>
                  <m:ctrlPr>
                    <w:rPr>
                      <w:rFonts w:ascii="Cambria Math" w:hAnsi="Cambria Math"/>
                      <w:i/>
                    </w:rPr>
                  </m:ctrlPr>
                </m:sSubPr>
                <m:e>
                  <m:r>
                    <w:rPr>
                      <w:rFonts w:ascii="Cambria Math" w:hAnsi="Cambria Math"/>
                    </w:rPr>
                    <m:t>CL</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9</m:t>
                  </m:r>
                </m:e>
              </m:d>
            </m:e>
          </m:eqArr>
        </m:oMath>
      </m:oMathPara>
    </w:p>
    <w:p w14:paraId="2D1F292A" w14:textId="77777777" w:rsidR="00D20F22" w:rsidRDefault="00CE4019" w:rsidP="006C28DF">
      <w:r>
        <w:t xml:space="preserve">In this </w:t>
      </w:r>
      <w:r w:rsidRPr="00CE4019">
        <w:t>specification</w:t>
      </w:r>
      <w:r>
        <w:t xml:space="preserve"> </w:t>
      </w:r>
      <m:oMath>
        <m:sSub>
          <m:sSubPr>
            <m:ctrlPr>
              <w:rPr>
                <w:rFonts w:ascii="Cambria Math" w:hAnsi="Cambria Math"/>
                <w:i/>
              </w:rPr>
            </m:ctrlPr>
          </m:sSubPr>
          <m:e>
            <m:r>
              <w:rPr>
                <w:rFonts w:ascii="Cambria Math" w:hAnsi="Cambria Math"/>
              </w:rPr>
              <m:t>y</m:t>
            </m:r>
          </m:e>
          <m:sub>
            <m:r>
              <w:rPr>
                <w:rFonts w:ascii="Cambria Math" w:hAnsi="Cambria Math"/>
              </w:rPr>
              <m:t>t+h</m:t>
            </m:r>
          </m:sub>
        </m:sSub>
      </m:oMath>
      <w:r w:rsidR="007C0416">
        <w:t xml:space="preserve"> is the annualized average growth rate of real GDP at </w:t>
      </w:r>
      <m:oMath>
        <m:r>
          <w:rPr>
            <w:rFonts w:ascii="Cambria Math" w:hAnsi="Cambria Math"/>
          </w:rPr>
          <m:t>t+h</m:t>
        </m:r>
      </m:oMath>
      <w:r w:rsidR="007C0416">
        <w:t xml:space="preserve"> quarters ahead. The </w:t>
      </w:r>
      <m:oMath>
        <m:sSub>
          <m:sSubPr>
            <m:ctrlPr>
              <w:rPr>
                <w:rFonts w:ascii="Cambria Math" w:hAnsi="Cambria Math"/>
                <w:i/>
              </w:rPr>
            </m:ctrlPr>
          </m:sSubPr>
          <m:e>
            <m:r>
              <w:rPr>
                <w:rFonts w:ascii="Cambria Math" w:hAnsi="Cambria Math"/>
              </w:rPr>
              <m:t>α</m:t>
            </m:r>
          </m:e>
          <m:sub>
            <m:r>
              <w:rPr>
                <w:rFonts w:ascii="Cambria Math" w:hAnsi="Cambria Math"/>
              </w:rPr>
              <m:t>τ</m:t>
            </m:r>
          </m:sub>
        </m:sSub>
      </m:oMath>
      <w:r w:rsidR="007C0416">
        <w:t xml:space="preserve"> is an intercept,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7C0416">
        <w:t xml:space="preserve"> is the </w:t>
      </w:r>
      <w:r w:rsidR="007C0416" w:rsidRPr="007C0416">
        <w:t>autoregressive component</w:t>
      </w:r>
      <w:r w:rsidR="007C0416">
        <w:t xml:space="preserve">, </w:t>
      </w:r>
      <m:oMath>
        <m:sSub>
          <m:sSubPr>
            <m:ctrlPr>
              <w:rPr>
                <w:rFonts w:ascii="Cambria Math" w:hAnsi="Cambria Math"/>
                <w:i/>
              </w:rPr>
            </m:ctrlPr>
          </m:sSubPr>
          <m:e>
            <m:r>
              <w:rPr>
                <w:rFonts w:ascii="Cambria Math" w:hAnsi="Cambria Math"/>
              </w:rPr>
              <m:t>FCyI</m:t>
            </m:r>
          </m:e>
          <m:sub>
            <m:r>
              <w:rPr>
                <w:rFonts w:ascii="Cambria Math" w:hAnsi="Cambria Math"/>
              </w:rPr>
              <m:t>t</m:t>
            </m:r>
          </m:sub>
        </m:sSub>
      </m:oMath>
      <w:r w:rsidR="007C0416">
        <w:t xml:space="preserve"> </w:t>
      </w:r>
      <w:r w:rsidR="009D0768">
        <w:t xml:space="preserve">is the </w:t>
      </w:r>
      <w:r w:rsidR="009D0768" w:rsidRPr="009D0768">
        <w:t>financial cycle index</w:t>
      </w:r>
      <w:r w:rsidR="009D0768">
        <w:t xml:space="preserve">, </w:t>
      </w:r>
      <m:oMath>
        <m:sSub>
          <m:sSubPr>
            <m:ctrlPr>
              <w:rPr>
                <w:rFonts w:ascii="Cambria Math" w:hAnsi="Cambria Math"/>
                <w:i/>
              </w:rPr>
            </m:ctrlPr>
          </m:sSubPr>
          <m:e>
            <m:r>
              <w:rPr>
                <w:rFonts w:ascii="Cambria Math" w:hAnsi="Cambria Math"/>
              </w:rPr>
              <m:t>FCI</m:t>
            </m:r>
          </m:e>
          <m:sub>
            <m:r>
              <w:rPr>
                <w:rFonts w:ascii="Cambria Math" w:hAnsi="Cambria Math"/>
              </w:rPr>
              <m:t>t</m:t>
            </m:r>
          </m:sub>
        </m:sSub>
      </m:oMath>
      <w:r w:rsidR="003A12EA">
        <w:t xml:space="preserve"> is the </w:t>
      </w:r>
      <w:r w:rsidR="003A12EA" w:rsidRPr="009D0768">
        <w:t>financial</w:t>
      </w:r>
      <w:r w:rsidR="003A12EA">
        <w:t xml:space="preserve"> conditions index and </w:t>
      </w:r>
      <m:oMath>
        <m:sSub>
          <m:sSubPr>
            <m:ctrlPr>
              <w:rPr>
                <w:rFonts w:ascii="Cambria Math" w:hAnsi="Cambria Math"/>
                <w:i/>
              </w:rPr>
            </m:ctrlPr>
          </m:sSubPr>
          <m:e>
            <m:r>
              <w:rPr>
                <w:rFonts w:ascii="Cambria Math" w:hAnsi="Cambria Math"/>
              </w:rPr>
              <m:t>CI</m:t>
            </m:r>
          </m:e>
          <m:sub>
            <m:r>
              <w:rPr>
                <w:rFonts w:ascii="Cambria Math" w:hAnsi="Cambria Math"/>
              </w:rPr>
              <m:t>t</m:t>
            </m:r>
          </m:sub>
        </m:sSub>
        <m:r>
          <w:rPr>
            <w:rFonts w:ascii="Cambria Math" w:hAnsi="Cambria Math"/>
          </w:rPr>
          <m:t>=St</m:t>
        </m:r>
        <m:d>
          <m:dPr>
            <m:ctrlPr>
              <w:rPr>
                <w:rFonts w:ascii="Cambria Math" w:hAnsi="Cambria Math"/>
                <w:i/>
              </w:rPr>
            </m:ctrlPr>
          </m:dPr>
          <m:e>
            <m:sSub>
              <m:sSubPr>
                <m:ctrlPr>
                  <w:rPr>
                    <w:rFonts w:ascii="Cambria Math" w:hAnsi="Cambria Math"/>
                    <w:i/>
                  </w:rPr>
                </m:ctrlPr>
              </m:sSubPr>
              <m:e>
                <m:r>
                  <w:rPr>
                    <w:rFonts w:ascii="Cambria Math" w:hAnsi="Cambria Math"/>
                  </w:rPr>
                  <m:t>FCyI</m:t>
                </m:r>
              </m:e>
              <m:sub>
                <m:r>
                  <w:rPr>
                    <w:rFonts w:ascii="Cambria Math" w:hAnsi="Cambria Math"/>
                  </w:rPr>
                  <m:t>t</m:t>
                </m:r>
              </m:sub>
            </m:sSub>
          </m:e>
        </m:d>
        <m:r>
          <w:rPr>
            <w:rFonts w:ascii="Cambria Math" w:hAnsi="Cambria Math"/>
          </w:rPr>
          <m:t>*St(</m:t>
        </m:r>
        <m:sSub>
          <m:sSubPr>
            <m:ctrlPr>
              <w:rPr>
                <w:rFonts w:ascii="Cambria Math" w:hAnsi="Cambria Math"/>
                <w:i/>
              </w:rPr>
            </m:ctrlPr>
          </m:sSubPr>
          <m:e>
            <m:r>
              <w:rPr>
                <w:rFonts w:ascii="Cambria Math" w:hAnsi="Cambria Math"/>
              </w:rPr>
              <m:t>FCI</m:t>
            </m:r>
          </m:e>
          <m:sub>
            <m:r>
              <w:rPr>
                <w:rFonts w:ascii="Cambria Math" w:hAnsi="Cambria Math"/>
              </w:rPr>
              <m:t>t</m:t>
            </m:r>
          </m:sub>
        </m:sSub>
        <m:r>
          <w:rPr>
            <w:rFonts w:ascii="Cambria Math" w:hAnsi="Cambria Math"/>
          </w:rPr>
          <m:t>)</m:t>
        </m:r>
      </m:oMath>
      <w:r w:rsidR="003A12EA">
        <w:t xml:space="preserve"> is the “</w:t>
      </w:r>
      <w:r w:rsidR="003A12EA" w:rsidRPr="003A12EA">
        <w:t>crisis index</w:t>
      </w:r>
      <w:r w:rsidR="003A12EA">
        <w:t xml:space="preserve">,” which is the product between the </w:t>
      </w:r>
      <w:r w:rsidR="003A12EA" w:rsidRPr="003A12EA">
        <w:t>standardized</w:t>
      </w:r>
      <w:r w:rsidR="003A12EA">
        <w:t xml:space="preserve"> (</w:t>
      </w:r>
      <m:oMath>
        <m:r>
          <w:rPr>
            <w:rFonts w:ascii="Cambria Math" w:hAnsi="Cambria Math"/>
          </w:rPr>
          <m:t>N(0,1)</m:t>
        </m:r>
      </m:oMath>
      <w:r w:rsidR="003A12EA">
        <w:t xml:space="preserve">) </w:t>
      </w:r>
      <m:oMath>
        <m:sSub>
          <m:sSubPr>
            <m:ctrlPr>
              <w:rPr>
                <w:rFonts w:ascii="Cambria Math" w:hAnsi="Cambria Math"/>
                <w:i/>
              </w:rPr>
            </m:ctrlPr>
          </m:sSubPr>
          <m:e>
            <m:r>
              <w:rPr>
                <w:rFonts w:ascii="Cambria Math" w:hAnsi="Cambria Math"/>
              </w:rPr>
              <m:t>FCyI</m:t>
            </m:r>
          </m:e>
          <m:sub>
            <m:r>
              <w:rPr>
                <w:rFonts w:ascii="Cambria Math" w:hAnsi="Cambria Math"/>
              </w:rPr>
              <m:t>t</m:t>
            </m:r>
          </m:sub>
        </m:sSub>
      </m:oMath>
      <w:r w:rsidR="003A12EA">
        <w:t xml:space="preserve"> and </w:t>
      </w:r>
      <m:oMath>
        <m:sSub>
          <m:sSubPr>
            <m:ctrlPr>
              <w:rPr>
                <w:rFonts w:ascii="Cambria Math" w:hAnsi="Cambria Math"/>
                <w:i/>
              </w:rPr>
            </m:ctrlPr>
          </m:sSubPr>
          <m:e>
            <m:r>
              <w:rPr>
                <w:rFonts w:ascii="Cambria Math" w:hAnsi="Cambria Math"/>
              </w:rPr>
              <m:t>FCI</m:t>
            </m:r>
          </m:e>
          <m:sub>
            <m:r>
              <w:rPr>
                <w:rFonts w:ascii="Cambria Math" w:hAnsi="Cambria Math"/>
              </w:rPr>
              <m:t>t</m:t>
            </m:r>
          </m:sub>
        </m:sSub>
      </m:oMath>
      <w:r w:rsidR="003A12EA">
        <w:t xml:space="preserve">. </w:t>
      </w:r>
    </w:p>
    <w:p w14:paraId="76BCAA7E" w14:textId="48F654C7" w:rsidR="0012152B" w:rsidRDefault="003A12EA" w:rsidP="00D20F22">
      <w:pPr>
        <w:ind w:firstLine="284"/>
      </w:pPr>
      <w:r>
        <w:t xml:space="preserve">Next, we include the macroprudential policy index </w:t>
      </w:r>
      <m:oMath>
        <m:sSub>
          <m:sSubPr>
            <m:ctrlPr>
              <w:rPr>
                <w:rFonts w:ascii="Cambria Math" w:hAnsi="Cambria Math"/>
                <w:i/>
              </w:rPr>
            </m:ctrlPr>
          </m:sSubPr>
          <m:e>
            <m:r>
              <w:rPr>
                <w:rFonts w:ascii="Cambria Math" w:hAnsi="Cambria Math"/>
              </w:rPr>
              <m:t>MPI</m:t>
            </m:r>
          </m:e>
          <m:sub>
            <m:r>
              <w:rPr>
                <w:rFonts w:ascii="Cambria Math" w:hAnsi="Cambria Math"/>
              </w:rPr>
              <m:t>t</m:t>
            </m:r>
          </m:sub>
        </m:sSub>
      </m:oMath>
      <w:r>
        <w:t xml:space="preserve"> and </w:t>
      </w:r>
      <w:r w:rsidR="006563F6">
        <w:t xml:space="preserve">the 1-year average change in </w:t>
      </w:r>
      <w:r w:rsidRPr="003A12EA">
        <w:t>capital adequacy ratio</w:t>
      </w:r>
      <w:r>
        <w:t xml:space="preserve"> </w:t>
      </w:r>
      <m:oMath>
        <m:sSub>
          <m:sSubPr>
            <m:ctrlPr>
              <w:rPr>
                <w:rFonts w:ascii="Cambria Math" w:hAnsi="Cambria Math"/>
                <w:i/>
              </w:rPr>
            </m:ctrlPr>
          </m:sSubPr>
          <m:e>
            <m:r>
              <w:rPr>
                <w:rFonts w:ascii="Cambria Math" w:hAnsi="Cambria Math"/>
              </w:rPr>
              <m:t>CAR</m:t>
            </m:r>
          </m:e>
          <m:sub>
            <m:r>
              <w:rPr>
                <w:rFonts w:ascii="Cambria Math" w:hAnsi="Cambria Math"/>
              </w:rPr>
              <m:t>t</m:t>
            </m:r>
          </m:sub>
        </m:sSub>
      </m:oMath>
      <w:r>
        <w:t xml:space="preserve">. The MPI is computed </w:t>
      </w:r>
      <w:r w:rsidR="009C72D9">
        <w:t xml:space="preserve">(both for the local and panel models) </w:t>
      </w:r>
      <w:r>
        <w:t xml:space="preserve">using the methodology and the dataset proposed by </w:t>
      </w:r>
      <w:r w:rsidRPr="003A12EA">
        <w:t>Alam et al. (2019)</w:t>
      </w:r>
      <w:r>
        <w:t>.</w:t>
      </w:r>
      <w:r w:rsidR="009C72D9">
        <w:t xml:space="preserve"> The dataset includes 17 categories of macroprudential measures over time. Each t</w:t>
      </w:r>
      <w:r w:rsidR="009C72D9" w:rsidRPr="009C72D9">
        <w:t xml:space="preserve">ightening is </w:t>
      </w:r>
      <w:r w:rsidR="009C72D9">
        <w:t>expressed</w:t>
      </w:r>
      <w:r w:rsidR="009C72D9" w:rsidRPr="009C72D9">
        <w:t xml:space="preserve"> as +1</w:t>
      </w:r>
      <w:r w:rsidR="009C72D9">
        <w:t xml:space="preserve">, while each </w:t>
      </w:r>
      <w:r w:rsidR="009C72D9" w:rsidRPr="009C72D9">
        <w:t>loosening event</w:t>
      </w:r>
      <w:r w:rsidR="009C72D9">
        <w:t xml:space="preserve"> is represented as -1. Finally, </w:t>
      </w:r>
      <w:r w:rsidR="009C72D9" w:rsidRPr="009C72D9">
        <w:t>no or neutral action</w:t>
      </w:r>
      <w:r w:rsidR="009C72D9">
        <w:t>s</w:t>
      </w:r>
      <w:r w:rsidR="009C72D9" w:rsidRPr="009C72D9">
        <w:t xml:space="preserve"> </w:t>
      </w:r>
      <w:r w:rsidR="009C72D9">
        <w:t>are marked as</w:t>
      </w:r>
      <w:r w:rsidR="009C72D9" w:rsidRPr="009C72D9">
        <w:t xml:space="preserve"> </w:t>
      </w:r>
      <w:r w:rsidR="009C72D9">
        <w:t xml:space="preserve">0. </w:t>
      </w:r>
      <w:r w:rsidR="000F7AD3">
        <w:t xml:space="preserve">We define the sum of the 17 dummy categories at time t as </w:t>
      </w:r>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m:t>
            </m:r>
          </m:sub>
        </m:sSub>
      </m:oMath>
      <w:r w:rsidR="000F7AD3">
        <w:t xml:space="preserve">. We express the MPI as the 4-quarter rolling sum of </w:t>
      </w:r>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m:t>
            </m:r>
          </m:sub>
        </m:sSub>
      </m:oMath>
      <w:r w:rsidR="000F7AD3">
        <w:t xml:space="preserve"> like so:</w:t>
      </w:r>
    </w:p>
    <w:p w14:paraId="5120D3CC" w14:textId="7DDCA383" w:rsidR="000F7AD3" w:rsidRPr="000F7AD3" w:rsidRDefault="00000000" w:rsidP="006C28DF">
      <m:oMathPara>
        <m:oMath>
          <m:eqArr>
            <m:eqArrPr>
              <m:maxDist m:val="1"/>
              <m:ctrlPr>
                <w:rPr>
                  <w:rFonts w:ascii="Cambria Math" w:hAnsi="Cambria Math"/>
                  <w:i/>
                </w:rPr>
              </m:ctrlPr>
            </m:eqArrPr>
            <m:e>
              <m:r>
                <w:rPr>
                  <w:rFonts w:ascii="Cambria Math" w:hAnsi="Cambria Math"/>
                </w:rPr>
                <m:t>MP</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p=0</m:t>
                  </m:r>
                </m:sub>
                <m:sup>
                  <m:r>
                    <w:rPr>
                      <w:rFonts w:ascii="Cambria Math" w:hAnsi="Cambria Math"/>
                    </w:rPr>
                    <m:t>3</m:t>
                  </m:r>
                </m:sup>
                <m:e>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t-p</m:t>
                      </m:r>
                    </m:sub>
                  </m:sSub>
                </m:e>
              </m:nary>
              <m:r>
                <w:rPr>
                  <w:rFonts w:ascii="Cambria Math" w:hAnsi="Cambria Math"/>
                </w:rPr>
                <m:t>#</m:t>
              </m:r>
              <m:d>
                <m:dPr>
                  <m:ctrlPr>
                    <w:rPr>
                      <w:rFonts w:ascii="Cambria Math" w:hAnsi="Cambria Math"/>
                      <w:i/>
                    </w:rPr>
                  </m:ctrlPr>
                </m:dPr>
                <m:e>
                  <m:r>
                    <w:rPr>
                      <w:rFonts w:ascii="Cambria Math" w:hAnsi="Cambria Math"/>
                    </w:rPr>
                    <m:t>10</m:t>
                  </m:r>
                </m:e>
              </m:d>
            </m:e>
          </m:eqArr>
        </m:oMath>
      </m:oMathPara>
    </w:p>
    <w:p w14:paraId="126DE871" w14:textId="3138A562" w:rsidR="006563F6" w:rsidRDefault="000F7AD3" w:rsidP="006C28DF">
      <w:r>
        <w:t xml:space="preserve">The rest of the variables in the model are controls. These include the </w:t>
      </w:r>
      <m:oMath>
        <m:sSub>
          <m:sSubPr>
            <m:ctrlPr>
              <w:rPr>
                <w:rFonts w:ascii="Cambria Math" w:hAnsi="Cambria Math"/>
                <w:i/>
              </w:rPr>
            </m:ctrlPr>
          </m:sSubPr>
          <m:e>
            <m:r>
              <w:rPr>
                <w:rFonts w:ascii="Cambria Math" w:hAnsi="Cambria Math"/>
              </w:rPr>
              <m:t>LR</m:t>
            </m:r>
          </m:e>
          <m:sub>
            <m:r>
              <w:rPr>
                <w:rFonts w:ascii="Cambria Math" w:hAnsi="Cambria Math"/>
              </w:rPr>
              <m:t>t</m:t>
            </m:r>
          </m:sub>
        </m:sSub>
      </m:oMath>
      <w:r>
        <w:t xml:space="preserve"> </w:t>
      </w:r>
      <w:r w:rsidR="006563F6">
        <w:t>l</w:t>
      </w:r>
      <w:r w:rsidR="006563F6" w:rsidRPr="006563F6">
        <w:t>iquidity ratio</w:t>
      </w:r>
      <w:r w:rsidR="006563F6">
        <w:t xml:space="preserve"> (</w:t>
      </w:r>
      <w:r w:rsidR="006563F6" w:rsidRPr="006563F6">
        <w:rPr>
          <w:i/>
          <w:iCs/>
        </w:rPr>
        <w:t>HQLA/Assets</w:t>
      </w:r>
      <w:r w:rsidR="006563F6">
        <w:t xml:space="preserve">), </w:t>
      </w:r>
      <m:oMath>
        <m:sSub>
          <m:sSubPr>
            <m:ctrlPr>
              <w:rPr>
                <w:rFonts w:ascii="Cambria Math" w:hAnsi="Cambria Math"/>
                <w:i/>
              </w:rPr>
            </m:ctrlPr>
          </m:sSubPr>
          <m:e>
            <m:r>
              <w:rPr>
                <w:rFonts w:ascii="Cambria Math" w:hAnsi="Cambria Math"/>
              </w:rPr>
              <m:t>CPI</m:t>
            </m:r>
          </m:e>
          <m:sub>
            <m:r>
              <w:rPr>
                <w:rFonts w:ascii="Cambria Math" w:hAnsi="Cambria Math"/>
              </w:rPr>
              <m:t>t</m:t>
            </m:r>
          </m:sub>
        </m:sSub>
      </m:oMath>
      <w:r w:rsidR="006563F6">
        <w:t xml:space="preserve"> </w:t>
      </w:r>
      <w:r w:rsidR="006563F6" w:rsidRPr="006563F6">
        <w:t>1-year average change in</w:t>
      </w:r>
      <w:r w:rsidR="006563F6">
        <w:t xml:space="preserve"> </w:t>
      </w:r>
      <w:r w:rsidR="006563F6" w:rsidRPr="006563F6">
        <w:t>consumer price index</w:t>
      </w:r>
      <w:r w:rsidR="006563F6">
        <w:t xml:space="preserve">, </w:t>
      </w:r>
      <m:oMath>
        <m:sSub>
          <m:sSubPr>
            <m:ctrlPr>
              <w:rPr>
                <w:rFonts w:ascii="Cambria Math" w:hAnsi="Cambria Math"/>
                <w:i/>
              </w:rPr>
            </m:ctrlPr>
          </m:sSubPr>
          <m:e>
            <m:r>
              <w:rPr>
                <w:rFonts w:ascii="Cambria Math" w:hAnsi="Cambria Math"/>
              </w:rPr>
              <m:t>TB</m:t>
            </m:r>
          </m:e>
          <m:sub>
            <m:r>
              <w:rPr>
                <w:rFonts w:ascii="Cambria Math" w:hAnsi="Cambria Math"/>
              </w:rPr>
              <m:t>t</m:t>
            </m:r>
          </m:sub>
        </m:sSub>
      </m:oMath>
      <w:r w:rsidR="006563F6">
        <w:t xml:space="preserve"> t</w:t>
      </w:r>
      <w:r w:rsidR="006563F6" w:rsidRPr="006563F6">
        <w:t>rade balance</w:t>
      </w:r>
      <w:r w:rsidR="006563F6">
        <w:t xml:space="preserve">, </w:t>
      </w:r>
      <m:oMath>
        <m:sSub>
          <m:sSubPr>
            <m:ctrlPr>
              <w:rPr>
                <w:rFonts w:ascii="Cambria Math" w:hAnsi="Cambria Math"/>
                <w:i/>
              </w:rPr>
            </m:ctrlPr>
          </m:sSubPr>
          <m:e>
            <m:r>
              <w:rPr>
                <w:rFonts w:ascii="Cambria Math" w:hAnsi="Cambria Math"/>
              </w:rPr>
              <m:t>CP</m:t>
            </m:r>
          </m:e>
          <m:sub>
            <m:r>
              <w:rPr>
                <w:rFonts w:ascii="Cambria Math" w:hAnsi="Cambria Math"/>
              </w:rPr>
              <m:t>t-1</m:t>
            </m:r>
          </m:sub>
        </m:sSub>
      </m:oMath>
      <w:r w:rsidR="006563F6">
        <w:t xml:space="preserve"> </w:t>
      </w:r>
      <w:r w:rsidR="006563F6" w:rsidRPr="006563F6">
        <w:t xml:space="preserve">1-year </w:t>
      </w:r>
      <w:r w:rsidR="006563F6">
        <w:t xml:space="preserve">lag of the </w:t>
      </w:r>
      <w:r w:rsidR="006563F6" w:rsidRPr="006563F6">
        <w:t>logarithm</w:t>
      </w:r>
      <w:r w:rsidR="006563F6">
        <w:t xml:space="preserve"> of c</w:t>
      </w:r>
      <w:r w:rsidR="006563F6" w:rsidRPr="006563F6">
        <w:t>opper price</w:t>
      </w:r>
      <w:r w:rsidR="006563F6">
        <w:t xml:space="preserve">s, </w:t>
      </w:r>
      <m:oMath>
        <m:sSub>
          <m:sSubPr>
            <m:ctrlPr>
              <w:rPr>
                <w:rFonts w:ascii="Cambria Math" w:hAnsi="Cambria Math"/>
                <w:i/>
              </w:rPr>
            </m:ctrlPr>
          </m:sSubPr>
          <m:e>
            <m:r>
              <w:rPr>
                <w:rFonts w:ascii="Cambria Math" w:hAnsi="Cambria Math"/>
              </w:rPr>
              <m:t>REER</m:t>
            </m:r>
          </m:e>
          <m:sub>
            <m:r>
              <w:rPr>
                <w:rFonts w:ascii="Cambria Math" w:hAnsi="Cambria Math"/>
              </w:rPr>
              <m:t>t</m:t>
            </m:r>
          </m:sub>
        </m:sSub>
      </m:oMath>
      <w:r w:rsidR="00A9272F">
        <w:t xml:space="preserve"> the real effective exchange rate, </w:t>
      </w:r>
      <m:oMath>
        <m:sSub>
          <m:sSubPr>
            <m:ctrlPr>
              <w:rPr>
                <w:rFonts w:ascii="Cambria Math" w:hAnsi="Cambria Math"/>
                <w:i/>
              </w:rPr>
            </m:ctrlPr>
          </m:sSubPr>
          <m:e>
            <m:r>
              <w:rPr>
                <w:rFonts w:ascii="Cambria Math" w:hAnsi="Cambria Math"/>
              </w:rPr>
              <m:t>MF</m:t>
            </m:r>
          </m:e>
          <m:sub>
            <m:r>
              <w:rPr>
                <w:rFonts w:ascii="Cambria Math" w:hAnsi="Cambria Math"/>
              </w:rPr>
              <m:t>t</m:t>
            </m:r>
          </m:sub>
        </m:sSub>
      </m:oMath>
      <w:r w:rsidR="00E14E51">
        <w:t xml:space="preserve"> 3</w:t>
      </w:r>
      <w:r w:rsidR="00E14E51" w:rsidRPr="006563F6">
        <w:t>-year</w:t>
      </w:r>
      <w:r w:rsidR="00E14E51">
        <w:t xml:space="preserve"> </w:t>
      </w:r>
      <w:r w:rsidR="00E14E51" w:rsidRPr="006563F6">
        <w:t>average</w:t>
      </w:r>
      <w:r w:rsidR="00E14E51">
        <w:t xml:space="preserve"> growth of m</w:t>
      </w:r>
      <w:r w:rsidR="00E14E51" w:rsidRPr="00E14E51">
        <w:t>ortgage</w:t>
      </w:r>
      <w:r w:rsidR="00E14E51">
        <w:t xml:space="preserve"> loan flows and </w:t>
      </w:r>
      <m:oMath>
        <m:sSub>
          <m:sSubPr>
            <m:ctrlPr>
              <w:rPr>
                <w:rFonts w:ascii="Cambria Math" w:hAnsi="Cambria Math"/>
                <w:i/>
              </w:rPr>
            </m:ctrlPr>
          </m:sSubPr>
          <m:e>
            <m:r>
              <w:rPr>
                <w:rFonts w:ascii="Cambria Math" w:hAnsi="Cambria Math"/>
              </w:rPr>
              <m:t>CL</m:t>
            </m:r>
          </m:e>
          <m:sub>
            <m:r>
              <w:rPr>
                <w:rFonts w:ascii="Cambria Math" w:hAnsi="Cambria Math"/>
              </w:rPr>
              <m:t>t</m:t>
            </m:r>
          </m:sub>
        </m:sSub>
      </m:oMath>
      <w:r w:rsidR="00E14E51">
        <w:t xml:space="preserve"> 2</w:t>
      </w:r>
      <w:r w:rsidR="00E14E51" w:rsidRPr="006563F6">
        <w:t>-year</w:t>
      </w:r>
      <w:r w:rsidR="00E14E51">
        <w:t xml:space="preserve"> </w:t>
      </w:r>
      <w:r w:rsidR="00E14E51" w:rsidRPr="006563F6">
        <w:t>average</w:t>
      </w:r>
      <w:r w:rsidR="00E14E51">
        <w:t xml:space="preserve"> growth of c</w:t>
      </w:r>
      <w:r w:rsidR="00E14E51" w:rsidRPr="00E14E51">
        <w:t>onstruction loans</w:t>
      </w:r>
      <w:r w:rsidR="00E14E51">
        <w:t>.</w:t>
      </w:r>
    </w:p>
    <w:p w14:paraId="652D77E4" w14:textId="1ACD2854" w:rsidR="00294A14" w:rsidRDefault="00294A14" w:rsidP="00294A14">
      <w:pPr>
        <w:ind w:firstLine="284"/>
      </w:pPr>
      <w:r>
        <w:lastRenderedPageBreak/>
        <w:t>To improve the coefficient for MPI (</w:t>
      </w:r>
      <m:oMath>
        <m:sSub>
          <m:sSubPr>
            <m:ctrlPr>
              <w:rPr>
                <w:rFonts w:ascii="Cambria Math" w:hAnsi="Cambria Math"/>
                <w:i/>
              </w:rPr>
            </m:ctrlPr>
          </m:sSubPr>
          <m:e>
            <m:r>
              <w:rPr>
                <w:rFonts w:ascii="Cambria Math" w:hAnsi="Cambria Math"/>
              </w:rPr>
              <m:t>β</m:t>
            </m:r>
          </m:e>
          <m:sub>
            <m:r>
              <w:rPr>
                <w:rFonts w:ascii="Cambria Math" w:hAnsi="Cambria Math"/>
              </w:rPr>
              <m:t>5,τ</m:t>
            </m:r>
          </m:sub>
        </m:sSub>
      </m:oMath>
      <w:r>
        <w:t xml:space="preserve">) in our local model using the results from the panel estimation, we use a simple </w:t>
      </w:r>
      <w:r w:rsidRPr="00294A14">
        <w:t>weighted averaging</w:t>
      </w:r>
      <w:r>
        <w:t xml:space="preserve"> method:</w:t>
      </w:r>
    </w:p>
    <w:p w14:paraId="0B149475" w14:textId="4A9848C0" w:rsidR="00294A14" w:rsidRPr="00294A14" w:rsidRDefault="00000000" w:rsidP="00294A14">
      <w:pPr>
        <w:ind w:firstLine="284"/>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improved</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w</m:t>
                      </m:r>
                    </m:e>
                    <m:sub>
                      <m:r>
                        <w:rPr>
                          <w:rFonts w:ascii="Cambria Math" w:hAnsi="Cambria Math"/>
                        </w:rPr>
                        <m:t>s</m:t>
                      </m:r>
                    </m:sub>
                  </m:sSub>
                </m:e>
              </m:d>
              <m:sSub>
                <m:sSubPr>
                  <m:ctrlPr>
                    <w:rPr>
                      <w:rFonts w:ascii="Cambria Math" w:hAnsi="Cambria Math"/>
                      <w:i/>
                    </w:rPr>
                  </m:ctrlPr>
                </m:sSubPr>
                <m:e>
                  <m:r>
                    <w:rPr>
                      <w:rFonts w:ascii="Cambria Math" w:hAnsi="Cambria Math"/>
                    </w:rPr>
                    <m:t>c</m:t>
                  </m:r>
                </m:e>
                <m:sub>
                  <m:r>
                    <w:rPr>
                      <w:rFonts w:ascii="Cambria Math" w:hAnsi="Cambria Math"/>
                    </w:rPr>
                    <m:t>local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panel</m:t>
                  </m:r>
                </m:sub>
              </m:sSub>
              <m:r>
                <w:rPr>
                  <w:rFonts w:ascii="Cambria Math" w:hAnsi="Cambria Math"/>
                </w:rPr>
                <m:t>#</m:t>
              </m:r>
              <m:d>
                <m:dPr>
                  <m:ctrlPr>
                    <w:rPr>
                      <w:rFonts w:ascii="Cambria Math" w:hAnsi="Cambria Math"/>
                      <w:i/>
                    </w:rPr>
                  </m:ctrlPr>
                </m:dPr>
                <m:e>
                  <m:r>
                    <w:rPr>
                      <w:rFonts w:ascii="Cambria Math" w:hAnsi="Cambria Math"/>
                    </w:rPr>
                    <m:t>11</m:t>
                  </m:r>
                </m:e>
              </m:d>
            </m:e>
          </m:eqArr>
        </m:oMath>
      </m:oMathPara>
    </w:p>
    <w:p w14:paraId="46D21F0E" w14:textId="1E0A2E6C" w:rsidR="00294A14" w:rsidRDefault="00294A14" w:rsidP="00294A14">
      <w:pPr>
        <w:ind w:firstLine="284"/>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local</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panel</m:t>
            </m:r>
          </m:sub>
        </m:sSub>
      </m:oMath>
      <w:r>
        <w:t xml:space="preserve"> are the respective quantile estimates from the local and panel models. In our paper we use </w:t>
      </w:r>
      <m:oMath>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=0.5</m:t>
        </m:r>
      </m:oMath>
      <w:r>
        <w:t>.</w:t>
      </w:r>
    </w:p>
    <w:p w14:paraId="36AE2922" w14:textId="581C50C9" w:rsidR="000036C9" w:rsidRDefault="00646075" w:rsidP="00B719CA">
      <w:pPr>
        <w:pStyle w:val="SectionHeading"/>
        <w:numPr>
          <w:ilvl w:val="1"/>
          <w:numId w:val="8"/>
        </w:numPr>
      </w:pPr>
      <w:r>
        <w:t xml:space="preserve">Suarez </w:t>
      </w:r>
      <w:r w:rsidR="000036C9">
        <w:t>welfare function</w:t>
      </w:r>
    </w:p>
    <w:p w14:paraId="224BD5EC" w14:textId="4D890332" w:rsidR="000036C9" w:rsidRDefault="00B13D81" w:rsidP="00C802B3">
      <w:pPr>
        <w:ind w:firstLine="284"/>
      </w:pPr>
      <w:r>
        <w:t xml:space="preserve">The one of the main advantages of GaR is that it is measured in the same units as GDP growth. This makes the comparison between the two very straightforward. </w:t>
      </w:r>
      <w:r w:rsidR="00C802B3">
        <w:t xml:space="preserve">Yet compared to </w:t>
      </w:r>
      <w:r w:rsidR="00C802B3" w:rsidRPr="00C802B3">
        <w:t>monetary policy</w:t>
      </w:r>
      <w:r w:rsidR="00C802B3">
        <w:t xml:space="preserve">, the macroprudential policy literature still lacks explicit design rules. Javier Suarez (2021) fills this gap by suggesting a </w:t>
      </w:r>
      <w:r w:rsidR="00C802B3" w:rsidRPr="00C802B3">
        <w:t>welfare</w:t>
      </w:r>
      <w:r w:rsidR="00C802B3">
        <w:t xml:space="preserve"> function that “</w:t>
      </w:r>
      <w:r>
        <w:t xml:space="preserve">rewards expected GDP growth and </w:t>
      </w:r>
      <w:r w:rsidR="00C802B3" w:rsidRPr="00C802B3">
        <w:t xml:space="preserve">penalizes </w:t>
      </w:r>
      <w:r>
        <w:t>the gap between expected GDP growth and GaR.</w:t>
      </w:r>
      <w:r w:rsidR="00C802B3">
        <w:t xml:space="preserve">” To derive this </w:t>
      </w:r>
      <w:r w:rsidR="00C802B3" w:rsidRPr="00C802B3">
        <w:t>welfare</w:t>
      </w:r>
      <w:r w:rsidR="00C802B3">
        <w:t xml:space="preserve"> function from micro foundations, the following steps are used.</w:t>
      </w:r>
    </w:p>
    <w:p w14:paraId="1C4C8137" w14:textId="6C7D912E" w:rsidR="00C802B3" w:rsidRDefault="002314ED" w:rsidP="00C802B3">
      <w:pPr>
        <w:ind w:firstLine="284"/>
      </w:pPr>
      <w:r>
        <w:t xml:space="preserve">First, let </w:t>
      </w:r>
      <m:oMath>
        <m:r>
          <w:rPr>
            <w:rFonts w:ascii="Cambria Math" w:hAnsi="Cambria Math"/>
          </w:rPr>
          <m:t>Y</m:t>
        </m:r>
      </m:oMath>
      <w:r>
        <w:t xml:space="preserve"> </w:t>
      </w:r>
      <w:r w:rsidRPr="002314ED">
        <w:t>denote GDP</w:t>
      </w:r>
      <w:r>
        <w:t xml:space="preserve"> and </w:t>
      </w:r>
      <m:oMath>
        <m:r>
          <w:rPr>
            <w:rFonts w:ascii="Cambria Math" w:hAnsi="Cambria Math"/>
          </w:rPr>
          <m:t>y</m:t>
        </m:r>
      </m:oMath>
      <w:r>
        <w:t xml:space="preserve"> the GDP growth rate:</w:t>
      </w:r>
    </w:p>
    <w:p w14:paraId="283792E4" w14:textId="33DDF7D3" w:rsidR="002314ED" w:rsidRDefault="00000000" w:rsidP="00C802B3">
      <w:pPr>
        <w:ind w:firstLine="284"/>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y</m:t>
                  </m:r>
                </m:e>
              </m:d>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r>
                    <m:rPr>
                      <m:sty m:val="p"/>
                    </m:rPr>
                    <w:rPr>
                      <w:rFonts w:ascii="Cambria Math" w:hAnsi="Cambria Math"/>
                    </w:rPr>
                    <m:t>12</m:t>
                  </m:r>
                </m:e>
              </m:d>
            </m:e>
          </m:eqArr>
        </m:oMath>
      </m:oMathPara>
    </w:p>
    <w:p w14:paraId="342D6BB0" w14:textId="10F8734F" w:rsidR="00C802B3" w:rsidRDefault="002314ED" w:rsidP="00C54401">
      <w:r>
        <w:t xml:space="preserve">Now let us assume that there is a representative agent with a local coefficient of absolute risk aversion </w:t>
      </w:r>
      <m:oMath>
        <m:r>
          <m:rPr>
            <m:sty m:val="p"/>
          </m:rPr>
          <w:rPr>
            <w:rFonts w:ascii="Cambria Math" w:hAnsi="Cambria Math" w:cs="Cambria Math"/>
          </w:rPr>
          <m:t>λ</m:t>
        </m:r>
        <m:d>
          <m:dPr>
            <m:ctrlPr>
              <w:rPr>
                <w:rFonts w:ascii="Cambria Math" w:hAnsi="Cambria Math"/>
              </w:rPr>
            </m:ctrlPr>
          </m:dPr>
          <m:e>
            <m:sSub>
              <m:sSubPr>
                <m:ctrlPr>
                  <w:rPr>
                    <w:rFonts w:ascii="Cambria Math" w:hAnsi="Cambria Math" w:cs="Cambria Math"/>
                  </w:rPr>
                </m:ctrlPr>
              </m:sSubPr>
              <m:e>
                <m:r>
                  <m:rPr>
                    <m:sty m:val="p"/>
                  </m:rPr>
                  <w:rPr>
                    <w:rFonts w:ascii="Cambria Math" w:hAnsi="Cambria Math" w:cs="Cambria Math"/>
                  </w:rPr>
                  <m:t>Y</m:t>
                </m:r>
                <m:ctrlPr>
                  <w:rPr>
                    <w:rFonts w:ascii="Cambria Math" w:hAnsi="Cambria Math"/>
                  </w:rPr>
                </m:ctrlPr>
              </m:e>
              <m:sub>
                <m:r>
                  <m:rPr>
                    <m:sty m:val="p"/>
                  </m:rPr>
                  <w:rPr>
                    <w:rFonts w:ascii="Cambria Math" w:hAnsi="Cambria Math" w:cs="Cambria Math"/>
                  </w:rPr>
                  <m:t>0</m:t>
                </m:r>
              </m:sub>
            </m:sSub>
          </m:e>
        </m:d>
      </m:oMath>
      <w:r>
        <w:t xml:space="preserve"> at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t xml:space="preserve">. </w:t>
      </w:r>
      <w:r w:rsidR="00860CC1">
        <w:t>Then</w:t>
      </w:r>
      <w:r>
        <w:t xml:space="preserve"> we can express the utility function </w:t>
      </w:r>
      <w:r w:rsidR="00860CC1">
        <w:t xml:space="preserve">as one exhibiting </w:t>
      </w:r>
      <w:r>
        <w:t>constant absolute risk aversion (CARA)</w:t>
      </w:r>
      <w:r w:rsidR="00860CC1">
        <w:t xml:space="preserve"> with </w:t>
      </w:r>
      <m:oMath>
        <m:r>
          <m:rPr>
            <m:sty m:val="p"/>
          </m:rPr>
          <w:rPr>
            <w:rFonts w:ascii="Cambria Math" w:hAnsi="Cambria Math" w:cs="Cambria Math"/>
          </w:rPr>
          <m:t>λ</m:t>
        </m:r>
        <m:d>
          <m:dPr>
            <m:ctrlPr>
              <w:rPr>
                <w:rFonts w:ascii="Cambria Math" w:hAnsi="Cambria Math"/>
              </w:rPr>
            </m:ctrlPr>
          </m:dPr>
          <m:e>
            <m:sSub>
              <m:sSubPr>
                <m:ctrlPr>
                  <w:rPr>
                    <w:rFonts w:ascii="Cambria Math" w:hAnsi="Cambria Math" w:cs="Cambria Math"/>
                  </w:rPr>
                </m:ctrlPr>
              </m:sSubPr>
              <m:e>
                <m:r>
                  <m:rPr>
                    <m:sty m:val="p"/>
                  </m:rPr>
                  <w:rPr>
                    <w:rFonts w:ascii="Cambria Math" w:hAnsi="Cambria Math" w:cs="Cambria Math"/>
                  </w:rPr>
                  <m:t>Y</m:t>
                </m:r>
                <m:ctrlPr>
                  <w:rPr>
                    <w:rFonts w:ascii="Cambria Math" w:hAnsi="Cambria Math"/>
                  </w:rPr>
                </m:ctrlPr>
              </m:e>
              <m:sub>
                <m:r>
                  <m:rPr>
                    <m:sty m:val="p"/>
                  </m:rPr>
                  <w:rPr>
                    <w:rFonts w:ascii="Cambria Math" w:hAnsi="Cambria Math" w:cs="Cambria Math"/>
                  </w:rPr>
                  <m:t>0</m:t>
                </m:r>
              </m:sub>
            </m:sSub>
          </m:e>
        </m:d>
      </m:oMath>
      <w:r w:rsidR="00860CC1">
        <w:t>, so that:</w:t>
      </w:r>
    </w:p>
    <w:p w14:paraId="266C46E0" w14:textId="71D3C752" w:rsidR="00860CC1" w:rsidRDefault="00000000" w:rsidP="00C54401">
      <m:oMathPara>
        <m:oMath>
          <m:eqArr>
            <m:eqArrPr>
              <m:maxDist m:val="1"/>
              <m:ctrlPr>
                <w:rPr>
                  <w:rFonts w:ascii="Cambria Math" w:hAnsi="Cambria Math"/>
                </w:rPr>
              </m:ctrlPr>
            </m:eqArrPr>
            <m:e>
              <m:r>
                <w:rPr>
                  <w:rFonts w:ascii="Cambria Math" w:hAnsi="Cambria Math"/>
                </w:rPr>
                <m:t>U</m:t>
              </m:r>
              <m:d>
                <m:dPr>
                  <m:ctrlPr>
                    <w:rPr>
                      <w:rFonts w:ascii="Cambria Math" w:hAnsi="Cambria Math"/>
                    </w:rPr>
                  </m:ctrlPr>
                </m:dPr>
                <m:e>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r>
                        <w:rPr>
                          <w:rFonts w:ascii="Cambria Math" w:hAnsi="Cambria Math"/>
                        </w:rPr>
                        <m:t>Y</m:t>
                      </m:r>
                    </m:e>
                  </m:d>
                </m:e>
              </m:func>
              <m:r>
                <m:rPr>
                  <m:sty m:val="p"/>
                </m:rPr>
                <w:rPr>
                  <w:rFonts w:ascii="Cambria Math" w:hAnsi="Cambria Math"/>
                </w:rPr>
                <m:t>#</m:t>
              </m:r>
              <m:d>
                <m:dPr>
                  <m:ctrlPr>
                    <w:rPr>
                      <w:rFonts w:ascii="Cambria Math" w:hAnsi="Cambria Math"/>
                    </w:rPr>
                  </m:ctrlPr>
                </m:dPr>
                <m:e>
                  <m:r>
                    <m:rPr>
                      <m:sty m:val="p"/>
                    </m:rPr>
                    <w:rPr>
                      <w:rFonts w:ascii="Cambria Math" w:hAnsi="Cambria Math"/>
                    </w:rPr>
                    <m:t>13</m:t>
                  </m:r>
                </m:e>
              </m:d>
            </m:e>
          </m:eqArr>
        </m:oMath>
      </m:oMathPara>
    </w:p>
    <w:p w14:paraId="21CAE3E1" w14:textId="33816E0A" w:rsidR="00860CC1" w:rsidRDefault="00860CC1" w:rsidP="00C54401">
      <w:r>
        <w:t xml:space="preserve">If we insert </w:t>
      </w:r>
      <w:r w:rsidRPr="00860CC1">
        <w:t>equation</w:t>
      </w:r>
      <w:r>
        <w:t xml:space="preserve"> (eq.) 11 in eq.12, then perform a monotonic transformation, then we get:</w:t>
      </w:r>
    </w:p>
    <w:p w14:paraId="7089C1FD" w14:textId="622EF6D9" w:rsidR="00860CC1" w:rsidRPr="00D92D6A" w:rsidRDefault="00000000" w:rsidP="00C54401">
      <m:oMathPara>
        <m:oMath>
          <m:eqArr>
            <m:eqArrPr>
              <m:maxDist m:val="1"/>
              <m:ctrlPr>
                <w:rPr>
                  <w:rFonts w:ascii="Cambria Math" w:hAnsi="Cambria Math"/>
                </w:rPr>
              </m:ctrlPr>
            </m:eqArrPr>
            <m:e>
              <m:r>
                <w:rPr>
                  <w:rFonts w:ascii="Cambria Math" w:hAnsi="Cambria Math"/>
                </w:rPr>
                <m:t>u</m:t>
              </m:r>
              <m:d>
                <m:dPr>
                  <m:ctrlPr>
                    <w:rPr>
                      <w:rFonts w:ascii="Cambria Math" w:hAnsi="Cambria Math"/>
                    </w:rPr>
                  </m:ctrlPr>
                </m:dPr>
                <m:e>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sSub>
                        <m:sSubPr>
                          <m:ctrlPr>
                            <w:rPr>
                              <w:rFonts w:ascii="Cambria Math" w:hAnsi="Cambria Math"/>
                            </w:rPr>
                          </m:ctrlPr>
                        </m:sSubPr>
                        <m:e>
                          <m:r>
                            <w:rPr>
                              <w:rFonts w:ascii="Cambria Math" w:hAnsi="Cambria Math"/>
                            </w:rPr>
                            <m:t>Y</m:t>
                          </m:r>
                        </m:e>
                        <m:sub>
                          <m:r>
                            <m:rPr>
                              <m:sty m:val="p"/>
                            </m:rPr>
                            <w:rPr>
                              <w:rFonts w:ascii="Cambria Math" w:hAnsi="Cambria Math"/>
                            </w:rPr>
                            <m:t>0</m:t>
                          </m:r>
                        </m:sub>
                      </m:sSub>
                      <m:r>
                        <w:rPr>
                          <w:rFonts w:ascii="Cambria Math" w:hAnsi="Cambria Math"/>
                        </w:rPr>
                        <m:t>y</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ρ</m:t>
                          </m:r>
                        </m:e>
                        <m:sub>
                          <m:r>
                            <m:rPr>
                              <m:sty m:val="p"/>
                            </m:rPr>
                            <w:rPr>
                              <w:rFonts w:ascii="Cambria Math" w:hAnsi="Cambria Math"/>
                            </w:rPr>
                            <m:t>0</m:t>
                          </m:r>
                        </m:sub>
                      </m:sSub>
                      <m:r>
                        <w:rPr>
                          <w:rFonts w:ascii="Cambria Math" w:hAnsi="Cambria Math"/>
                        </w:rPr>
                        <m:t>y</m:t>
                      </m:r>
                    </m:e>
                  </m:d>
                </m:e>
              </m:func>
              <m:r>
                <m:rPr>
                  <m:sty m:val="p"/>
                </m:rPr>
                <w:rPr>
                  <w:rFonts w:ascii="Cambria Math" w:hAnsi="Cambria Math"/>
                </w:rPr>
                <m:t>#</m:t>
              </m:r>
              <m:d>
                <m:dPr>
                  <m:ctrlPr>
                    <w:rPr>
                      <w:rFonts w:ascii="Cambria Math" w:hAnsi="Cambria Math"/>
                    </w:rPr>
                  </m:ctrlPr>
                </m:dPr>
                <m:e>
                  <m:r>
                    <m:rPr>
                      <m:sty m:val="p"/>
                    </m:rPr>
                    <w:rPr>
                      <w:rFonts w:ascii="Cambria Math" w:hAnsi="Cambria Math"/>
                    </w:rPr>
                    <m:t>1</m:t>
                  </m:r>
                  <m:r>
                    <m:rPr>
                      <m:sty m:val="b"/>
                    </m:rPr>
                    <w:rPr>
                      <w:rFonts w:ascii="Cambria Math" w:hAnsi="Cambria Math"/>
                    </w:rPr>
                    <m:t>4</m:t>
                  </m:r>
                </m:e>
              </m:d>
            </m:e>
          </m:eqArr>
        </m:oMath>
      </m:oMathPara>
    </w:p>
    <w:p w14:paraId="59E6B30F" w14:textId="2DA5C7FC" w:rsidR="00860CC1" w:rsidRPr="00286A29" w:rsidRDefault="00860CC1" w:rsidP="00286A29">
      <w:r w:rsidRPr="00286A29">
        <w:t xml:space="preserve">In eq. 13 </w:t>
      </w: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00C54401" w:rsidRPr="00286A29">
        <w:t xml:space="preserve"> describes the agent’s coefficient of relative risk aversion at </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00C54401" w:rsidRPr="00286A29">
        <w:t xml:space="preserve">. If we assume GDP growth is normally distributed, so that </w:t>
      </w: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oMath>
      <w:r w:rsidR="00C54401" w:rsidRPr="00286A29">
        <w:t>, then using the known moment functions we can write the agent’s expected utility as:</w:t>
      </w:r>
    </w:p>
    <w:p w14:paraId="7EEC549D" w14:textId="07F54BE7" w:rsidR="001F78AB" w:rsidRPr="00286A29" w:rsidRDefault="00000000" w:rsidP="00286A29">
      <m:oMathPara>
        <m:oMath>
          <m:eqArr>
            <m:eqArrPr>
              <m:maxDist m:val="1"/>
              <m:ctrlPr>
                <w:rPr>
                  <w:rFonts w:ascii="Cambria Math" w:hAnsi="Cambria Math"/>
                </w:rPr>
              </m:ctrlPr>
            </m:eqArrPr>
            <m:e>
              <m:r>
                <w:rPr>
                  <w:rFonts w:ascii="Cambria Math" w:hAnsi="Cambria Math"/>
                </w:rPr>
                <m:t>E</m:t>
              </m:r>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y</m:t>
                      </m:r>
                    </m:e>
                  </m:d>
                </m:e>
              </m:d>
              <m:r>
                <m:rPr>
                  <m:sty m:val="p"/>
                </m:rPr>
                <w:rPr>
                  <w:rFonts w:ascii="Cambria Math" w:hAnsi="Cambria Math"/>
                </w:rPr>
                <m:t>=-</m:t>
              </m:r>
              <m:r>
                <w:rPr>
                  <w:rFonts w:ascii="Cambria Math" w:hAnsi="Cambria Math"/>
                </w:rPr>
                <m:t>E</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ρ</m:t>
                              </m:r>
                            </m:e>
                            <m:sub>
                              <m:r>
                                <m:rPr>
                                  <m:sty m:val="p"/>
                                </m:rPr>
                                <w:rPr>
                                  <w:rFonts w:ascii="Cambria Math" w:hAnsi="Cambria Math"/>
                                </w:rPr>
                                <m:t>0</m:t>
                              </m:r>
                            </m:sub>
                          </m:sSub>
                          <m:r>
                            <w:rPr>
                              <w:rFonts w:ascii="Cambria Math" w:hAnsi="Cambria Math"/>
                            </w:rPr>
                            <m:t>y</m:t>
                          </m:r>
                        </m:e>
                      </m:d>
                    </m:e>
                  </m:func>
                </m:e>
              </m:d>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m:rPr>
                              <m:sty m:val="p"/>
                            </m:rPr>
                            <w:rPr>
                              <w:rFonts w:ascii="Cambria Math" w:hAnsi="Cambria Math"/>
                            </w:rPr>
                            <m:t>-</m:t>
                          </m:r>
                          <m:r>
                            <w:rPr>
                              <w:rFonts w:ascii="Cambria Math" w:hAnsi="Cambria Math"/>
                            </w:rPr>
                            <m:t>ρ</m:t>
                          </m:r>
                        </m:e>
                        <m:sub>
                          <m:r>
                            <m:rPr>
                              <m:sty m:val="p"/>
                            </m:rPr>
                            <w:rPr>
                              <w:rFonts w:ascii="Cambria Math" w:hAnsi="Cambria Math"/>
                            </w:rPr>
                            <m:t>0</m:t>
                          </m:r>
                        </m:sub>
                      </m:sSub>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ρ</m:t>
                          </m:r>
                        </m:e>
                        <m:sub>
                          <m:r>
                            <m:rPr>
                              <m:sty m:val="p"/>
                            </m:rPr>
                            <w:rPr>
                              <w:rFonts w:ascii="Cambria Math" w:hAnsi="Cambria Math"/>
                            </w:rPr>
                            <m:t>0</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e>
                  </m:d>
                </m:e>
              </m:func>
              <m:r>
                <m:rPr>
                  <m:sty m:val="p"/>
                </m:rPr>
                <w:rPr>
                  <w:rFonts w:ascii="Cambria Math" w:hAnsi="Cambria Math"/>
                </w:rPr>
                <m:t>#</m:t>
              </m:r>
              <m:d>
                <m:dPr>
                  <m:ctrlPr>
                    <w:rPr>
                      <w:rFonts w:ascii="Cambria Math" w:hAnsi="Cambria Math"/>
                    </w:rPr>
                  </m:ctrlPr>
                </m:dPr>
                <m:e>
                  <m:r>
                    <m:rPr>
                      <m:sty m:val="p"/>
                    </m:rPr>
                    <w:rPr>
                      <w:rFonts w:ascii="Cambria Math" w:hAnsi="Cambria Math"/>
                    </w:rPr>
                    <m:t>15</m:t>
                  </m:r>
                </m:e>
              </m:d>
            </m:e>
          </m:eqArr>
        </m:oMath>
      </m:oMathPara>
    </w:p>
    <w:p w14:paraId="2FDA2A25" w14:textId="6A8553B9" w:rsidR="00C54401" w:rsidRPr="00286A29" w:rsidRDefault="00286A29" w:rsidP="00286A29">
      <w:r w:rsidRPr="00286A29">
        <w:t>Indirectly eq. 14 can also be described as:</w:t>
      </w:r>
    </w:p>
    <w:p w14:paraId="17E9D95E" w14:textId="4FC7932A" w:rsidR="00286A29" w:rsidRPr="00286A29" w:rsidRDefault="00000000" w:rsidP="00286A29">
      <m:oMathPara>
        <m:oMath>
          <m:eqArr>
            <m:eqArrPr>
              <m:maxDist m:val="1"/>
              <m:ctrlPr>
                <w:rPr>
                  <w:rFonts w:ascii="Cambria Math" w:hAnsi="Cambria Math"/>
                </w:rPr>
              </m:ctrlPr>
            </m:eqArr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m:rPr>
                          <m:sty m:val="p"/>
                        </m:rPr>
                        <w:rPr>
                          <w:rFonts w:ascii="Cambria Math" w:hAnsi="Cambria Math"/>
                        </w:rPr>
                        <m:t>0</m:t>
                      </m:r>
                    </m:sub>
                  </m:sSub>
                </m:num>
                <m:den>
                  <m:r>
                    <m:rPr>
                      <m:sty m:val="p"/>
                    </m:rP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d>
                <m:dPr>
                  <m:ctrlPr>
                    <w:rPr>
                      <w:rFonts w:ascii="Cambria Math" w:hAnsi="Cambria Math"/>
                    </w:rPr>
                  </m:ctrlPr>
                </m:dPr>
                <m:e>
                  <m:r>
                    <m:rPr>
                      <m:sty m:val="p"/>
                    </m:rPr>
                    <w:rPr>
                      <w:rFonts w:ascii="Cambria Math" w:hAnsi="Cambria Math"/>
                    </w:rPr>
                    <m:t>16</m:t>
                  </m:r>
                </m:e>
              </m:d>
            </m:e>
          </m:eqArr>
        </m:oMath>
      </m:oMathPara>
    </w:p>
    <w:p w14:paraId="564A2E34" w14:textId="6F04A08A" w:rsidR="00286A29" w:rsidRPr="00286A29" w:rsidRDefault="00000000" w:rsidP="00286A29">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num>
                <m:den>
                  <m:sSup>
                    <m:sSupPr>
                      <m:ctrlPr>
                        <w:rPr>
                          <w:rFonts w:ascii="Cambria Math" w:hAnsi="Cambria Math"/>
                        </w:rPr>
                      </m:ctrlPr>
                    </m:sSupPr>
                    <m:e>
                      <m:r>
                        <m:rPr>
                          <m:sty m:val="p"/>
                        </m:rPr>
                        <w:rPr>
                          <w:rFonts w:ascii="Cambria Math" w:hAnsi="Cambria Math"/>
                        </w:rPr>
                        <m:t>Φ</m:t>
                      </m:r>
                    </m:e>
                    <m:sup>
                      <m:r>
                        <m:rPr>
                          <m:sty m:val="p"/>
                        </m:rPr>
                        <w:rPr>
                          <w:rFonts w:ascii="Cambria Math" w:hAnsi="Cambria Math"/>
                        </w:rPr>
                        <m:t>-1</m:t>
                      </m:r>
                    </m:sup>
                  </m:sSup>
                  <m:d>
                    <m:dPr>
                      <m:ctrlPr>
                        <w:rPr>
                          <w:rFonts w:ascii="Cambria Math" w:hAnsi="Cambria Math"/>
                        </w:rPr>
                      </m:ctrlPr>
                    </m:dPr>
                    <m:e>
                      <m:r>
                        <w:rPr>
                          <w:rFonts w:ascii="Cambria Math" w:hAnsi="Cambria Math"/>
                        </w:rPr>
                        <m:t>c</m:t>
                      </m:r>
                    </m:e>
                  </m:d>
                </m:den>
              </m:f>
              <m:r>
                <m:rPr>
                  <m:sty m:val="p"/>
                </m:rPr>
                <w:rPr>
                  <w:rFonts w:ascii="Cambria Math" w:hAnsi="Cambria Math"/>
                </w:rPr>
                <m:t>#</m:t>
              </m:r>
              <m:d>
                <m:dPr>
                  <m:ctrlPr>
                    <w:rPr>
                      <w:rFonts w:ascii="Cambria Math" w:hAnsi="Cambria Math"/>
                    </w:rPr>
                  </m:ctrlPr>
                </m:dPr>
                <m:e>
                  <m:r>
                    <m:rPr>
                      <m:sty m:val="p"/>
                    </m:rPr>
                    <w:rPr>
                      <w:rFonts w:ascii="Cambria Math" w:hAnsi="Cambria Math"/>
                    </w:rPr>
                    <m:t>17</m:t>
                  </m:r>
                </m:e>
              </m:d>
            </m:e>
          </m:eqArr>
        </m:oMath>
      </m:oMathPara>
    </w:p>
    <w:p w14:paraId="5D82507D" w14:textId="19210777" w:rsidR="00286A29" w:rsidRDefault="00000000" w:rsidP="00286A29">
      <m:oMathPara>
        <m:oMath>
          <m:eqArr>
            <m:eqArrPr>
              <m:maxDist m:val="1"/>
              <m:ctrlPr>
                <w:rPr>
                  <w:rFonts w:ascii="Cambria Math" w:hAnsi="Cambria Math"/>
                </w:rPr>
              </m:ctrlPr>
            </m:eqArr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sSub>
                    <m:sSubPr>
                      <m:ctrlPr>
                        <w:rPr>
                          <w:rFonts w:ascii="Cambria Math" w:hAnsi="Cambria Math"/>
                        </w:rPr>
                      </m:ctrlPr>
                    </m:sSubPr>
                    <m:e>
                      <m:r>
                        <w:rPr>
                          <w:rFonts w:ascii="Cambria Math" w:hAnsi="Cambria Math"/>
                        </w:rPr>
                        <m:t>ρ</m:t>
                      </m:r>
                    </m:e>
                    <m:sub>
                      <m:r>
                        <m:rPr>
                          <m:sty m:val="p"/>
                        </m:rPr>
                        <w:rPr>
                          <w:rFonts w:ascii="Cambria Math" w:hAnsi="Cambria Math"/>
                        </w:rPr>
                        <m:t>0</m:t>
                      </m:r>
                    </m:sub>
                  </m:sSub>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Φ</m:t>
                              </m:r>
                            </m:e>
                            <m:sup>
                              <m:r>
                                <m:rPr>
                                  <m:sty m:val="p"/>
                                </m:rPr>
                                <w:rPr>
                                  <w:rFonts w:ascii="Cambria Math" w:hAnsi="Cambria Math"/>
                                </w:rPr>
                                <m:t>-1</m:t>
                              </m:r>
                            </m:sup>
                          </m:sSup>
                          <m:d>
                            <m:dPr>
                              <m:ctrlPr>
                                <w:rPr>
                                  <w:rFonts w:ascii="Cambria Math" w:hAnsi="Cambria Math"/>
                                </w:rPr>
                              </m:ctrlPr>
                            </m:dPr>
                            <m:e>
                              <m:r>
                                <w:rPr>
                                  <w:rFonts w:ascii="Cambria Math" w:hAnsi="Cambria Math"/>
                                </w:rPr>
                                <m:t>c</m:t>
                              </m:r>
                            </m:e>
                          </m:d>
                        </m:e>
                      </m:d>
                    </m:e>
                    <m:sup>
                      <m:r>
                        <m:rPr>
                          <m:sty m:val="p"/>
                        </m:rPr>
                        <w:rPr>
                          <w:rFonts w:ascii="Cambria Math" w:hAnsi="Cambria Math"/>
                        </w:rPr>
                        <m:t>2</m:t>
                      </m:r>
                    </m:sup>
                  </m:sSup>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e>
                  </m:d>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r>
                    <m:rPr>
                      <m:sty m:val="p"/>
                    </m:rPr>
                    <w:rPr>
                      <w:rFonts w:ascii="Cambria Math" w:hAnsi="Cambria Math"/>
                    </w:rPr>
                    <m:t>18</m:t>
                  </m:r>
                </m:e>
              </m:d>
            </m:e>
          </m:eqArr>
        </m:oMath>
      </m:oMathPara>
    </w:p>
    <w:p w14:paraId="70E0505E" w14:textId="0EC4BB9B" w:rsidR="00763B24" w:rsidRDefault="00344BAB" w:rsidP="00286A29">
      <w:r>
        <w:t xml:space="preserve">Finally, by reordering some terms and assigning </w:t>
      </w:r>
      <m:oMath>
        <m:r>
          <w:rPr>
            <w:rFonts w:ascii="Cambria Math" w:hAnsi="Cambria Math"/>
          </w:rPr>
          <m:t>w</m:t>
        </m:r>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m:rPr>
                        <m:sty m:val="p"/>
                      </m:rPr>
                      <w:rPr>
                        <w:rFonts w:ascii="Cambria Math" w:hAnsi="Cambria Math"/>
                      </w:rPr>
                      <m:t>0</m:t>
                    </m:r>
                  </m:sub>
                </m:sSub>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Φ</m:t>
                            </m:r>
                          </m:e>
                          <m:sup>
                            <m:r>
                              <m:rPr>
                                <m:sty m:val="p"/>
                              </m:rPr>
                              <w:rPr>
                                <w:rFonts w:ascii="Cambria Math" w:hAnsi="Cambria Math"/>
                              </w:rPr>
                              <m:t>-1</m:t>
                            </m:r>
                          </m:sup>
                        </m:sSup>
                        <m:d>
                          <m:dPr>
                            <m:ctrlPr>
                              <w:rPr>
                                <w:rFonts w:ascii="Cambria Math" w:hAnsi="Cambria Math"/>
                              </w:rPr>
                            </m:ctrlPr>
                          </m:dPr>
                          <m:e>
                            <m:r>
                              <w:rPr>
                                <w:rFonts w:ascii="Cambria Math" w:hAnsi="Cambria Math"/>
                              </w:rPr>
                              <m:t>c</m:t>
                            </m:r>
                          </m:e>
                        </m:d>
                      </m:e>
                    </m:d>
                  </m:e>
                  <m:sup>
                    <m:r>
                      <m:rPr>
                        <m:sty m:val="p"/>
                      </m:rPr>
                      <w:rPr>
                        <w:rFonts w:ascii="Cambria Math" w:hAnsi="Cambria Math"/>
                      </w:rPr>
                      <m:t>2</m:t>
                    </m:r>
                  </m:sup>
                </m:sSup>
              </m:den>
            </m:f>
          </m:e>
        </m:d>
      </m:oMath>
      <w:r>
        <w:t xml:space="preserve">, which we can interpret as the </w:t>
      </w:r>
      <w:r w:rsidRPr="00344BAB">
        <w:t>aversion</w:t>
      </w:r>
      <w:r>
        <w:t xml:space="preserve"> </w:t>
      </w:r>
      <w:r w:rsidRPr="00344BAB">
        <w:t>for financial instability</w:t>
      </w:r>
      <w:r>
        <w:t>, we derive the social welfare function proposed by Suarez:</w:t>
      </w:r>
    </w:p>
    <w:p w14:paraId="2C5DE268" w14:textId="7A1EB1CF" w:rsidR="00344BAB" w:rsidRDefault="00000000" w:rsidP="00286A29">
      <m:oMathPara>
        <m:oMath>
          <m:eqArr>
            <m:eqArrPr>
              <m:maxDist m:val="1"/>
              <m:ctrlPr>
                <w:rPr>
                  <w:rFonts w:ascii="Cambria Math" w:hAnsi="Cambria Math"/>
                </w:rPr>
              </m:ctrlPr>
            </m:eqArr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w</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r>
                    <m:rPr>
                      <m:sty m:val="p"/>
                    </m:rPr>
                    <w:rPr>
                      <w:rFonts w:ascii="Cambria Math" w:hAnsi="Cambria Math"/>
                    </w:rPr>
                    <m:t>19</m:t>
                  </m:r>
                </m:e>
              </m:d>
            </m:e>
          </m:eqArr>
        </m:oMath>
      </m:oMathPara>
    </w:p>
    <w:p w14:paraId="0659F538" w14:textId="22AA1FD0" w:rsidR="00763B24" w:rsidRPr="00D375EB" w:rsidRDefault="00D375EB" w:rsidP="00286A29">
      <w:r>
        <w:t xml:space="preserve">The limitations of this function are </w:t>
      </w:r>
      <w:r w:rsidRPr="00D375EB">
        <w:t>embedded in it</w:t>
      </w:r>
      <w:r>
        <w:t xml:space="preserve">s assumptions. Since most GDP growth distributions aren’t normally distributed this makes the function sensitive choice of quantile c. Additionally, even if the c is chosen correctly, the value for </w:t>
      </w: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oMath>
      <w:r>
        <w:t xml:space="preserve"> and </w:t>
      </w:r>
      <w:r w:rsidRPr="00D375EB">
        <w:t>consequently</w:t>
      </w:r>
      <w:r>
        <w:t xml:space="preserve"> is up to the policy maker. N</w:t>
      </w:r>
      <w:r w:rsidRPr="00D375EB">
        <w:t>evertheless</w:t>
      </w:r>
      <w:r>
        <w:t xml:space="preserve">, this function can still serve as a good basis for policy recommendations since it offers a means to perform a cost-benefit analysis for the effects of </w:t>
      </w:r>
      <w:r w:rsidRPr="00D375EB">
        <w:t>macroprudential policy</w:t>
      </w:r>
      <w:r>
        <w:t>.</w:t>
      </w:r>
    </w:p>
    <w:p w14:paraId="515418E4" w14:textId="29FEE933" w:rsidR="000036C9" w:rsidRDefault="000036C9" w:rsidP="00B719CA">
      <w:pPr>
        <w:pStyle w:val="SectionHeading"/>
        <w:numPr>
          <w:ilvl w:val="1"/>
          <w:numId w:val="8"/>
        </w:numPr>
      </w:pPr>
      <w:r>
        <w:t>Data</w:t>
      </w:r>
    </w:p>
    <w:p w14:paraId="01EEF8E7" w14:textId="03399BFA" w:rsidR="005C366F" w:rsidRDefault="00CC70F5" w:rsidP="005C366F">
      <w:pPr>
        <w:ind w:firstLine="284"/>
      </w:pPr>
      <w:r>
        <w:t xml:space="preserve">For the panel model we used a </w:t>
      </w:r>
      <w:r w:rsidRPr="00DB4E49">
        <w:t xml:space="preserve">quarterly </w:t>
      </w:r>
      <w:r>
        <w:t xml:space="preserve">dataset with 43 countries and 21 variables for the period 1993-2023. Most of this data was download from two key </w:t>
      </w:r>
      <w:r w:rsidRPr="00CC70F5">
        <w:t>International Monetary Fund (IMF)</w:t>
      </w:r>
      <w:r>
        <w:t xml:space="preserve"> databases. These are the </w:t>
      </w:r>
      <w:r w:rsidRPr="00CC70F5">
        <w:t>international financial statistics</w:t>
      </w:r>
      <w:r>
        <w:t xml:space="preserve"> (IFS) and the f</w:t>
      </w:r>
      <w:r w:rsidRPr="00CC70F5">
        <w:t xml:space="preserve">inancial </w:t>
      </w:r>
      <w:r>
        <w:t>s</w:t>
      </w:r>
      <w:r w:rsidRPr="00CC70F5">
        <w:t xml:space="preserve">oundness </w:t>
      </w:r>
      <w:r>
        <w:t>i</w:t>
      </w:r>
      <w:r w:rsidRPr="00CC70F5">
        <w:t>ndicators</w:t>
      </w:r>
      <w:r>
        <w:t xml:space="preserve"> (FSI) (IMF, 2024). </w:t>
      </w:r>
      <w:r w:rsidR="00B97B98">
        <w:t>Additionally, for data related the equity index we used the g</w:t>
      </w:r>
      <w:r w:rsidR="00B97B98" w:rsidRPr="00B97B98">
        <w:t xml:space="preserve">lobal </w:t>
      </w:r>
      <w:r w:rsidR="00B97B98">
        <w:t>e</w:t>
      </w:r>
      <w:r w:rsidR="00B97B98" w:rsidRPr="00B97B98">
        <w:t xml:space="preserve">conomic </w:t>
      </w:r>
      <w:r w:rsidR="00B97B98">
        <w:t>m</w:t>
      </w:r>
      <w:r w:rsidR="00B97B98" w:rsidRPr="00B97B98">
        <w:t>onitor</w:t>
      </w:r>
      <w:r w:rsidR="00B97B98">
        <w:t xml:space="preserve"> (GEM) which is one of the databases (2023) maintained by the </w:t>
      </w:r>
      <w:r w:rsidR="00B97B98" w:rsidRPr="00B97B98">
        <w:t>World Bank</w:t>
      </w:r>
      <w:r w:rsidR="00B97B98">
        <w:t xml:space="preserve"> (WB). </w:t>
      </w:r>
      <w:r w:rsidR="005C366F">
        <w:t xml:space="preserve">Some of the variables related to government bond rates were extracted from individual central bank websites. Finally, the data for the MPI was extracted from the </w:t>
      </w:r>
      <w:r w:rsidR="005C366F" w:rsidRPr="005C366F">
        <w:t>iMaPP</w:t>
      </w:r>
      <w:r w:rsidR="005C366F">
        <w:t xml:space="preserve"> database </w:t>
      </w:r>
      <w:sdt>
        <w:sdtPr>
          <w:id w:val="865639156"/>
          <w:citation/>
        </w:sdtPr>
        <w:sdtContent>
          <w:r w:rsidR="005C366F">
            <w:fldChar w:fldCharType="begin"/>
          </w:r>
          <w:r w:rsidR="005C366F">
            <w:instrText xml:space="preserve"> CITATION Alam19 \l 1033 </w:instrText>
          </w:r>
          <w:r w:rsidR="005C366F">
            <w:fldChar w:fldCharType="separate"/>
          </w:r>
          <w:r w:rsidR="00790F65">
            <w:rPr>
              <w:noProof/>
            </w:rPr>
            <w:t>(Alam, et al., 2019)</w:t>
          </w:r>
          <w:r w:rsidR="005C366F">
            <w:fldChar w:fldCharType="end"/>
          </w:r>
        </w:sdtContent>
      </w:sdt>
      <w:r w:rsidR="005C366F">
        <w:t>.</w:t>
      </w:r>
    </w:p>
    <w:p w14:paraId="3C6725C9" w14:textId="5666CFAD" w:rsidR="00CC70F5" w:rsidRDefault="00083E46" w:rsidP="00433499">
      <w:pPr>
        <w:ind w:firstLine="284"/>
      </w:pPr>
      <w:r>
        <w:t xml:space="preserve">The </w:t>
      </w:r>
      <w:r w:rsidR="00433499">
        <w:t xml:space="preserve">Armenian model effectively utilized 38 variables (without counting the derived </w:t>
      </w:r>
      <w:r w:rsidR="00433499" w:rsidRPr="00433499">
        <w:t>indices</w:t>
      </w:r>
      <w:r w:rsidR="00433499">
        <w:t xml:space="preserve">) for the period 2003-2024. The FCI required 17 interest rate related variables, FCyI was constructed using 12 credit related variables, while the final model included 11 </w:t>
      </w:r>
      <w:r w:rsidR="00433499" w:rsidRPr="00433499">
        <w:t xml:space="preserve">exogenous </w:t>
      </w:r>
      <w:r w:rsidR="00433499">
        <w:t xml:space="preserve">indicators (including the two </w:t>
      </w:r>
      <w:r w:rsidR="00433499" w:rsidRPr="00433499">
        <w:t>indices</w:t>
      </w:r>
      <w:r w:rsidR="00433499">
        <w:t xml:space="preserve">). All of the data for the local model were collected from the </w:t>
      </w:r>
      <w:r w:rsidR="00433499" w:rsidRPr="00433499">
        <w:t xml:space="preserve">central bank of </w:t>
      </w:r>
      <w:r w:rsidR="00433499">
        <w:t>Armenia (CBA).</w:t>
      </w:r>
    </w:p>
    <w:p w14:paraId="3E751907" w14:textId="611A675F" w:rsidR="001D439C" w:rsidRDefault="004F1BA1" w:rsidP="00B719CA">
      <w:pPr>
        <w:pStyle w:val="SectionHeading"/>
      </w:pPr>
      <w:r>
        <w:lastRenderedPageBreak/>
        <w:t>Results</w:t>
      </w:r>
    </w:p>
    <w:p w14:paraId="7A4EDFB9" w14:textId="4CFC8F70" w:rsidR="001E35CC" w:rsidRDefault="001E35CC" w:rsidP="00B719CA">
      <w:pPr>
        <w:pStyle w:val="SectionHeading"/>
        <w:numPr>
          <w:ilvl w:val="1"/>
          <w:numId w:val="8"/>
        </w:numPr>
      </w:pPr>
      <w:r w:rsidRPr="001E35CC">
        <w:t>financial vulnerabilities</w:t>
      </w:r>
      <w:r>
        <w:t xml:space="preserve"> and stress</w:t>
      </w:r>
    </w:p>
    <w:p w14:paraId="1017930F" w14:textId="3E6142CE" w:rsidR="001D439C" w:rsidRDefault="008557EC" w:rsidP="00926024">
      <w:pPr>
        <w:ind w:firstLine="284"/>
      </w:pPr>
      <w:r>
        <w:t xml:space="preserve">One of the </w:t>
      </w:r>
      <w:proofErr w:type="gramStart"/>
      <w:r>
        <w:t>primary</w:t>
      </w:r>
      <w:proofErr w:type="gramEnd"/>
      <w:r>
        <w:t xml:space="preserve"> aims of macroprudential policy is to improve the </w:t>
      </w:r>
      <w:r w:rsidRPr="008557EC">
        <w:t>resilience</w:t>
      </w:r>
      <w:r>
        <w:t xml:space="preserve"> of the financial system, or in other words</w:t>
      </w:r>
      <w:r w:rsidR="00926024">
        <w:t>,</w:t>
      </w:r>
      <w:r>
        <w:t xml:space="preserve"> to reduce the negative </w:t>
      </w:r>
      <w:r w:rsidR="00926024">
        <w:t xml:space="preserve">impact of </w:t>
      </w:r>
      <w:r w:rsidR="00926024" w:rsidRPr="00926024">
        <w:t>crises</w:t>
      </w:r>
      <w:r w:rsidR="00926024">
        <w:t xml:space="preserve"> on economic growth. No crisis is the same, but during a crisis the financial to system has the potential to </w:t>
      </w:r>
      <w:r w:rsidR="00926024" w:rsidRPr="00926024">
        <w:t>amplify</w:t>
      </w:r>
      <w:r w:rsidR="00926024">
        <w:t xml:space="preserve"> these shocks. The extent of this </w:t>
      </w:r>
      <w:r w:rsidR="00926024" w:rsidRPr="00926024">
        <w:t>amplification</w:t>
      </w:r>
      <w:r w:rsidR="00926024">
        <w:t xml:space="preserve"> will depend on the existing </w:t>
      </w:r>
      <w:r w:rsidR="00926024" w:rsidRPr="00926024">
        <w:t>vulnerabilities</w:t>
      </w:r>
      <w:r w:rsidR="00926024">
        <w:t xml:space="preserve"> in the system. </w:t>
      </w:r>
      <w:r>
        <w:t xml:space="preserve">In </w:t>
      </w:r>
      <w:r>
        <w:fldChar w:fldCharType="begin"/>
      </w:r>
      <w:r>
        <w:instrText xml:space="preserve"> REF _Ref169637532 \h </w:instrText>
      </w:r>
      <w:r>
        <w:fldChar w:fldCharType="separate"/>
      </w:r>
      <w:r>
        <w:t xml:space="preserve">Figure </w:t>
      </w:r>
      <w:r>
        <w:rPr>
          <w:noProof/>
        </w:rPr>
        <w:t>1</w:t>
      </w:r>
      <w:r>
        <w:fldChar w:fldCharType="end"/>
      </w:r>
      <w:r>
        <w:t xml:space="preserve">, we plot FCyI, FCI and real GDP growth. </w:t>
      </w:r>
      <w:r w:rsidR="008D0B34">
        <w:t>The key takeaway from this plot is that FCyI and FCI react different</w:t>
      </w:r>
      <w:r w:rsidR="00117AD6">
        <w:t>ly</w:t>
      </w:r>
      <w:r w:rsidR="008D0B34">
        <w:t xml:space="preserve"> depending on the type of the shock. During the 2007-2009 financial crisis we observe the </w:t>
      </w:r>
      <w:r w:rsidR="008D0B34" w:rsidRPr="008D0B34">
        <w:t>severe</w:t>
      </w:r>
      <w:r w:rsidR="008D0B34">
        <w:t xml:space="preserve"> financial stress first, and then those losses are </w:t>
      </w:r>
      <w:r w:rsidR="008D0B34" w:rsidRPr="008D0B34">
        <w:t>materialized</w:t>
      </w:r>
      <w:r w:rsidR="008D0B34">
        <w:t>.</w:t>
      </w:r>
      <w:r w:rsidR="00117AD6">
        <w:t xml:space="preserve"> A similar pattern can be seen in 2015-2016 when Armenia was affected by the R</w:t>
      </w:r>
      <w:r w:rsidR="00117AD6" w:rsidRPr="00117AD6">
        <w:t>ussia</w:t>
      </w:r>
      <w:r w:rsidR="00117AD6">
        <w:t>n</w:t>
      </w:r>
      <w:r w:rsidR="00117AD6" w:rsidRPr="00117AD6">
        <w:t xml:space="preserve"> oil crisis</w:t>
      </w:r>
      <w:r w:rsidR="00117AD6">
        <w:t>. Meanwhile, during the Covid shock, the GDP reacted first, with the</w:t>
      </w:r>
      <w:r w:rsidR="00117AD6" w:rsidRPr="00117AD6">
        <w:t xml:space="preserve"> </w:t>
      </w:r>
      <w:r w:rsidR="00117AD6" w:rsidRPr="001E35CC">
        <w:t>vulnerabilities</w:t>
      </w:r>
      <w:r w:rsidR="00117AD6">
        <w:t xml:space="preserve"> and financial stress emerging much later.</w:t>
      </w:r>
    </w:p>
    <w:p w14:paraId="64EF70E3" w14:textId="77777777" w:rsidR="001D439C" w:rsidRDefault="002358EE" w:rsidP="001D439C">
      <w:pPr>
        <w:keepNext/>
        <w:spacing w:after="0"/>
      </w:pPr>
      <w:r>
        <w:rPr>
          <w:noProof/>
        </w:rPr>
        <w:drawing>
          <wp:inline distT="0" distB="0" distL="0" distR="0" wp14:anchorId="2AB00BA6" wp14:editId="0BD15FEF">
            <wp:extent cx="5226269" cy="2178729"/>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5265468" cy="2195070"/>
                    </a:xfrm>
                    <a:prstGeom prst="rect">
                      <a:avLst/>
                    </a:prstGeom>
                  </pic:spPr>
                </pic:pic>
              </a:graphicData>
            </a:graphic>
          </wp:inline>
        </w:drawing>
      </w:r>
    </w:p>
    <w:p w14:paraId="7D01F03F" w14:textId="3C2C407E" w:rsidR="001E35CC" w:rsidRDefault="001D439C" w:rsidP="001D439C">
      <w:pPr>
        <w:pStyle w:val="Caption"/>
        <w:spacing w:before="0" w:line="240" w:lineRule="auto"/>
        <w:jc w:val="both"/>
      </w:pPr>
      <w:bookmarkStart w:id="0" w:name="_Ref169637532"/>
      <w:bookmarkStart w:id="1" w:name="_Ref169637322"/>
      <w:r>
        <w:t xml:space="preserve">Figure </w:t>
      </w:r>
      <w:fldSimple w:instr=" SEQ Figure \* ARABIC ">
        <w:r w:rsidR="001C4294">
          <w:rPr>
            <w:noProof/>
          </w:rPr>
          <w:t>1</w:t>
        </w:r>
      </w:fldSimple>
      <w:bookmarkEnd w:id="0"/>
      <w:r w:rsidR="008A04EC">
        <w:t>.</w:t>
      </w:r>
      <w:r>
        <w:t xml:space="preserve"> the </w:t>
      </w:r>
      <w:r w:rsidRPr="001D439C">
        <w:t>financial cycle index</w:t>
      </w:r>
      <w:r>
        <w:t xml:space="preserve">, </w:t>
      </w:r>
      <w:r w:rsidRPr="001D439C">
        <w:t>financial</w:t>
      </w:r>
      <w:r>
        <w:t xml:space="preserve"> conditions index and real GDP growth. The FCyI and FCI are normalized to have zero mean and a </w:t>
      </w:r>
      <w:r w:rsidRPr="001D439C">
        <w:t>standard deviation</w:t>
      </w:r>
      <w:r>
        <w:t xml:space="preserve"> of one.</w:t>
      </w:r>
      <w:bookmarkEnd w:id="1"/>
    </w:p>
    <w:p w14:paraId="746E9D36" w14:textId="3462770A" w:rsidR="002358EE" w:rsidRDefault="00305DDF" w:rsidP="00117AD6">
      <w:pPr>
        <w:spacing w:before="240"/>
      </w:pPr>
      <w:r>
        <w:t xml:space="preserve">Macroprudential has also managed to play its role in these events. As we can see from </w:t>
      </w:r>
      <w:r>
        <w:fldChar w:fldCharType="begin"/>
      </w:r>
      <w:r>
        <w:instrText xml:space="preserve"> REF _Ref169639836 \h </w:instrText>
      </w:r>
      <w:r>
        <w:fldChar w:fldCharType="separate"/>
      </w:r>
      <w:r>
        <w:t xml:space="preserve">Figure </w:t>
      </w:r>
      <w:r>
        <w:rPr>
          <w:noProof/>
        </w:rPr>
        <w:t>2</w:t>
      </w:r>
      <w:r>
        <w:fldChar w:fldCharType="end"/>
      </w:r>
      <w:r>
        <w:t xml:space="preserve">, macroprudential policy in Armenia has implemented a lot of </w:t>
      </w:r>
      <w:r w:rsidR="00913DC1" w:rsidRPr="00913DC1">
        <w:t>tightening</w:t>
      </w:r>
      <w:r w:rsidR="00913DC1">
        <w:t xml:space="preserve"> measures after the 2009 crisis. After that, it managed to implement </w:t>
      </w:r>
      <w:r w:rsidR="00913DC1" w:rsidRPr="00913DC1">
        <w:t>loosening policies</w:t>
      </w:r>
      <w:r w:rsidR="00913DC1">
        <w:t xml:space="preserve"> in all three </w:t>
      </w:r>
      <w:r w:rsidR="00913DC1" w:rsidRPr="00913DC1">
        <w:t>proceeding</w:t>
      </w:r>
      <w:r w:rsidR="00913DC1">
        <w:t xml:space="preserve"> </w:t>
      </w:r>
      <w:r w:rsidR="00913DC1" w:rsidRPr="00913DC1">
        <w:t>crises</w:t>
      </w:r>
      <w:r w:rsidR="00913DC1">
        <w:t>.</w:t>
      </w:r>
    </w:p>
    <w:p w14:paraId="1D0A0481" w14:textId="77777777" w:rsidR="004036E7" w:rsidRDefault="004036E7" w:rsidP="004036E7">
      <w:pPr>
        <w:keepNext/>
        <w:spacing w:after="0"/>
      </w:pPr>
      <w:r>
        <w:rPr>
          <w:noProof/>
        </w:rPr>
        <w:lastRenderedPageBreak/>
        <w:drawing>
          <wp:inline distT="0" distB="0" distL="0" distR="0" wp14:anchorId="7E617BA3" wp14:editId="2BE519FE">
            <wp:extent cx="4251658" cy="2049517"/>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4323684" cy="2084237"/>
                    </a:xfrm>
                    <a:prstGeom prst="rect">
                      <a:avLst/>
                    </a:prstGeom>
                  </pic:spPr>
                </pic:pic>
              </a:graphicData>
            </a:graphic>
          </wp:inline>
        </w:drawing>
      </w:r>
    </w:p>
    <w:p w14:paraId="706B97B1" w14:textId="2AA43164" w:rsidR="004036E7" w:rsidRDefault="004036E7" w:rsidP="004036E7">
      <w:pPr>
        <w:pStyle w:val="Caption"/>
        <w:spacing w:before="0"/>
        <w:jc w:val="both"/>
      </w:pPr>
      <w:bookmarkStart w:id="2" w:name="_Ref169639836"/>
      <w:r>
        <w:t xml:space="preserve">Figure </w:t>
      </w:r>
      <w:fldSimple w:instr=" SEQ Figure \* ARABIC ">
        <w:r w:rsidR="001C4294">
          <w:rPr>
            <w:noProof/>
          </w:rPr>
          <w:t>2</w:t>
        </w:r>
      </w:fldSimple>
      <w:bookmarkEnd w:id="2"/>
      <w:r>
        <w:t xml:space="preserve">. </w:t>
      </w:r>
      <w:r w:rsidRPr="004036E7">
        <w:rPr>
          <w:b w:val="0"/>
          <w:bCs/>
        </w:rPr>
        <w:t>Use of</w:t>
      </w:r>
      <w:r>
        <w:t xml:space="preserve"> </w:t>
      </w:r>
      <w:r w:rsidRPr="004036E7">
        <w:rPr>
          <w:b w:val="0"/>
          <w:bCs/>
        </w:rPr>
        <w:t>macroprudential policy in Armenia</w:t>
      </w:r>
    </w:p>
    <w:p w14:paraId="48F1EFE0" w14:textId="5543F3C5" w:rsidR="004036E7" w:rsidRDefault="00913DC1" w:rsidP="004036E7">
      <w:r>
        <w:t xml:space="preserve">In </w:t>
      </w:r>
      <w:r>
        <w:fldChar w:fldCharType="begin"/>
      </w:r>
      <w:r>
        <w:instrText xml:space="preserve"> REF _Ref169640150 \h </w:instrText>
      </w:r>
      <w:r>
        <w:fldChar w:fldCharType="separate"/>
      </w:r>
      <w:r>
        <w:t xml:space="preserve">Figure </w:t>
      </w:r>
      <w:r>
        <w:rPr>
          <w:noProof/>
        </w:rPr>
        <w:t>3</w:t>
      </w:r>
      <w:r>
        <w:fldChar w:fldCharType="end"/>
      </w:r>
      <w:r>
        <w:t xml:space="preserve">, we compare the GDP distribution of Armenia during the </w:t>
      </w:r>
      <w:r w:rsidRPr="00913DC1">
        <w:t>tightening</w:t>
      </w:r>
      <w:r>
        <w:t xml:space="preserve"> and </w:t>
      </w:r>
      <w:r w:rsidRPr="00913DC1">
        <w:t>loosening</w:t>
      </w:r>
      <w:r>
        <w:t xml:space="preserve"> windows to identify on how they could have reshaped the distribution. During </w:t>
      </w:r>
      <w:r w:rsidRPr="00913DC1">
        <w:t>tightening</w:t>
      </w:r>
      <w:r>
        <w:t xml:space="preserve">, we see that the distribution had much more certain, but less </w:t>
      </w:r>
      <w:r w:rsidRPr="00913DC1">
        <w:t>severe</w:t>
      </w:r>
      <w:r>
        <w:t xml:space="preserve"> tails. </w:t>
      </w:r>
      <w:r w:rsidR="008A04EC">
        <w:t xml:space="preserve">Meanwhile, during </w:t>
      </w:r>
      <w:r w:rsidR="008A04EC" w:rsidRPr="00913DC1">
        <w:t>loosening</w:t>
      </w:r>
      <w:r w:rsidR="008A04EC">
        <w:t xml:space="preserve"> periods we observe historically shorter tails and quicker recovery. </w:t>
      </w:r>
    </w:p>
    <w:p w14:paraId="5268BB3E" w14:textId="72FA6405" w:rsidR="004036E7" w:rsidRDefault="004036E7" w:rsidP="004036E7">
      <w:r>
        <w:rPr>
          <w:noProof/>
        </w:rPr>
        <w:drawing>
          <wp:inline distT="0" distB="0" distL="0" distR="0" wp14:anchorId="0ADC1047" wp14:editId="070140EF">
            <wp:extent cx="5323205" cy="15764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385057" cy="1594806"/>
                    </a:xfrm>
                    <a:prstGeom prst="rect">
                      <a:avLst/>
                    </a:prstGeom>
                  </pic:spPr>
                </pic:pic>
              </a:graphicData>
            </a:graphic>
          </wp:inline>
        </w:drawing>
      </w:r>
    </w:p>
    <w:p w14:paraId="068D53F3" w14:textId="77777777" w:rsidR="004036E7" w:rsidRDefault="004036E7" w:rsidP="004036E7">
      <w:pPr>
        <w:keepNext/>
      </w:pPr>
      <w:r>
        <w:rPr>
          <w:noProof/>
        </w:rPr>
        <w:drawing>
          <wp:inline distT="0" distB="0" distL="0" distR="0" wp14:anchorId="63BF4602" wp14:editId="1C9DFD9C">
            <wp:extent cx="5228134" cy="1555034"/>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stretch>
                      <a:fillRect/>
                    </a:stretch>
                  </pic:blipFill>
                  <pic:spPr>
                    <a:xfrm>
                      <a:off x="0" y="0"/>
                      <a:ext cx="5329695" cy="1585242"/>
                    </a:xfrm>
                    <a:prstGeom prst="rect">
                      <a:avLst/>
                    </a:prstGeom>
                  </pic:spPr>
                </pic:pic>
              </a:graphicData>
            </a:graphic>
          </wp:inline>
        </w:drawing>
      </w:r>
    </w:p>
    <w:p w14:paraId="49AA6738" w14:textId="1D96A553" w:rsidR="004036E7" w:rsidRPr="004036E7" w:rsidRDefault="004036E7" w:rsidP="004036E7">
      <w:pPr>
        <w:pStyle w:val="Caption"/>
        <w:jc w:val="both"/>
        <w:rPr>
          <w:b w:val="0"/>
          <w:bCs/>
        </w:rPr>
      </w:pPr>
      <w:bookmarkStart w:id="3" w:name="_Ref169640150"/>
      <w:r>
        <w:t xml:space="preserve">Figure </w:t>
      </w:r>
      <w:fldSimple w:instr=" SEQ Figure \* ARABIC ">
        <w:r w:rsidR="001C4294">
          <w:rPr>
            <w:noProof/>
          </w:rPr>
          <w:t>3</w:t>
        </w:r>
      </w:fldSimple>
      <w:bookmarkEnd w:id="3"/>
      <w:r>
        <w:t xml:space="preserve">. </w:t>
      </w:r>
      <w:r>
        <w:rPr>
          <w:b w:val="0"/>
          <w:bCs/>
        </w:rPr>
        <w:t xml:space="preserve">GDP growth distribution of Armenia, during the macroprudential policy </w:t>
      </w:r>
      <w:r w:rsidRPr="004036E7">
        <w:rPr>
          <w:b w:val="0"/>
          <w:bCs/>
        </w:rPr>
        <w:t>tightening and loosening</w:t>
      </w:r>
      <w:r>
        <w:rPr>
          <w:b w:val="0"/>
          <w:bCs/>
        </w:rPr>
        <w:t xml:space="preserve"> periods</w:t>
      </w:r>
    </w:p>
    <w:p w14:paraId="3A0B0783" w14:textId="77777777" w:rsidR="004036E7" w:rsidRDefault="004036E7" w:rsidP="004036E7"/>
    <w:p w14:paraId="32C19EB2" w14:textId="4331793A" w:rsidR="004036E7" w:rsidRDefault="008A04EC" w:rsidP="00F52542">
      <w:r>
        <w:t xml:space="preserve">It should be noted that the shorter observed tails in </w:t>
      </w:r>
      <w:r>
        <w:fldChar w:fldCharType="begin"/>
      </w:r>
      <w:r>
        <w:instrText xml:space="preserve"> REF _Ref169640150 \h </w:instrText>
      </w:r>
      <w:r>
        <w:fldChar w:fldCharType="separate"/>
      </w:r>
      <w:r>
        <w:t xml:space="preserve">Figure </w:t>
      </w:r>
      <w:r>
        <w:rPr>
          <w:noProof/>
        </w:rPr>
        <w:t>3</w:t>
      </w:r>
      <w:r>
        <w:fldChar w:fldCharType="end"/>
      </w:r>
      <w:r>
        <w:t xml:space="preserve">, also stem from the fact that macroprudential policy was implemented after 2009 </w:t>
      </w:r>
      <w:r w:rsidRPr="008A04EC">
        <w:t>financial crisis</w:t>
      </w:r>
      <w:r>
        <w:t>.</w:t>
      </w:r>
    </w:p>
    <w:p w14:paraId="32B8F7AA" w14:textId="38B176D0" w:rsidR="001E35CC" w:rsidRDefault="001E35CC" w:rsidP="00B719CA">
      <w:pPr>
        <w:pStyle w:val="SectionHeading"/>
        <w:numPr>
          <w:ilvl w:val="1"/>
          <w:numId w:val="8"/>
        </w:numPr>
      </w:pPr>
      <w:r>
        <w:lastRenderedPageBreak/>
        <w:t>Impact on GDP</w:t>
      </w:r>
    </w:p>
    <w:p w14:paraId="0B27DD43" w14:textId="2D005C5C" w:rsidR="00FB786B" w:rsidRDefault="008A04EC" w:rsidP="00FB786B">
      <w:r>
        <w:t>To better understand the effects of macroprudential policy, we estimate the model described in eq. 9.</w:t>
      </w:r>
      <w:r w:rsidR="00520796">
        <w:t xml:space="preserve"> In </w:t>
      </w:r>
      <w:r w:rsidR="00520796">
        <w:fldChar w:fldCharType="begin"/>
      </w:r>
      <w:r w:rsidR="00520796">
        <w:instrText xml:space="preserve"> REF _Ref169641594 \h </w:instrText>
      </w:r>
      <w:r w:rsidR="00520796">
        <w:fldChar w:fldCharType="separate"/>
      </w:r>
      <w:r w:rsidR="00520796">
        <w:t xml:space="preserve">Figure </w:t>
      </w:r>
      <w:r w:rsidR="00520796">
        <w:rPr>
          <w:noProof/>
        </w:rPr>
        <w:t>4</w:t>
      </w:r>
      <w:r w:rsidR="00520796">
        <w:fldChar w:fldCharType="end"/>
      </w:r>
      <w:r w:rsidR="00520796">
        <w:t xml:space="preserve"> we plot the goodness of fit for our quantile regression models across </w:t>
      </w:r>
      <w:r w:rsidR="004754D0">
        <w:t xml:space="preserve">the </w:t>
      </w:r>
      <w:r w:rsidR="00520796">
        <w:t>quantiles and horizons. Horizons 4, 8</w:t>
      </w:r>
      <w:r w:rsidR="00A80B64">
        <w:t xml:space="preserve"> and </w:t>
      </w:r>
      <w:r w:rsidR="00520796">
        <w:t xml:space="preserve">12 are </w:t>
      </w:r>
      <w:r w:rsidR="00520796" w:rsidRPr="00520796">
        <w:t>equivalent</w:t>
      </w:r>
      <w:r w:rsidR="00520796">
        <w:t xml:space="preserve"> to </w:t>
      </w:r>
      <w:r w:rsidR="00520796" w:rsidRPr="00520796">
        <w:t>annualized</w:t>
      </w:r>
      <w:r w:rsidR="00520796">
        <w:t xml:space="preserve"> 1, 2 and 3 </w:t>
      </w:r>
      <w:r w:rsidR="00A80B64">
        <w:t>years</w:t>
      </w:r>
      <w:r w:rsidR="00520796">
        <w:t xml:space="preserve"> ahead GDP growth </w:t>
      </w:r>
      <w:r w:rsidR="00520796" w:rsidRPr="00520796">
        <w:t>estimates</w:t>
      </w:r>
      <w:r w:rsidR="00520796">
        <w:t>.</w:t>
      </w:r>
      <w:r w:rsidR="00A80B64">
        <w:t xml:space="preserve"> From the charts we can observe that the model achieves best results in the lower quantiles of the GDP growth distribution. This outcome is by design since our aim isn’t to perform accurate GDP forecasts, but rather to be able to estimate the GDP distribution in its entirety, with our focus being GaR.</w:t>
      </w:r>
    </w:p>
    <w:p w14:paraId="70C81A7D" w14:textId="77777777" w:rsidR="008A04EC" w:rsidRDefault="00FB786B" w:rsidP="008A04EC">
      <w:pPr>
        <w:keepNext/>
      </w:pPr>
      <w:r>
        <w:rPr>
          <w:noProof/>
        </w:rPr>
        <w:drawing>
          <wp:inline distT="0" distB="0" distL="0" distR="0" wp14:anchorId="2AD917E9" wp14:editId="34AC89B5">
            <wp:extent cx="5479420" cy="16168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a:fillRect/>
                    </a:stretch>
                  </pic:blipFill>
                  <pic:spPr>
                    <a:xfrm>
                      <a:off x="0" y="0"/>
                      <a:ext cx="5541606" cy="1635247"/>
                    </a:xfrm>
                    <a:prstGeom prst="rect">
                      <a:avLst/>
                    </a:prstGeom>
                  </pic:spPr>
                </pic:pic>
              </a:graphicData>
            </a:graphic>
          </wp:inline>
        </w:drawing>
      </w:r>
    </w:p>
    <w:p w14:paraId="2158BCDE" w14:textId="4989922C" w:rsidR="00FB786B" w:rsidRDefault="008A04EC" w:rsidP="008A04EC">
      <w:pPr>
        <w:pStyle w:val="Caption"/>
        <w:jc w:val="both"/>
      </w:pPr>
      <w:bookmarkStart w:id="4" w:name="_Ref169641594"/>
      <w:r>
        <w:t xml:space="preserve">Figure </w:t>
      </w:r>
      <w:fldSimple w:instr=" SEQ Figure \* ARABIC ">
        <w:r w:rsidR="001C4294">
          <w:rPr>
            <w:noProof/>
          </w:rPr>
          <w:t>4</w:t>
        </w:r>
      </w:fldSimple>
      <w:bookmarkEnd w:id="4"/>
      <w:r>
        <w:t xml:space="preserve">. </w:t>
      </w:r>
      <w:r w:rsidR="004754D0">
        <w:t>P</w:t>
      </w:r>
      <w:r w:rsidR="00520796" w:rsidRPr="00520796">
        <w:t>seudo r</w:t>
      </w:r>
      <w:r w:rsidR="00520796">
        <w:t>-</w:t>
      </w:r>
      <w:r w:rsidR="00520796" w:rsidRPr="00520796">
        <w:t>squared</w:t>
      </w:r>
      <w:r w:rsidR="00520796">
        <w:t xml:space="preserve"> for </w:t>
      </w:r>
      <w:r w:rsidR="00520796" w:rsidRPr="00520796">
        <w:t>quantile regression</w:t>
      </w:r>
      <w:r w:rsidR="00520796">
        <w:t xml:space="preserve"> estimates across </w:t>
      </w:r>
      <w:r w:rsidR="00520796" w:rsidRPr="00520796">
        <w:t>quantiles</w:t>
      </w:r>
      <w:r w:rsidR="00520796">
        <w:t xml:space="preserve"> and horizons. OLS </w:t>
      </w:r>
      <w:r w:rsidR="00520796" w:rsidRPr="00520796">
        <w:t>r</w:t>
      </w:r>
      <w:r w:rsidR="00520796">
        <w:t>-</w:t>
      </w:r>
      <w:r w:rsidR="00520796" w:rsidRPr="00520796">
        <w:t>squared</w:t>
      </w:r>
      <w:r w:rsidR="00520796">
        <w:t xml:space="preserve"> displayed as a dashed line. Note: generally, </w:t>
      </w:r>
      <w:r w:rsidR="00520796" w:rsidRPr="00520796">
        <w:t>quantile regression</w:t>
      </w:r>
      <w:r w:rsidR="00520796">
        <w:t xml:space="preserve"> and OLS </w:t>
      </w:r>
      <w:r w:rsidR="00520796" w:rsidRPr="00520796">
        <w:t>r</w:t>
      </w:r>
      <w:r w:rsidR="00520796">
        <w:t>-</w:t>
      </w:r>
      <w:r w:rsidR="00520796" w:rsidRPr="00520796">
        <w:t>squared</w:t>
      </w:r>
      <w:r w:rsidR="00520796">
        <w:t xml:space="preserve"> aren’t comparable. They are here for </w:t>
      </w:r>
      <w:r w:rsidR="00520796" w:rsidRPr="00520796">
        <w:t>convenience</w:t>
      </w:r>
      <w:r w:rsidR="00520796">
        <w:t>.</w:t>
      </w:r>
    </w:p>
    <w:p w14:paraId="132D26FA" w14:textId="12467432" w:rsidR="00730B51" w:rsidRDefault="000A7310" w:rsidP="00730B51">
      <w:pPr>
        <w:spacing w:before="240" w:after="0"/>
        <w:ind w:firstLine="284"/>
      </w:pPr>
      <w:r>
        <w:t xml:space="preserve">In </w:t>
      </w:r>
      <w:r>
        <w:fldChar w:fldCharType="begin"/>
      </w:r>
      <w:r>
        <w:instrText xml:space="preserve"> REF _Ref169642405 \h </w:instrText>
      </w:r>
      <w:r>
        <w:fldChar w:fldCharType="separate"/>
      </w:r>
      <w:r>
        <w:t xml:space="preserve">Figure </w:t>
      </w:r>
      <w:r>
        <w:rPr>
          <w:noProof/>
        </w:rPr>
        <w:t>5</w:t>
      </w:r>
      <w:r>
        <w:fldChar w:fldCharType="end"/>
      </w:r>
      <w:r>
        <w:t xml:space="preserve">, we plot </w:t>
      </w:r>
      <w:r w:rsidR="00D94C7D">
        <w:t xml:space="preserve">the quantile regression estimates for the four key variables in the model. From </w:t>
      </w:r>
      <w:r w:rsidR="00730B51">
        <w:t xml:space="preserve">the </w:t>
      </w:r>
      <w:r w:rsidR="00D94C7D">
        <w:t xml:space="preserve">chats we can observe the heterogeneous effects of MPI. In the short run MPI has positive effect on the tail, and negative effects on the median. The short-run effects of MPI are </w:t>
      </w:r>
      <w:r w:rsidR="00D94C7D" w:rsidRPr="00D94C7D">
        <w:t>insignificant</w:t>
      </w:r>
      <w:r w:rsidR="00D94C7D">
        <w:t xml:space="preserve"> at the 95% </w:t>
      </w:r>
      <w:r w:rsidR="00D94C7D" w:rsidRPr="00D94C7D">
        <w:t>confidence intervals</w:t>
      </w:r>
      <w:r w:rsidR="00D94C7D">
        <w:t xml:space="preserve">, but they are significant at 90%. Meanwhile, at longer horizons MPI displays clear positive effects on both the </w:t>
      </w:r>
      <w:r w:rsidR="00730B51">
        <w:t>median</w:t>
      </w:r>
      <w:r w:rsidR="00D94C7D">
        <w:t xml:space="preserve"> and the </w:t>
      </w:r>
      <w:r w:rsidR="00730B51">
        <w:t xml:space="preserve">tail. </w:t>
      </w:r>
    </w:p>
    <w:p w14:paraId="33E467A0" w14:textId="28ED73CC" w:rsidR="00730B51" w:rsidRDefault="00730B51" w:rsidP="00730B51">
      <w:pPr>
        <w:ind w:firstLine="284"/>
      </w:pPr>
      <w:r>
        <w:t xml:space="preserve">We also observe the heterogeneous effects in FCyI, that said, most of these effects are insignificant in the short run. The FCyI displays negative effects on the GDP distribution the long run. This is in line with the theory of business and financial cycles </w:t>
      </w:r>
      <w:r w:rsidR="0040207D">
        <w:t>where</w:t>
      </w:r>
      <w:r>
        <w:t xml:space="preserve"> a maturity or a peak</w:t>
      </w:r>
      <w:r w:rsidR="00280866">
        <w:t xml:space="preserve"> phase</w:t>
      </w:r>
      <w:r>
        <w:t xml:space="preserve"> is followed by a </w:t>
      </w:r>
      <w:r w:rsidR="0040207D" w:rsidRPr="0040207D">
        <w:t>contraction</w:t>
      </w:r>
      <w:r w:rsidR="0040207D">
        <w:t>.</w:t>
      </w:r>
    </w:p>
    <w:p w14:paraId="57733C74" w14:textId="358830AE" w:rsidR="004F1BA1" w:rsidRDefault="00FB786B" w:rsidP="00264A97">
      <w:r>
        <w:rPr>
          <w:noProof/>
        </w:rPr>
        <w:drawing>
          <wp:inline distT="0" distB="0" distL="0" distR="0" wp14:anchorId="0E13D807" wp14:editId="2B5AC4A4">
            <wp:extent cx="5943600" cy="11677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stretch>
                      <a:fillRect/>
                    </a:stretch>
                  </pic:blipFill>
                  <pic:spPr>
                    <a:xfrm>
                      <a:off x="0" y="0"/>
                      <a:ext cx="5943600" cy="1167765"/>
                    </a:xfrm>
                    <a:prstGeom prst="rect">
                      <a:avLst/>
                    </a:prstGeom>
                  </pic:spPr>
                </pic:pic>
              </a:graphicData>
            </a:graphic>
          </wp:inline>
        </w:drawing>
      </w:r>
    </w:p>
    <w:p w14:paraId="44C05E40" w14:textId="74D1768A" w:rsidR="00FB786B" w:rsidRDefault="00FB786B" w:rsidP="00264A97">
      <w:r>
        <w:rPr>
          <w:noProof/>
        </w:rPr>
        <w:lastRenderedPageBreak/>
        <w:drawing>
          <wp:inline distT="0" distB="0" distL="0" distR="0" wp14:anchorId="5A01D49E" wp14:editId="6D446B33">
            <wp:extent cx="5943600" cy="11639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stretch>
                      <a:fillRect/>
                    </a:stretch>
                  </pic:blipFill>
                  <pic:spPr>
                    <a:xfrm>
                      <a:off x="0" y="0"/>
                      <a:ext cx="5943600" cy="1163955"/>
                    </a:xfrm>
                    <a:prstGeom prst="rect">
                      <a:avLst/>
                    </a:prstGeom>
                  </pic:spPr>
                </pic:pic>
              </a:graphicData>
            </a:graphic>
          </wp:inline>
        </w:drawing>
      </w:r>
    </w:p>
    <w:p w14:paraId="22BD8572" w14:textId="243DD5D7" w:rsidR="00FB786B" w:rsidRDefault="00FB786B" w:rsidP="00264A97">
      <w:r>
        <w:rPr>
          <w:noProof/>
        </w:rPr>
        <w:drawing>
          <wp:inline distT="0" distB="0" distL="0" distR="0" wp14:anchorId="0B3FC085" wp14:editId="0FFAD158">
            <wp:extent cx="5943600" cy="1157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stretch>
                      <a:fillRect/>
                    </a:stretch>
                  </pic:blipFill>
                  <pic:spPr>
                    <a:xfrm>
                      <a:off x="0" y="0"/>
                      <a:ext cx="5943600" cy="1157605"/>
                    </a:xfrm>
                    <a:prstGeom prst="rect">
                      <a:avLst/>
                    </a:prstGeom>
                  </pic:spPr>
                </pic:pic>
              </a:graphicData>
            </a:graphic>
          </wp:inline>
        </w:drawing>
      </w:r>
    </w:p>
    <w:p w14:paraId="0A4BD7BC" w14:textId="77777777" w:rsidR="004754D0" w:rsidRDefault="00FB786B" w:rsidP="004754D0">
      <w:pPr>
        <w:keepNext/>
      </w:pPr>
      <w:r>
        <w:rPr>
          <w:noProof/>
        </w:rPr>
        <w:drawing>
          <wp:inline distT="0" distB="0" distL="0" distR="0" wp14:anchorId="6A28CC34" wp14:editId="48F3F078">
            <wp:extent cx="5943600" cy="11677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stretch>
                      <a:fillRect/>
                    </a:stretch>
                  </pic:blipFill>
                  <pic:spPr>
                    <a:xfrm>
                      <a:off x="0" y="0"/>
                      <a:ext cx="5943600" cy="1167765"/>
                    </a:xfrm>
                    <a:prstGeom prst="rect">
                      <a:avLst/>
                    </a:prstGeom>
                  </pic:spPr>
                </pic:pic>
              </a:graphicData>
            </a:graphic>
          </wp:inline>
        </w:drawing>
      </w:r>
    </w:p>
    <w:p w14:paraId="73416DC6" w14:textId="16F87F96" w:rsidR="00FB786B" w:rsidRDefault="004754D0" w:rsidP="004754D0">
      <w:pPr>
        <w:pStyle w:val="Caption"/>
        <w:jc w:val="both"/>
      </w:pPr>
      <w:bookmarkStart w:id="5" w:name="_Ref169642405"/>
      <w:r>
        <w:t xml:space="preserve">Figure </w:t>
      </w:r>
      <w:fldSimple w:instr=" SEQ Figure \* ARABIC ">
        <w:r w:rsidR="001C4294">
          <w:rPr>
            <w:noProof/>
          </w:rPr>
          <w:t>5</w:t>
        </w:r>
      </w:fldSimple>
      <w:bookmarkEnd w:id="5"/>
      <w:r>
        <w:t xml:space="preserve">. </w:t>
      </w:r>
      <w:r w:rsidRPr="000A7310">
        <w:rPr>
          <w:b w:val="0"/>
          <w:bCs/>
        </w:rPr>
        <w:t>Estimated quantile regression coefficients for horizons 4, 8 and 12. The grey shaded areas represent the 95% confidence intervals. The dashed horizontal line represents the OLS coefficient.</w:t>
      </w:r>
    </w:p>
    <w:p w14:paraId="5EAE5AF8" w14:textId="22E44CCB" w:rsidR="002D1C6C" w:rsidRDefault="00280866" w:rsidP="002D1C6C">
      <w:pPr>
        <w:spacing w:before="240" w:after="0"/>
        <w:ind w:firstLine="284"/>
      </w:pPr>
      <w:r>
        <w:t>The FCI is also insignificant in the short-run and yet shows heterogeneous effects in the long-run. As one might expect financial stress</w:t>
      </w:r>
      <w:r w:rsidR="002D1C6C">
        <w:t xml:space="preserve"> has cyclical properties and thus low stress today indicates a negative effect on</w:t>
      </w:r>
      <w:r>
        <w:t xml:space="preserve"> the median of the GDP growth distribution</w:t>
      </w:r>
      <w:r w:rsidR="002D1C6C">
        <w:t xml:space="preserve"> in the future</w:t>
      </w:r>
      <w:r>
        <w:t>. Interestingly enough, the long run FCI effects on the tail are insignificant. This</w:t>
      </w:r>
      <w:r w:rsidR="002D1C6C">
        <w:t xml:space="preserve"> could</w:t>
      </w:r>
      <w:r>
        <w:t xml:space="preserve"> suggest that the realization of tailed risk</w:t>
      </w:r>
      <w:r w:rsidR="002D1C6C">
        <w:t xml:space="preserve">s don’t </w:t>
      </w:r>
      <w:r w:rsidR="002D1C6C" w:rsidRPr="002D1C6C">
        <w:t xml:space="preserve">necessarily </w:t>
      </w:r>
      <w:r w:rsidR="002D1C6C">
        <w:t xml:space="preserve">determine the </w:t>
      </w:r>
      <w:r w:rsidR="002D1C6C" w:rsidRPr="002D1C6C">
        <w:t>severity</w:t>
      </w:r>
      <w:r w:rsidR="002D1C6C">
        <w:t xml:space="preserve"> of tail events. </w:t>
      </w:r>
    </w:p>
    <w:p w14:paraId="2B62D047" w14:textId="3E25954C" w:rsidR="002D1C6C" w:rsidRDefault="002D1C6C" w:rsidP="00236D65">
      <w:pPr>
        <w:spacing w:before="240"/>
        <w:ind w:firstLine="284"/>
      </w:pPr>
      <w:r>
        <w:t xml:space="preserve">In </w:t>
      </w:r>
      <w:r>
        <w:fldChar w:fldCharType="begin"/>
      </w:r>
      <w:r>
        <w:instrText xml:space="preserve"> REF _Ref169644889 \h </w:instrText>
      </w:r>
      <w:r>
        <w:fldChar w:fldCharType="separate"/>
      </w:r>
      <w:r>
        <w:t xml:space="preserve">Figure </w:t>
      </w:r>
      <w:r>
        <w:rPr>
          <w:noProof/>
        </w:rPr>
        <w:t>6</w:t>
      </w:r>
      <w:r>
        <w:fldChar w:fldCharType="end"/>
      </w:r>
      <w:r>
        <w:t xml:space="preserve">, we present </w:t>
      </w:r>
      <w:r w:rsidR="00A41216">
        <w:t>normalized coefficients for the 4-horizon median and tail quantile regression models. The variables with the strongest effects on the median include the FCyI, FCI, CPI and trade balance. Meanwhile, the variables with the strongest effects on the tail are m</w:t>
      </w:r>
      <w:r w:rsidR="00A41216" w:rsidRPr="00A41216">
        <w:t>ortgage flows</w:t>
      </w:r>
      <w:r w:rsidR="00A41216">
        <w:t>, liquidity ratio, MPI and FCyI.</w:t>
      </w:r>
    </w:p>
    <w:p w14:paraId="2AFE5E71" w14:textId="77777777" w:rsidR="002D1C6C" w:rsidRDefault="00DB55F3" w:rsidP="002D1C6C">
      <w:pPr>
        <w:keepNext/>
      </w:pPr>
      <w:r>
        <w:rPr>
          <w:noProof/>
        </w:rPr>
        <w:lastRenderedPageBreak/>
        <w:drawing>
          <wp:inline distT="0" distB="0" distL="0" distR="0" wp14:anchorId="245E9DAE" wp14:editId="069D8128">
            <wp:extent cx="5943600" cy="30924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stretch>
                      <a:fillRect/>
                    </a:stretch>
                  </pic:blipFill>
                  <pic:spPr>
                    <a:xfrm>
                      <a:off x="0" y="0"/>
                      <a:ext cx="5943600" cy="3092450"/>
                    </a:xfrm>
                    <a:prstGeom prst="rect">
                      <a:avLst/>
                    </a:prstGeom>
                  </pic:spPr>
                </pic:pic>
              </a:graphicData>
            </a:graphic>
          </wp:inline>
        </w:drawing>
      </w:r>
    </w:p>
    <w:p w14:paraId="0595E599" w14:textId="46AA94B6" w:rsidR="00FB786B" w:rsidRPr="001C4294" w:rsidRDefault="002D1C6C" w:rsidP="002D1C6C">
      <w:pPr>
        <w:pStyle w:val="Caption"/>
        <w:jc w:val="both"/>
        <w:rPr>
          <w:b w:val="0"/>
          <w:bCs/>
        </w:rPr>
      </w:pPr>
      <w:bookmarkStart w:id="6" w:name="_Ref169644889"/>
      <w:r>
        <w:t xml:space="preserve">Figure </w:t>
      </w:r>
      <w:fldSimple w:instr=" SEQ Figure \* ARABIC ">
        <w:r w:rsidR="001C4294">
          <w:rPr>
            <w:noProof/>
          </w:rPr>
          <w:t>6</w:t>
        </w:r>
      </w:fldSimple>
      <w:bookmarkEnd w:id="6"/>
      <w:r>
        <w:t xml:space="preserve">. </w:t>
      </w:r>
      <w:r w:rsidRPr="001C4294">
        <w:rPr>
          <w:b w:val="0"/>
          <w:bCs/>
        </w:rPr>
        <w:t>Normalized quantile regression coefficients for horizon 4. In the figure we present the coefficients for quantiles 0.5 (median) and 0.1 (tail).</w:t>
      </w:r>
    </w:p>
    <w:p w14:paraId="35BAB9B6" w14:textId="2398958F" w:rsidR="004F1BA1" w:rsidRDefault="004F1BA1" w:rsidP="00B719CA">
      <w:pPr>
        <w:pStyle w:val="SectionHeading"/>
        <w:spacing w:before="240"/>
      </w:pPr>
      <w:r>
        <w:t xml:space="preserve">The optimal policy </w:t>
      </w:r>
      <w:proofErr w:type="gramStart"/>
      <w:r>
        <w:t>rul</w:t>
      </w:r>
      <w:r w:rsidR="00264A97">
        <w:t>e</w:t>
      </w:r>
      <w:proofErr w:type="gramEnd"/>
    </w:p>
    <w:p w14:paraId="267857D8" w14:textId="0877069E" w:rsidR="00261E1B" w:rsidRDefault="00C77313" w:rsidP="006D1291">
      <w:pPr>
        <w:ind w:firstLine="284"/>
      </w:pPr>
      <w:r>
        <w:t xml:space="preserve">To showcase the ability of the model for making macroprudential policy recommendations, we perform a 1 year ahead forecast with and without policy interventions. The results for this simulation are presented in </w:t>
      </w:r>
      <w:r>
        <w:fldChar w:fldCharType="begin"/>
      </w:r>
      <w:r>
        <w:instrText xml:space="preserve"> REF _Ref169645934 \h </w:instrText>
      </w:r>
      <w:r>
        <w:fldChar w:fldCharType="separate"/>
      </w:r>
      <w:r>
        <w:t xml:space="preserve">Figure </w:t>
      </w:r>
      <w:r>
        <w:rPr>
          <w:noProof/>
        </w:rPr>
        <w:t>7</w:t>
      </w:r>
      <w:r>
        <w:fldChar w:fldCharType="end"/>
      </w:r>
      <w:r>
        <w:t xml:space="preserve">. </w:t>
      </w:r>
      <w:r w:rsidR="00261E1B">
        <w:t>First,</w:t>
      </w:r>
      <w:r>
        <w:t xml:space="preserve"> we observe that according the forecast, the GDP distribution is going to shift to the right, improving both the median and the tail</w:t>
      </w:r>
      <w:r w:rsidR="00EB0D57">
        <w:t xml:space="preserve">. </w:t>
      </w:r>
      <w:r w:rsidR="00261E1B">
        <w:t xml:space="preserve">The forecast will allow macroprudential policymakers to track the movements of the distribution and act accordingly. For example, if the we observed an increase in the median, but a reduction in the tail due the </w:t>
      </w:r>
      <w:r w:rsidR="00261E1B" w:rsidRPr="00261E1B">
        <w:t>heterogeneous</w:t>
      </w:r>
      <w:r w:rsidR="00261E1B">
        <w:t xml:space="preserve"> effects of the other variables, then </w:t>
      </w:r>
      <w:r w:rsidR="00261E1B" w:rsidRPr="00261E1B">
        <w:t>perhaps</w:t>
      </w:r>
      <w:r w:rsidR="00261E1B">
        <w:t xml:space="preserve"> a stricter policy action would have been recommended.</w:t>
      </w:r>
      <w:r w:rsidR="006D1291">
        <w:t xml:space="preserve"> Finally, the </w:t>
      </w:r>
      <w:r w:rsidR="006D1291" w:rsidRPr="006D1291">
        <w:t>welfare function</w:t>
      </w:r>
      <w:r w:rsidR="006D1291">
        <w:t xml:space="preserve"> proposed by </w:t>
      </w:r>
      <w:r w:rsidR="006D1291" w:rsidRPr="006D1291">
        <w:t>Suarez</w:t>
      </w:r>
      <w:r w:rsidR="006D1291">
        <w:t xml:space="preserve"> will allow </w:t>
      </w:r>
      <w:r w:rsidR="00236D65">
        <w:t>us</w:t>
      </w:r>
      <w:r w:rsidR="006D1291">
        <w:t xml:space="preserve"> to finetune </w:t>
      </w:r>
      <w:r w:rsidR="00236D65">
        <w:t>the</w:t>
      </w:r>
      <w:r w:rsidR="006D1291">
        <w:t xml:space="preserve"> response.</w:t>
      </w:r>
    </w:p>
    <w:p w14:paraId="363CDA9C" w14:textId="77777777" w:rsidR="001C4294" w:rsidRDefault="00DB55F3" w:rsidP="001C4294">
      <w:pPr>
        <w:pStyle w:val="SectionHeading"/>
        <w:numPr>
          <w:ilvl w:val="0"/>
          <w:numId w:val="0"/>
        </w:numPr>
        <w:ind w:left="360" w:hanging="360"/>
      </w:pPr>
      <w:r>
        <w:rPr>
          <w:noProof/>
        </w:rPr>
        <w:lastRenderedPageBreak/>
        <w:drawing>
          <wp:inline distT="0" distB="0" distL="0" distR="0" wp14:anchorId="640E16EF" wp14:editId="4F327553">
            <wp:extent cx="5943600" cy="2950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stretch>
                      <a:fillRect/>
                    </a:stretch>
                  </pic:blipFill>
                  <pic:spPr>
                    <a:xfrm>
                      <a:off x="0" y="0"/>
                      <a:ext cx="5943600" cy="2950845"/>
                    </a:xfrm>
                    <a:prstGeom prst="rect">
                      <a:avLst/>
                    </a:prstGeom>
                  </pic:spPr>
                </pic:pic>
              </a:graphicData>
            </a:graphic>
          </wp:inline>
        </w:drawing>
      </w:r>
    </w:p>
    <w:p w14:paraId="2A41B472" w14:textId="399F0BD0" w:rsidR="004F1BA1" w:rsidRDefault="001C4294" w:rsidP="001C4294">
      <w:pPr>
        <w:pStyle w:val="Caption"/>
        <w:jc w:val="left"/>
      </w:pPr>
      <w:bookmarkStart w:id="7" w:name="_Ref169645934"/>
      <w:r>
        <w:t xml:space="preserve">Figure </w:t>
      </w:r>
      <w:fldSimple w:instr=" SEQ Figure \* ARABIC ">
        <w:r>
          <w:rPr>
            <w:noProof/>
          </w:rPr>
          <w:t>7</w:t>
        </w:r>
      </w:fldSimple>
      <w:bookmarkEnd w:id="7"/>
      <w:r>
        <w:t xml:space="preserve">. </w:t>
      </w:r>
      <w:r w:rsidR="00C6068A">
        <w:t xml:space="preserve">One year ahead GDP distribution forecast and </w:t>
      </w:r>
      <w:r w:rsidR="00C6068A" w:rsidRPr="00C6068A">
        <w:t>optimal policy calibration</w:t>
      </w:r>
      <w:r w:rsidR="0024145B">
        <w:t xml:space="preserve">. Note: to achieve the distribution for the optimal policy case, MPI should increase by 1 (equivalent 0.5 step in CCyB). </w:t>
      </w:r>
      <w:r w:rsidR="00137885" w:rsidRPr="00137885">
        <w:t>Suarez</w:t>
      </w:r>
      <w:r w:rsidR="00137885">
        <w:t xml:space="preserve"> w (</w:t>
      </w:r>
      <w:r w:rsidR="00137885" w:rsidRPr="00137885">
        <w:t>aversion for financial</w:t>
      </w:r>
      <w:r w:rsidR="00137885">
        <w:t xml:space="preserve"> </w:t>
      </w:r>
      <w:r w:rsidR="00137885" w:rsidRPr="00137885">
        <w:t>instability</w:t>
      </w:r>
      <w:r w:rsidR="00137885">
        <w:t>) is assumed to be 0.1.</w:t>
      </w:r>
    </w:p>
    <w:p w14:paraId="5B5D04D5" w14:textId="24AE58B3" w:rsidR="00404682" w:rsidRDefault="00404682" w:rsidP="00B719CA">
      <w:pPr>
        <w:pStyle w:val="SectionHeading"/>
        <w:spacing w:before="240"/>
      </w:pPr>
      <w:r w:rsidRPr="008506FC">
        <w:t>Conclusion</w:t>
      </w:r>
    </w:p>
    <w:p w14:paraId="6EB0FD6C" w14:textId="43A9D153" w:rsidR="000D0E76" w:rsidRDefault="001E6D61" w:rsidP="00B15CC2">
      <w:pPr>
        <w:spacing w:after="0"/>
        <w:ind w:firstLine="284"/>
        <w:jc w:val="left"/>
      </w:pPr>
      <w:r>
        <w:t xml:space="preserve">In this paper, we develop a quantile regression framework for estimating the output growth distribution for the Armenian </w:t>
      </w:r>
      <w:r w:rsidRPr="001E6D61">
        <w:t>economy</w:t>
      </w:r>
      <w:r>
        <w:t xml:space="preserve">. Using this model, we derive effects for macroprudential policy, financial cycle index, financial conditions index and 8 other control variables. Additionally, we use this framework to perform forecasts for the output growth distribution. </w:t>
      </w:r>
      <w:r w:rsidR="00B15CC2">
        <w:t xml:space="preserve">We are able to </w:t>
      </w:r>
      <w:r w:rsidR="00B15CC2" w:rsidRPr="000A6C04">
        <w:t>quantify</w:t>
      </w:r>
      <w:r w:rsidR="00B15CC2">
        <w:t xml:space="preserve"> the buildup of systemic risk and arrive at an optimal macroprudential policy rule. This framework aims to improve the decision-making process of the policymaker by defining clear </w:t>
      </w:r>
      <w:r w:rsidR="00B15CC2" w:rsidRPr="000A6C04">
        <w:t>guideline</w:t>
      </w:r>
      <w:r w:rsidR="00B15CC2">
        <w:t xml:space="preserve">s for </w:t>
      </w:r>
      <w:r w:rsidR="00B15CC2" w:rsidRPr="000A6C04">
        <w:t>preemptive action</w:t>
      </w:r>
      <w:r w:rsidR="00B15CC2">
        <w:t>.</w:t>
      </w:r>
      <w:r w:rsidR="000D0E76">
        <w:br w:type="page"/>
      </w:r>
    </w:p>
    <w:sdt>
      <w:sdtPr>
        <w:id w:val="-902362327"/>
        <w:docPartObj>
          <w:docPartGallery w:val="Bibliographies"/>
          <w:docPartUnique/>
        </w:docPartObj>
      </w:sdtPr>
      <w:sdtContent>
        <w:p w14:paraId="25976E07" w14:textId="77777777" w:rsidR="000D0E76" w:rsidRDefault="000D0E76" w:rsidP="000D0E76">
          <w:pPr>
            <w:spacing w:after="0"/>
            <w:jc w:val="left"/>
          </w:pPr>
          <w:r w:rsidRPr="000D0E76">
            <w:rPr>
              <w:b/>
              <w:bCs/>
            </w:rPr>
            <w:t>References</w:t>
          </w:r>
        </w:p>
        <w:sdt>
          <w:sdtPr>
            <w:id w:val="111145805"/>
            <w:bibliography/>
          </w:sdtPr>
          <w:sdtContent>
            <w:p w14:paraId="54FCB8DC" w14:textId="77777777" w:rsidR="00790F65" w:rsidRDefault="000D0E76" w:rsidP="00790F65">
              <w:pPr>
                <w:pStyle w:val="Bibliography"/>
                <w:ind w:left="720" w:hanging="720"/>
                <w:rPr>
                  <w:noProof/>
                  <w:sz w:val="24"/>
                  <w:szCs w:val="24"/>
                </w:rPr>
              </w:pPr>
              <w:r>
                <w:fldChar w:fldCharType="begin"/>
              </w:r>
              <w:r>
                <w:instrText xml:space="preserve"> BIBLIOGRAPHY </w:instrText>
              </w:r>
              <w:r>
                <w:fldChar w:fldCharType="separate"/>
              </w:r>
              <w:r w:rsidR="00790F65">
                <w:rPr>
                  <w:noProof/>
                </w:rPr>
                <w:t xml:space="preserve">ESRB. (2018). </w:t>
              </w:r>
              <w:r w:rsidR="00790F65">
                <w:rPr>
                  <w:i/>
                  <w:iCs/>
                  <w:noProof/>
                </w:rPr>
                <w:t>European Systemic Risk Board A Review of Macroprudential Policy in the EU in 2017.</w:t>
              </w:r>
              <w:r w:rsidR="00790F65">
                <w:rPr>
                  <w:noProof/>
                </w:rPr>
                <w:t xml:space="preserve"> </w:t>
              </w:r>
            </w:p>
            <w:p w14:paraId="7E4CC46F" w14:textId="77777777" w:rsidR="00790F65" w:rsidRDefault="00790F65" w:rsidP="00790F65">
              <w:pPr>
                <w:pStyle w:val="Bibliography"/>
                <w:ind w:left="720" w:hanging="720"/>
                <w:rPr>
                  <w:noProof/>
                </w:rPr>
              </w:pPr>
              <w:r>
                <w:rPr>
                  <w:noProof/>
                </w:rPr>
                <w:t xml:space="preserve">Mack, S. (2021). </w:t>
              </w:r>
              <w:r>
                <w:rPr>
                  <w:i/>
                  <w:iCs/>
                  <w:noProof/>
                </w:rPr>
                <w:t>Never waste a good crisis European banking regulation in the pandemic Policy Brief.</w:t>
              </w:r>
              <w:r>
                <w:rPr>
                  <w:noProof/>
                </w:rPr>
                <w:t xml:space="preserve"> Berlin: Hertie School.</w:t>
              </w:r>
            </w:p>
            <w:p w14:paraId="6218C178" w14:textId="77777777" w:rsidR="00790F65" w:rsidRDefault="00790F65" w:rsidP="00790F65">
              <w:pPr>
                <w:pStyle w:val="Bibliography"/>
                <w:ind w:left="720" w:hanging="720"/>
                <w:rPr>
                  <w:noProof/>
                </w:rPr>
              </w:pPr>
              <w:r>
                <w:rPr>
                  <w:noProof/>
                </w:rPr>
                <w:t xml:space="preserve">Schmitz, S., Posch, M., &amp; Strobl, P. (2022). </w:t>
              </w:r>
              <w:r>
                <w:rPr>
                  <w:i/>
                  <w:iCs/>
                  <w:noProof/>
                </w:rPr>
                <w:t>The EU macroprudential review should prioritize removing regulatory overlaps and increasing the flexibility of the CCyB.</w:t>
              </w:r>
              <w:r>
                <w:rPr>
                  <w:noProof/>
                </w:rPr>
                <w:t xml:space="preserve"> Oesterreichische Nationalbank. SUERF.</w:t>
              </w:r>
            </w:p>
            <w:p w14:paraId="6AC30F34" w14:textId="77777777" w:rsidR="00790F65" w:rsidRDefault="00790F65" w:rsidP="00790F65">
              <w:pPr>
                <w:pStyle w:val="Bibliography"/>
                <w:ind w:left="720" w:hanging="720"/>
                <w:rPr>
                  <w:noProof/>
                </w:rPr>
              </w:pPr>
              <w:r>
                <w:rPr>
                  <w:noProof/>
                </w:rPr>
                <w:t xml:space="preserve">Stojkov, K. (2020, September 17). Different Approaches to Implementing a Countercyclical Capital Buffer | Bulletin – September Quarter 2020. </w:t>
              </w:r>
              <w:r>
                <w:rPr>
                  <w:i/>
                  <w:iCs/>
                  <w:noProof/>
                </w:rPr>
                <w:t>Financial Stability Department</w:t>
              </w:r>
              <w:r>
                <w:rPr>
                  <w:noProof/>
                </w:rPr>
                <w:t>.</w:t>
              </w:r>
            </w:p>
            <w:p w14:paraId="582B2C55" w14:textId="77777777" w:rsidR="00790F65" w:rsidRDefault="00790F65" w:rsidP="00790F65">
              <w:pPr>
                <w:pStyle w:val="Bibliography"/>
                <w:ind w:left="720" w:hanging="720"/>
                <w:rPr>
                  <w:noProof/>
                </w:rPr>
              </w:pPr>
              <w:r>
                <w:rPr>
                  <w:noProof/>
                </w:rPr>
                <w:t xml:space="preserve">Galán, J. (2020, November). The benefits are at the tail: Uncovering the impact of macroprudential policy on growth-at-risk. </w:t>
              </w:r>
              <w:r>
                <w:rPr>
                  <w:i/>
                  <w:iCs/>
                  <w:noProof/>
                </w:rPr>
                <w:t>Journal of Financial Stability</w:t>
              </w:r>
              <w:r>
                <w:rPr>
                  <w:noProof/>
                </w:rPr>
                <w:t>(100831), 10.1016/j.jfs.2020.100831.</w:t>
              </w:r>
            </w:p>
            <w:p w14:paraId="0B50AF0B" w14:textId="77777777" w:rsidR="00790F65" w:rsidRDefault="00790F65" w:rsidP="00790F65">
              <w:pPr>
                <w:pStyle w:val="Bibliography"/>
                <w:ind w:left="720" w:hanging="720"/>
                <w:rPr>
                  <w:noProof/>
                </w:rPr>
              </w:pPr>
              <w:r>
                <w:rPr>
                  <w:noProof/>
                </w:rPr>
                <w:t xml:space="preserve">Galvez, J., &amp; Mencia, J. (2014). Distributional Linkages between European Sovereign Bond and Bank Asset Returns. </w:t>
              </w:r>
              <w:r>
                <w:rPr>
                  <w:i/>
                  <w:iCs/>
                  <w:noProof/>
                </w:rPr>
                <w:t>SSRN Electronic Journal</w:t>
              </w:r>
              <w:r>
                <w:rPr>
                  <w:noProof/>
                </w:rPr>
                <w:t>, 10.2139/ssrn.2523863.</w:t>
              </w:r>
            </w:p>
            <w:p w14:paraId="3157FDA2" w14:textId="77777777" w:rsidR="00790F65" w:rsidRDefault="00790F65" w:rsidP="00790F65">
              <w:pPr>
                <w:pStyle w:val="Bibliography"/>
                <w:ind w:left="720" w:hanging="720"/>
                <w:rPr>
                  <w:noProof/>
                </w:rPr>
              </w:pPr>
              <w:r>
                <w:rPr>
                  <w:noProof/>
                </w:rPr>
                <w:t>Aikman, D., Bridges, J., Hoke, S. H., O’Neill, C., &amp; Raja, A. (2019, September). Credit, capital and crises: a GDP-at-Risk approach.</w:t>
              </w:r>
            </w:p>
            <w:p w14:paraId="17A9F204" w14:textId="77777777" w:rsidR="00790F65" w:rsidRDefault="00790F65" w:rsidP="00790F65">
              <w:pPr>
                <w:pStyle w:val="Bibliography"/>
                <w:ind w:left="720" w:hanging="720"/>
                <w:rPr>
                  <w:noProof/>
                </w:rPr>
              </w:pPr>
              <w:r>
                <w:rPr>
                  <w:noProof/>
                </w:rPr>
                <w:t xml:space="preserve">Prasad, A., Elekdag, S., Jeasakul, P., Lafarguette, R., Alter, A., Xiaochen Feng, A., &amp; Wang, C. (2019). Growth at Risk: Concept and Application in IMF Country Surveillance. </w:t>
              </w:r>
              <w:r>
                <w:rPr>
                  <w:i/>
                  <w:iCs/>
                  <w:noProof/>
                </w:rPr>
                <w:t>IMF Working Papers, 19</w:t>
              </w:r>
              <w:r>
                <w:rPr>
                  <w:noProof/>
                </w:rPr>
                <w:t>(36), 10.5089/9781484397015.001.</w:t>
              </w:r>
            </w:p>
            <w:p w14:paraId="6DB645D6" w14:textId="77777777" w:rsidR="00790F65" w:rsidRDefault="00790F65" w:rsidP="00790F65">
              <w:pPr>
                <w:pStyle w:val="Bibliography"/>
                <w:ind w:left="720" w:hanging="720"/>
                <w:rPr>
                  <w:noProof/>
                </w:rPr>
              </w:pPr>
              <w:r>
                <w:rPr>
                  <w:noProof/>
                </w:rPr>
                <w:t xml:space="preserve">Suarez, J. (2022). Growth-at-risk and macroprudential policy design. </w:t>
              </w:r>
              <w:r>
                <w:rPr>
                  <w:i/>
                  <w:iCs/>
                  <w:noProof/>
                </w:rPr>
                <w:t>Journal of Financial Stability, 60</w:t>
              </w:r>
              <w:r>
                <w:rPr>
                  <w:noProof/>
                </w:rPr>
                <w:t>(1572-3089), 10.1016/j.jfs.2022.101008.</w:t>
              </w:r>
            </w:p>
            <w:p w14:paraId="04A22067" w14:textId="77777777" w:rsidR="00790F65" w:rsidRDefault="00790F65" w:rsidP="00790F65">
              <w:pPr>
                <w:pStyle w:val="Bibliography"/>
                <w:ind w:left="720" w:hanging="720"/>
                <w:rPr>
                  <w:noProof/>
                </w:rPr>
              </w:pPr>
              <w:r>
                <w:rPr>
                  <w:noProof/>
                </w:rPr>
                <w:t xml:space="preserve">Koop, G., &amp; Korobilis, D. (2014). A new index of financial conditions. </w:t>
              </w:r>
              <w:r>
                <w:rPr>
                  <w:i/>
                  <w:iCs/>
                  <w:noProof/>
                </w:rPr>
                <w:t>European Economic Review, 71</w:t>
              </w:r>
              <w:r>
                <w:rPr>
                  <w:noProof/>
                </w:rPr>
                <w:t>(0014-2921), 101-116, 10.1016/j.euroecorev.2014.07.002.</w:t>
              </w:r>
            </w:p>
            <w:p w14:paraId="5AC1B40E" w14:textId="77777777" w:rsidR="00790F65" w:rsidRDefault="00790F65" w:rsidP="00790F65">
              <w:pPr>
                <w:pStyle w:val="Bibliography"/>
                <w:ind w:left="720" w:hanging="720"/>
                <w:rPr>
                  <w:noProof/>
                </w:rPr>
              </w:pPr>
              <w:r>
                <w:rPr>
                  <w:noProof/>
                </w:rPr>
                <w:t xml:space="preserve">Cecchetti, S. G., &amp; Suarez, J. (2021, December). On the Stance of Macroprudential Policy. </w:t>
              </w:r>
              <w:r>
                <w:rPr>
                  <w:i/>
                  <w:iCs/>
                  <w:noProof/>
                </w:rPr>
                <w:t>SSRN Electronic Journal</w:t>
              </w:r>
              <w:r>
                <w:rPr>
                  <w:noProof/>
                </w:rPr>
                <w:t>(11), 10.2139/ssrn.3975941.</w:t>
              </w:r>
            </w:p>
            <w:p w14:paraId="54257678" w14:textId="77777777" w:rsidR="00790F65" w:rsidRDefault="00790F65" w:rsidP="00790F65">
              <w:pPr>
                <w:pStyle w:val="Bibliography"/>
                <w:ind w:left="720" w:hanging="720"/>
                <w:rPr>
                  <w:noProof/>
                </w:rPr>
              </w:pPr>
              <w:r>
                <w:rPr>
                  <w:noProof/>
                </w:rPr>
                <w:t xml:space="preserve">Chavleishvili, S., Engle, R. F., Fahr, S. A., Kremer, M., Manganelli, S., &amp; Schwaab, B. (2021). The Risk Management Approach to Macro-Prudential Policy. </w:t>
              </w:r>
              <w:r>
                <w:rPr>
                  <w:i/>
                  <w:iCs/>
                  <w:noProof/>
                </w:rPr>
                <w:t>SSRN Electronic Journal</w:t>
              </w:r>
              <w:r>
                <w:rPr>
                  <w:noProof/>
                </w:rPr>
                <w:t>, 10.2139/ssrn.3859109.</w:t>
              </w:r>
            </w:p>
            <w:p w14:paraId="3C3EBD53" w14:textId="77777777" w:rsidR="00790F65" w:rsidRDefault="00790F65" w:rsidP="00790F65">
              <w:pPr>
                <w:pStyle w:val="Bibliography"/>
                <w:ind w:left="720" w:hanging="720"/>
                <w:rPr>
                  <w:noProof/>
                </w:rPr>
              </w:pPr>
              <w:r>
                <w:rPr>
                  <w:noProof/>
                </w:rPr>
                <w:lastRenderedPageBreak/>
                <w:t xml:space="preserve">Alam, Z., Alter, A., Eiseman, J., Gelos, R., Kang, H., Narita, M., . . . Wang, N. (2019). Digging Deeper--Evidence on the Effects of Macroprudential Policies from a New Database. </w:t>
              </w:r>
              <w:r>
                <w:rPr>
                  <w:i/>
                  <w:iCs/>
                  <w:noProof/>
                </w:rPr>
                <w:t>IMF Working Papers, 19</w:t>
              </w:r>
              <w:r>
                <w:rPr>
                  <w:noProof/>
                </w:rPr>
                <w:t>(66), 10.5089/9781498302708.001.</w:t>
              </w:r>
            </w:p>
            <w:p w14:paraId="4DF1E9ED" w14:textId="77777777" w:rsidR="00790F65" w:rsidRDefault="00790F65" w:rsidP="00790F65">
              <w:pPr>
                <w:pStyle w:val="Bibliography"/>
                <w:ind w:left="720" w:hanging="720"/>
                <w:rPr>
                  <w:noProof/>
                </w:rPr>
              </w:pPr>
              <w:r>
                <w:rPr>
                  <w:noProof/>
                </w:rPr>
                <w:t xml:space="preserve">Jiménez, G., Ongena, S., Peydró, J.-L., &amp; Saurina, J. (2017). Macroprudential Policy, Countercyclical Bank Capital Buffers, and Credit Supply: Evidence from the Spanish Dynamic Provisioning Experiments. </w:t>
              </w:r>
              <w:r>
                <w:rPr>
                  <w:i/>
                  <w:iCs/>
                  <w:noProof/>
                </w:rPr>
                <w:t>Journal of Political Economy, 125</w:t>
              </w:r>
              <w:r>
                <w:rPr>
                  <w:noProof/>
                </w:rPr>
                <w:t>(6), 2126-2177, 10.1086/694289.</w:t>
              </w:r>
            </w:p>
            <w:p w14:paraId="54A7FB98" w14:textId="77777777" w:rsidR="00790F65" w:rsidRDefault="00790F65" w:rsidP="00790F65">
              <w:pPr>
                <w:pStyle w:val="Bibliography"/>
                <w:ind w:left="720" w:hanging="720"/>
                <w:rPr>
                  <w:noProof/>
                </w:rPr>
              </w:pPr>
              <w:r>
                <w:rPr>
                  <w:noProof/>
                </w:rPr>
                <w:t xml:space="preserve">Boar, C., Gambacorta, L., Lombardo, G., &amp; Silva, L. A. (2017). What are the Effects of Macroprudential Policies on Macroeconomic Performance? </w:t>
              </w:r>
              <w:r>
                <w:rPr>
                  <w:i/>
                  <w:iCs/>
                  <w:noProof/>
                </w:rPr>
                <w:t>BIS Quarterly Review</w:t>
              </w:r>
              <w:r>
                <w:rPr>
                  <w:noProof/>
                </w:rPr>
                <w:t>.</w:t>
              </w:r>
            </w:p>
            <w:p w14:paraId="4B6BCF88" w14:textId="77777777" w:rsidR="00790F65" w:rsidRDefault="00790F65" w:rsidP="00790F65">
              <w:pPr>
                <w:pStyle w:val="Bibliography"/>
                <w:ind w:left="720" w:hanging="720"/>
                <w:rPr>
                  <w:noProof/>
                </w:rPr>
              </w:pPr>
              <w:r>
                <w:rPr>
                  <w:noProof/>
                </w:rPr>
                <w:t xml:space="preserve">Koenker, R., &amp; Bassett, G. (1978). Regression Quantiles. </w:t>
              </w:r>
              <w:r>
                <w:rPr>
                  <w:i/>
                  <w:iCs/>
                  <w:noProof/>
                </w:rPr>
                <w:t>Econometrica, 46</w:t>
              </w:r>
              <w:r>
                <w:rPr>
                  <w:noProof/>
                </w:rPr>
                <w:t>(1), 33, 10.2307/1913643.</w:t>
              </w:r>
            </w:p>
            <w:p w14:paraId="02058208" w14:textId="77777777" w:rsidR="00790F65" w:rsidRDefault="00790F65" w:rsidP="00790F65">
              <w:pPr>
                <w:pStyle w:val="Bibliography"/>
                <w:ind w:left="720" w:hanging="720"/>
                <w:rPr>
                  <w:noProof/>
                </w:rPr>
              </w:pPr>
              <w:r>
                <w:rPr>
                  <w:noProof/>
                </w:rPr>
                <w:t xml:space="preserve">Kipriyanov, A. (2022). Comparison of Models for Growth-at-Risk Forecasting. </w:t>
              </w:r>
              <w:r>
                <w:rPr>
                  <w:i/>
                  <w:iCs/>
                  <w:noProof/>
                </w:rPr>
                <w:t>Russian journal of money and finance, 81</w:t>
              </w:r>
              <w:r>
                <w:rPr>
                  <w:noProof/>
                </w:rPr>
                <w:t>(1), 23-45, 10.31477/rjmf.202201.23.</w:t>
              </w:r>
            </w:p>
            <w:p w14:paraId="285A166B" w14:textId="77777777" w:rsidR="00790F65" w:rsidRDefault="00790F65" w:rsidP="00790F65">
              <w:pPr>
                <w:pStyle w:val="Bibliography"/>
                <w:ind w:left="720" w:hanging="720"/>
                <w:rPr>
                  <w:noProof/>
                </w:rPr>
              </w:pPr>
              <w:r>
                <w:rPr>
                  <w:noProof/>
                </w:rPr>
                <w:t xml:space="preserve">Holló, D., Kremer, M., &amp; Lo Duca, M. (2012). A Composite Indicator of Systemic Stress in the Financial System. </w:t>
              </w:r>
              <w:r>
                <w:rPr>
                  <w:i/>
                  <w:iCs/>
                  <w:noProof/>
                </w:rPr>
                <w:t>ECB Working Paper 1426</w:t>
              </w:r>
              <w:r>
                <w:rPr>
                  <w:noProof/>
                </w:rPr>
                <w:t>.</w:t>
              </w:r>
            </w:p>
            <w:p w14:paraId="231AD27A" w14:textId="77777777" w:rsidR="00790F65" w:rsidRDefault="00790F65" w:rsidP="00790F65">
              <w:pPr>
                <w:pStyle w:val="Bibliography"/>
                <w:ind w:left="720" w:hanging="720"/>
                <w:rPr>
                  <w:noProof/>
                </w:rPr>
              </w:pPr>
              <w:r>
                <w:rPr>
                  <w:noProof/>
                </w:rPr>
                <w:t xml:space="preserve">Plašil, M., Seidler, J., Hlaváč, P., &amp; Konečný, T. (2014). An indicator of the financial cycle in the Czech economy. </w:t>
              </w:r>
              <w:r>
                <w:rPr>
                  <w:i/>
                  <w:iCs/>
                  <w:noProof/>
                </w:rPr>
                <w:t>Czech Financial Stability Report 2013/2014</w:t>
              </w:r>
              <w:r>
                <w:rPr>
                  <w:noProof/>
                </w:rPr>
                <w:t>.</w:t>
              </w:r>
            </w:p>
            <w:p w14:paraId="5709675D" w14:textId="77777777" w:rsidR="00790F65" w:rsidRDefault="00790F65" w:rsidP="00790F65">
              <w:pPr>
                <w:pStyle w:val="Bibliography"/>
                <w:ind w:left="720" w:hanging="720"/>
                <w:rPr>
                  <w:noProof/>
                </w:rPr>
              </w:pPr>
              <w:r>
                <w:rPr>
                  <w:noProof/>
                </w:rPr>
                <w:t>IMF. (2024). International Financial Statistics.</w:t>
              </w:r>
            </w:p>
            <w:p w14:paraId="1ECF3AD8" w14:textId="77777777" w:rsidR="00790F65" w:rsidRDefault="00790F65" w:rsidP="00790F65">
              <w:pPr>
                <w:pStyle w:val="Bibliography"/>
                <w:ind w:left="720" w:hanging="720"/>
                <w:rPr>
                  <w:noProof/>
                </w:rPr>
              </w:pPr>
              <w:r>
                <w:rPr>
                  <w:noProof/>
                </w:rPr>
                <w:t>IMF. (2024). Financial Soundness Indicators.</w:t>
              </w:r>
            </w:p>
            <w:p w14:paraId="0F114511" w14:textId="77777777" w:rsidR="00790F65" w:rsidRDefault="00790F65" w:rsidP="00790F65">
              <w:pPr>
                <w:pStyle w:val="Bibliography"/>
                <w:ind w:left="720" w:hanging="720"/>
                <w:rPr>
                  <w:noProof/>
                </w:rPr>
              </w:pPr>
              <w:r>
                <w:rPr>
                  <w:noProof/>
                </w:rPr>
                <w:t>World Bank. (2023). Global Economic Monitor (GEM) [Data set]. https://databank.worldbank.org/source/global-economic-monitor-(gem).</w:t>
              </w:r>
            </w:p>
            <w:p w14:paraId="51DA903B" w14:textId="6733D50A" w:rsidR="00250B5D" w:rsidRPr="008506FC" w:rsidRDefault="000D0E76" w:rsidP="00790F65">
              <w:r>
                <w:rPr>
                  <w:b/>
                  <w:bCs/>
                  <w:noProof/>
                </w:rPr>
                <w:fldChar w:fldCharType="end"/>
              </w:r>
            </w:p>
          </w:sdtContent>
        </w:sdt>
      </w:sdtContent>
    </w:sdt>
    <w:sectPr w:rsidR="00250B5D" w:rsidRPr="008506FC" w:rsidSect="00C5329E">
      <w:type w:val="continuous"/>
      <w:pgSz w:w="12240" w:h="15840" w:code="1"/>
      <w:pgMar w:top="1440" w:right="1440" w:bottom="1440" w:left="1440" w:header="720" w:footer="288" w:gutter="0"/>
      <w:cols w:space="43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3D1C3" w14:textId="77777777" w:rsidR="00C7770B" w:rsidRDefault="00C7770B" w:rsidP="002263C9">
      <w:r>
        <w:separator/>
      </w:r>
    </w:p>
  </w:endnote>
  <w:endnote w:type="continuationSeparator" w:id="0">
    <w:p w14:paraId="6CF9F186" w14:textId="77777777" w:rsidR="00C7770B" w:rsidRDefault="00C7770B" w:rsidP="00226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Ebrima"/>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CC36B" w14:textId="77777777" w:rsidR="00C7770B" w:rsidRDefault="00C7770B" w:rsidP="002263C9">
      <w:r>
        <w:separator/>
      </w:r>
    </w:p>
  </w:footnote>
  <w:footnote w:type="continuationSeparator" w:id="0">
    <w:p w14:paraId="0142720A" w14:textId="77777777" w:rsidR="00C7770B" w:rsidRDefault="00C7770B" w:rsidP="002263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2EDC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55A5C2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F0C147E"/>
    <w:lvl w:ilvl="0">
      <w:start w:val="1"/>
      <w:numFmt w:val="decimal"/>
      <w:pStyle w:val="ListNumber3"/>
      <w:lvlText w:val="%1."/>
      <w:lvlJc w:val="left"/>
      <w:pPr>
        <w:tabs>
          <w:tab w:val="num" w:pos="1080"/>
        </w:tabs>
        <w:ind w:left="1080" w:hanging="360"/>
      </w:pPr>
    </w:lvl>
  </w:abstractNum>
  <w:abstractNum w:abstractNumId="3" w15:restartNumberingAfterBreak="0">
    <w:nsid w:val="14F40D04"/>
    <w:multiLevelType w:val="hybridMultilevel"/>
    <w:tmpl w:val="1D84BF60"/>
    <w:lvl w:ilvl="0" w:tplc="68A86BC8">
      <w:start w:val="1"/>
      <w:numFmt w:val="bullet"/>
      <w:pStyle w:val="Bulleted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EA71B2"/>
    <w:multiLevelType w:val="multilevel"/>
    <w:tmpl w:val="3C340030"/>
    <w:lvl w:ilvl="0">
      <w:start w:val="1"/>
      <w:numFmt w:val="decimal"/>
      <w:pStyle w:val="SectionHead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58AD353F"/>
    <w:multiLevelType w:val="hybridMultilevel"/>
    <w:tmpl w:val="3D4E6844"/>
    <w:lvl w:ilvl="0" w:tplc="996432B4">
      <w:start w:val="1"/>
      <w:numFmt w:val="decimal"/>
      <w:pStyle w:val="Numbered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48E6170"/>
    <w:multiLevelType w:val="multilevel"/>
    <w:tmpl w:val="1EB447EC"/>
    <w:lvl w:ilvl="0">
      <w:start w:val="1"/>
      <w:numFmt w:val="decimal"/>
      <w:lvlText w:val="%1."/>
      <w:lvlJc w:val="left"/>
      <w:pPr>
        <w:ind w:left="360" w:hanging="360"/>
      </w:pPr>
      <w:rPr>
        <w:rFonts w:hint="default"/>
      </w:rPr>
    </w:lvl>
    <w:lvl w:ilvl="1">
      <w:start w:val="1"/>
      <w:numFmt w:val="decimal"/>
      <w:pStyle w:val="Sub-sectionHeader"/>
      <w:lvlText w:val="%1.%2."/>
      <w:lvlJc w:val="left"/>
      <w:pPr>
        <w:ind w:left="3402" w:hanging="432"/>
      </w:pPr>
      <w:rPr>
        <w:rFonts w:hint="default"/>
      </w:rPr>
    </w:lvl>
    <w:lvl w:ilvl="2">
      <w:start w:val="1"/>
      <w:numFmt w:val="decimal"/>
      <w:pStyle w:val="Sub-sub-sectionhead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29581198">
    <w:abstractNumId w:val="2"/>
  </w:num>
  <w:num w:numId="2" w16cid:durableId="1907452077">
    <w:abstractNumId w:val="1"/>
  </w:num>
  <w:num w:numId="3" w16cid:durableId="266232261">
    <w:abstractNumId w:val="0"/>
  </w:num>
  <w:num w:numId="4" w16cid:durableId="1784303934">
    <w:abstractNumId w:val="5"/>
  </w:num>
  <w:num w:numId="5" w16cid:durableId="485391403">
    <w:abstractNumId w:val="6"/>
  </w:num>
  <w:num w:numId="6" w16cid:durableId="1763379483">
    <w:abstractNumId w:val="3"/>
  </w:num>
  <w:num w:numId="7" w16cid:durableId="879590502">
    <w:abstractNumId w:val="7"/>
  </w:num>
  <w:num w:numId="8" w16cid:durableId="776946757">
    <w:abstractNumId w:val="4"/>
  </w:num>
  <w:num w:numId="9" w16cid:durableId="1258518676">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O0MLIwMjcxMTK1MDRW0lEKTi0uzszPAykwrAUAEgRXpSwAAAA="/>
    <w:docVar w:name="CHIPaperNum" w:val="400"/>
  </w:docVars>
  <w:rsids>
    <w:rsidRoot w:val="004F7602"/>
    <w:rsid w:val="000036C9"/>
    <w:rsid w:val="0000625C"/>
    <w:rsid w:val="00011807"/>
    <w:rsid w:val="00012912"/>
    <w:rsid w:val="00013ED9"/>
    <w:rsid w:val="00013F1B"/>
    <w:rsid w:val="0001659E"/>
    <w:rsid w:val="00025F47"/>
    <w:rsid w:val="000333DE"/>
    <w:rsid w:val="0003450C"/>
    <w:rsid w:val="00040473"/>
    <w:rsid w:val="00040794"/>
    <w:rsid w:val="00044C89"/>
    <w:rsid w:val="00055598"/>
    <w:rsid w:val="000617E1"/>
    <w:rsid w:val="00063446"/>
    <w:rsid w:val="00066128"/>
    <w:rsid w:val="00066255"/>
    <w:rsid w:val="00067860"/>
    <w:rsid w:val="000707EF"/>
    <w:rsid w:val="000728F3"/>
    <w:rsid w:val="00072B3A"/>
    <w:rsid w:val="000734E0"/>
    <w:rsid w:val="00073DCD"/>
    <w:rsid w:val="000770C1"/>
    <w:rsid w:val="00083E46"/>
    <w:rsid w:val="00087BEC"/>
    <w:rsid w:val="00097434"/>
    <w:rsid w:val="000A3852"/>
    <w:rsid w:val="000A6C04"/>
    <w:rsid w:val="000A7310"/>
    <w:rsid w:val="000B35DC"/>
    <w:rsid w:val="000B397D"/>
    <w:rsid w:val="000B6A11"/>
    <w:rsid w:val="000B72DA"/>
    <w:rsid w:val="000C4EE6"/>
    <w:rsid w:val="000D0E76"/>
    <w:rsid w:val="000D407E"/>
    <w:rsid w:val="000E3577"/>
    <w:rsid w:val="000E4445"/>
    <w:rsid w:val="000E5328"/>
    <w:rsid w:val="000E5572"/>
    <w:rsid w:val="000E77EE"/>
    <w:rsid w:val="000F19BD"/>
    <w:rsid w:val="000F2F7D"/>
    <w:rsid w:val="000F4B8F"/>
    <w:rsid w:val="000F7AD3"/>
    <w:rsid w:val="0010082E"/>
    <w:rsid w:val="0010210D"/>
    <w:rsid w:val="00103A12"/>
    <w:rsid w:val="00103A63"/>
    <w:rsid w:val="00106E5C"/>
    <w:rsid w:val="001105CA"/>
    <w:rsid w:val="00114577"/>
    <w:rsid w:val="00117AD6"/>
    <w:rsid w:val="00117CC2"/>
    <w:rsid w:val="0012152B"/>
    <w:rsid w:val="00121918"/>
    <w:rsid w:val="00121EE5"/>
    <w:rsid w:val="00123CFD"/>
    <w:rsid w:val="00137145"/>
    <w:rsid w:val="00137885"/>
    <w:rsid w:val="00145694"/>
    <w:rsid w:val="001465AB"/>
    <w:rsid w:val="001478F8"/>
    <w:rsid w:val="00147EF4"/>
    <w:rsid w:val="00151FAA"/>
    <w:rsid w:val="00161911"/>
    <w:rsid w:val="00174170"/>
    <w:rsid w:val="00175C00"/>
    <w:rsid w:val="001778D7"/>
    <w:rsid w:val="0017799B"/>
    <w:rsid w:val="00184BC5"/>
    <w:rsid w:val="00186236"/>
    <w:rsid w:val="00191462"/>
    <w:rsid w:val="00194363"/>
    <w:rsid w:val="00197B90"/>
    <w:rsid w:val="001A6452"/>
    <w:rsid w:val="001B2444"/>
    <w:rsid w:val="001B6DCD"/>
    <w:rsid w:val="001B7CA8"/>
    <w:rsid w:val="001C2A81"/>
    <w:rsid w:val="001C32C5"/>
    <w:rsid w:val="001C4294"/>
    <w:rsid w:val="001D2611"/>
    <w:rsid w:val="001D29E1"/>
    <w:rsid w:val="001D439C"/>
    <w:rsid w:val="001D572E"/>
    <w:rsid w:val="001E35CC"/>
    <w:rsid w:val="001E5C50"/>
    <w:rsid w:val="001E6D61"/>
    <w:rsid w:val="001F042A"/>
    <w:rsid w:val="001F062E"/>
    <w:rsid w:val="001F2F23"/>
    <w:rsid w:val="001F40BF"/>
    <w:rsid w:val="001F4B3C"/>
    <w:rsid w:val="001F78AB"/>
    <w:rsid w:val="0020192F"/>
    <w:rsid w:val="002022E4"/>
    <w:rsid w:val="002028D3"/>
    <w:rsid w:val="00210191"/>
    <w:rsid w:val="00214551"/>
    <w:rsid w:val="00215ED0"/>
    <w:rsid w:val="00216396"/>
    <w:rsid w:val="00216CFA"/>
    <w:rsid w:val="002263C9"/>
    <w:rsid w:val="00227741"/>
    <w:rsid w:val="002314ED"/>
    <w:rsid w:val="002326A8"/>
    <w:rsid w:val="00233A38"/>
    <w:rsid w:val="002358EE"/>
    <w:rsid w:val="00236D65"/>
    <w:rsid w:val="0024113A"/>
    <w:rsid w:val="0024145B"/>
    <w:rsid w:val="002465F2"/>
    <w:rsid w:val="00250B5D"/>
    <w:rsid w:val="00251B3D"/>
    <w:rsid w:val="00251F75"/>
    <w:rsid w:val="0025707B"/>
    <w:rsid w:val="00261E1B"/>
    <w:rsid w:val="00263558"/>
    <w:rsid w:val="002639F6"/>
    <w:rsid w:val="00264A97"/>
    <w:rsid w:val="002727A0"/>
    <w:rsid w:val="00272DB6"/>
    <w:rsid w:val="00280866"/>
    <w:rsid w:val="002862A4"/>
    <w:rsid w:val="00286A29"/>
    <w:rsid w:val="00291C99"/>
    <w:rsid w:val="00294A14"/>
    <w:rsid w:val="002C3318"/>
    <w:rsid w:val="002D1C6C"/>
    <w:rsid w:val="002D41E8"/>
    <w:rsid w:val="002D639D"/>
    <w:rsid w:val="002D6AE0"/>
    <w:rsid w:val="002E17BA"/>
    <w:rsid w:val="002E55B4"/>
    <w:rsid w:val="002F1553"/>
    <w:rsid w:val="002F48EE"/>
    <w:rsid w:val="002F61EC"/>
    <w:rsid w:val="002F7A09"/>
    <w:rsid w:val="00305DDF"/>
    <w:rsid w:val="00310376"/>
    <w:rsid w:val="00311723"/>
    <w:rsid w:val="003123C3"/>
    <w:rsid w:val="00317086"/>
    <w:rsid w:val="00331AFF"/>
    <w:rsid w:val="00334D5C"/>
    <w:rsid w:val="0034039C"/>
    <w:rsid w:val="00340493"/>
    <w:rsid w:val="00344BAB"/>
    <w:rsid w:val="003500C6"/>
    <w:rsid w:val="003500F1"/>
    <w:rsid w:val="003521DC"/>
    <w:rsid w:val="00354AC8"/>
    <w:rsid w:val="00354D90"/>
    <w:rsid w:val="00355923"/>
    <w:rsid w:val="003637B4"/>
    <w:rsid w:val="003644E7"/>
    <w:rsid w:val="0037037E"/>
    <w:rsid w:val="00372983"/>
    <w:rsid w:val="00373F8D"/>
    <w:rsid w:val="00383BDF"/>
    <w:rsid w:val="003907EC"/>
    <w:rsid w:val="0039156C"/>
    <w:rsid w:val="003948CB"/>
    <w:rsid w:val="00396BBA"/>
    <w:rsid w:val="00397361"/>
    <w:rsid w:val="003A12EA"/>
    <w:rsid w:val="003A7DC7"/>
    <w:rsid w:val="003B0677"/>
    <w:rsid w:val="003B07DF"/>
    <w:rsid w:val="003B1F3C"/>
    <w:rsid w:val="003B4EB4"/>
    <w:rsid w:val="003C732D"/>
    <w:rsid w:val="003C7D81"/>
    <w:rsid w:val="003D43A0"/>
    <w:rsid w:val="003D5402"/>
    <w:rsid w:val="003D7F56"/>
    <w:rsid w:val="003E1FB5"/>
    <w:rsid w:val="003E3C69"/>
    <w:rsid w:val="003E43AB"/>
    <w:rsid w:val="003F70AB"/>
    <w:rsid w:val="003F749D"/>
    <w:rsid w:val="0040207D"/>
    <w:rsid w:val="00402976"/>
    <w:rsid w:val="004036E7"/>
    <w:rsid w:val="00404487"/>
    <w:rsid w:val="00404682"/>
    <w:rsid w:val="0041136C"/>
    <w:rsid w:val="0041270E"/>
    <w:rsid w:val="0042437D"/>
    <w:rsid w:val="004317E9"/>
    <w:rsid w:val="00431B38"/>
    <w:rsid w:val="00433499"/>
    <w:rsid w:val="00443E9F"/>
    <w:rsid w:val="00452DF8"/>
    <w:rsid w:val="004535A6"/>
    <w:rsid w:val="00454A5E"/>
    <w:rsid w:val="0045652F"/>
    <w:rsid w:val="00461773"/>
    <w:rsid w:val="00461A87"/>
    <w:rsid w:val="0046771C"/>
    <w:rsid w:val="00470603"/>
    <w:rsid w:val="00470738"/>
    <w:rsid w:val="00470ED8"/>
    <w:rsid w:val="004754D0"/>
    <w:rsid w:val="00480565"/>
    <w:rsid w:val="00480F98"/>
    <w:rsid w:val="00493EDB"/>
    <w:rsid w:val="004A413E"/>
    <w:rsid w:val="004B1F17"/>
    <w:rsid w:val="004B241B"/>
    <w:rsid w:val="004B2FFF"/>
    <w:rsid w:val="004B35DA"/>
    <w:rsid w:val="004B4E2C"/>
    <w:rsid w:val="004B5AF6"/>
    <w:rsid w:val="004B6BE7"/>
    <w:rsid w:val="004B7570"/>
    <w:rsid w:val="004C33E8"/>
    <w:rsid w:val="004C3AB4"/>
    <w:rsid w:val="004C7A86"/>
    <w:rsid w:val="004E52DA"/>
    <w:rsid w:val="004E6530"/>
    <w:rsid w:val="004F0FC6"/>
    <w:rsid w:val="004F1BA1"/>
    <w:rsid w:val="004F420A"/>
    <w:rsid w:val="004F5754"/>
    <w:rsid w:val="004F7602"/>
    <w:rsid w:val="004F7A15"/>
    <w:rsid w:val="005004D4"/>
    <w:rsid w:val="00501066"/>
    <w:rsid w:val="00505DFC"/>
    <w:rsid w:val="00505E1B"/>
    <w:rsid w:val="00507848"/>
    <w:rsid w:val="00520796"/>
    <w:rsid w:val="00526FB1"/>
    <w:rsid w:val="005327F1"/>
    <w:rsid w:val="00532EB5"/>
    <w:rsid w:val="00536E67"/>
    <w:rsid w:val="00541E5C"/>
    <w:rsid w:val="0054300D"/>
    <w:rsid w:val="0054609A"/>
    <w:rsid w:val="00547E53"/>
    <w:rsid w:val="00551456"/>
    <w:rsid w:val="00552C72"/>
    <w:rsid w:val="00553092"/>
    <w:rsid w:val="0055722A"/>
    <w:rsid w:val="00560E90"/>
    <w:rsid w:val="00583589"/>
    <w:rsid w:val="005850FE"/>
    <w:rsid w:val="00586FE5"/>
    <w:rsid w:val="00587B87"/>
    <w:rsid w:val="00591C69"/>
    <w:rsid w:val="005A0D7A"/>
    <w:rsid w:val="005A1DB7"/>
    <w:rsid w:val="005A2C27"/>
    <w:rsid w:val="005A4A14"/>
    <w:rsid w:val="005B0DFB"/>
    <w:rsid w:val="005B4601"/>
    <w:rsid w:val="005C0FDD"/>
    <w:rsid w:val="005C216A"/>
    <w:rsid w:val="005C3125"/>
    <w:rsid w:val="005C366F"/>
    <w:rsid w:val="005C632C"/>
    <w:rsid w:val="005D144D"/>
    <w:rsid w:val="005D4A32"/>
    <w:rsid w:val="005E3A00"/>
    <w:rsid w:val="005E4AEF"/>
    <w:rsid w:val="00601246"/>
    <w:rsid w:val="006040B7"/>
    <w:rsid w:val="006048E3"/>
    <w:rsid w:val="0061007B"/>
    <w:rsid w:val="006127F1"/>
    <w:rsid w:val="00613D18"/>
    <w:rsid w:val="006269FF"/>
    <w:rsid w:val="00626F42"/>
    <w:rsid w:val="00627420"/>
    <w:rsid w:val="00632F1C"/>
    <w:rsid w:val="00645F82"/>
    <w:rsid w:val="00646075"/>
    <w:rsid w:val="00646E21"/>
    <w:rsid w:val="006563F6"/>
    <w:rsid w:val="00657A79"/>
    <w:rsid w:val="006619D3"/>
    <w:rsid w:val="006621E5"/>
    <w:rsid w:val="00663A28"/>
    <w:rsid w:val="00670EDD"/>
    <w:rsid w:val="00672138"/>
    <w:rsid w:val="0067248E"/>
    <w:rsid w:val="00676734"/>
    <w:rsid w:val="00684747"/>
    <w:rsid w:val="00691849"/>
    <w:rsid w:val="0069261B"/>
    <w:rsid w:val="00695F7C"/>
    <w:rsid w:val="006973A2"/>
    <w:rsid w:val="006A0290"/>
    <w:rsid w:val="006A304B"/>
    <w:rsid w:val="006A620B"/>
    <w:rsid w:val="006B00A7"/>
    <w:rsid w:val="006B0C82"/>
    <w:rsid w:val="006B1D5B"/>
    <w:rsid w:val="006B3F1F"/>
    <w:rsid w:val="006C28DF"/>
    <w:rsid w:val="006D1291"/>
    <w:rsid w:val="006D1912"/>
    <w:rsid w:val="006D6F59"/>
    <w:rsid w:val="006E401D"/>
    <w:rsid w:val="006F61A5"/>
    <w:rsid w:val="006F7E70"/>
    <w:rsid w:val="007031CC"/>
    <w:rsid w:val="007078B9"/>
    <w:rsid w:val="007121E1"/>
    <w:rsid w:val="00725786"/>
    <w:rsid w:val="00730B51"/>
    <w:rsid w:val="007313B0"/>
    <w:rsid w:val="00734875"/>
    <w:rsid w:val="00742829"/>
    <w:rsid w:val="00746169"/>
    <w:rsid w:val="007476E9"/>
    <w:rsid w:val="00752A83"/>
    <w:rsid w:val="00760E83"/>
    <w:rsid w:val="00761FD3"/>
    <w:rsid w:val="007626C8"/>
    <w:rsid w:val="00763B24"/>
    <w:rsid w:val="00764F75"/>
    <w:rsid w:val="00765F0E"/>
    <w:rsid w:val="00770435"/>
    <w:rsid w:val="007806A0"/>
    <w:rsid w:val="00782280"/>
    <w:rsid w:val="00782A36"/>
    <w:rsid w:val="00790F65"/>
    <w:rsid w:val="00791975"/>
    <w:rsid w:val="007A43F0"/>
    <w:rsid w:val="007C0416"/>
    <w:rsid w:val="007C1651"/>
    <w:rsid w:val="007C67B0"/>
    <w:rsid w:val="007C7E48"/>
    <w:rsid w:val="007E0A15"/>
    <w:rsid w:val="007E174B"/>
    <w:rsid w:val="007E587A"/>
    <w:rsid w:val="007F175B"/>
    <w:rsid w:val="007F61EF"/>
    <w:rsid w:val="007F645F"/>
    <w:rsid w:val="00803022"/>
    <w:rsid w:val="008060C8"/>
    <w:rsid w:val="008134A2"/>
    <w:rsid w:val="0082338F"/>
    <w:rsid w:val="0082437C"/>
    <w:rsid w:val="008420FD"/>
    <w:rsid w:val="00847243"/>
    <w:rsid w:val="008506FC"/>
    <w:rsid w:val="00853A06"/>
    <w:rsid w:val="00855456"/>
    <w:rsid w:val="008557EC"/>
    <w:rsid w:val="00860CC1"/>
    <w:rsid w:val="00863703"/>
    <w:rsid w:val="008639E0"/>
    <w:rsid w:val="00865D29"/>
    <w:rsid w:val="008716BC"/>
    <w:rsid w:val="0088145B"/>
    <w:rsid w:val="00886A66"/>
    <w:rsid w:val="00890225"/>
    <w:rsid w:val="00890771"/>
    <w:rsid w:val="008A04EC"/>
    <w:rsid w:val="008A37AF"/>
    <w:rsid w:val="008B2183"/>
    <w:rsid w:val="008B6E63"/>
    <w:rsid w:val="008C0754"/>
    <w:rsid w:val="008C185F"/>
    <w:rsid w:val="008C30F4"/>
    <w:rsid w:val="008C3181"/>
    <w:rsid w:val="008C41ED"/>
    <w:rsid w:val="008C5E06"/>
    <w:rsid w:val="008D07FD"/>
    <w:rsid w:val="008D0B34"/>
    <w:rsid w:val="008E0260"/>
    <w:rsid w:val="008E048C"/>
    <w:rsid w:val="008E5333"/>
    <w:rsid w:val="0090077D"/>
    <w:rsid w:val="00901095"/>
    <w:rsid w:val="0090145C"/>
    <w:rsid w:val="00902FC0"/>
    <w:rsid w:val="00904A50"/>
    <w:rsid w:val="00912528"/>
    <w:rsid w:val="00912676"/>
    <w:rsid w:val="00913DC1"/>
    <w:rsid w:val="00916282"/>
    <w:rsid w:val="00916448"/>
    <w:rsid w:val="00922BB2"/>
    <w:rsid w:val="00923416"/>
    <w:rsid w:val="00926024"/>
    <w:rsid w:val="00926C8D"/>
    <w:rsid w:val="00932CC3"/>
    <w:rsid w:val="00934451"/>
    <w:rsid w:val="009375E5"/>
    <w:rsid w:val="009402CA"/>
    <w:rsid w:val="009519F4"/>
    <w:rsid w:val="00954859"/>
    <w:rsid w:val="009566AF"/>
    <w:rsid w:val="0096183D"/>
    <w:rsid w:val="0097080A"/>
    <w:rsid w:val="00971C27"/>
    <w:rsid w:val="009863CF"/>
    <w:rsid w:val="00986CC8"/>
    <w:rsid w:val="00992D8D"/>
    <w:rsid w:val="009A62ED"/>
    <w:rsid w:val="009B1D87"/>
    <w:rsid w:val="009C36A9"/>
    <w:rsid w:val="009C542C"/>
    <w:rsid w:val="009C72D9"/>
    <w:rsid w:val="009D0768"/>
    <w:rsid w:val="009D0E6F"/>
    <w:rsid w:val="009D1A17"/>
    <w:rsid w:val="009D316B"/>
    <w:rsid w:val="009E3B95"/>
    <w:rsid w:val="009E4729"/>
    <w:rsid w:val="009F2B73"/>
    <w:rsid w:val="00A03CDD"/>
    <w:rsid w:val="00A112AE"/>
    <w:rsid w:val="00A1173C"/>
    <w:rsid w:val="00A14AA5"/>
    <w:rsid w:val="00A20776"/>
    <w:rsid w:val="00A30BF8"/>
    <w:rsid w:val="00A3272B"/>
    <w:rsid w:val="00A368FB"/>
    <w:rsid w:val="00A37C34"/>
    <w:rsid w:val="00A41216"/>
    <w:rsid w:val="00A45CEE"/>
    <w:rsid w:val="00A56217"/>
    <w:rsid w:val="00A616AC"/>
    <w:rsid w:val="00A62A70"/>
    <w:rsid w:val="00A631A3"/>
    <w:rsid w:val="00A6678D"/>
    <w:rsid w:val="00A71EF6"/>
    <w:rsid w:val="00A72455"/>
    <w:rsid w:val="00A7286E"/>
    <w:rsid w:val="00A729A3"/>
    <w:rsid w:val="00A80B64"/>
    <w:rsid w:val="00A8132E"/>
    <w:rsid w:val="00A9084B"/>
    <w:rsid w:val="00A9272F"/>
    <w:rsid w:val="00AA414E"/>
    <w:rsid w:val="00AA7718"/>
    <w:rsid w:val="00AB2711"/>
    <w:rsid w:val="00AB6E70"/>
    <w:rsid w:val="00AC28EE"/>
    <w:rsid w:val="00AC2B33"/>
    <w:rsid w:val="00AC313D"/>
    <w:rsid w:val="00AC6216"/>
    <w:rsid w:val="00AC7B51"/>
    <w:rsid w:val="00AC7BE6"/>
    <w:rsid w:val="00AD07AE"/>
    <w:rsid w:val="00AD2744"/>
    <w:rsid w:val="00AD2DB8"/>
    <w:rsid w:val="00AD3AF6"/>
    <w:rsid w:val="00AD6731"/>
    <w:rsid w:val="00AE281B"/>
    <w:rsid w:val="00AE45E6"/>
    <w:rsid w:val="00AE4F4A"/>
    <w:rsid w:val="00AE5286"/>
    <w:rsid w:val="00AF347A"/>
    <w:rsid w:val="00AF5009"/>
    <w:rsid w:val="00B07498"/>
    <w:rsid w:val="00B13D81"/>
    <w:rsid w:val="00B15CC2"/>
    <w:rsid w:val="00B261D5"/>
    <w:rsid w:val="00B26FEF"/>
    <w:rsid w:val="00B27CD5"/>
    <w:rsid w:val="00B309B2"/>
    <w:rsid w:val="00B55950"/>
    <w:rsid w:val="00B62631"/>
    <w:rsid w:val="00B719CA"/>
    <w:rsid w:val="00B82F58"/>
    <w:rsid w:val="00B83D0C"/>
    <w:rsid w:val="00B85EBD"/>
    <w:rsid w:val="00B91BB6"/>
    <w:rsid w:val="00B97B98"/>
    <w:rsid w:val="00BA57F0"/>
    <w:rsid w:val="00BA714B"/>
    <w:rsid w:val="00BB294B"/>
    <w:rsid w:val="00BB348C"/>
    <w:rsid w:val="00BD2529"/>
    <w:rsid w:val="00BD2B56"/>
    <w:rsid w:val="00BD5EE9"/>
    <w:rsid w:val="00BE132C"/>
    <w:rsid w:val="00BE699C"/>
    <w:rsid w:val="00BF1387"/>
    <w:rsid w:val="00C04FDF"/>
    <w:rsid w:val="00C06485"/>
    <w:rsid w:val="00C07EC8"/>
    <w:rsid w:val="00C11D90"/>
    <w:rsid w:val="00C31CEF"/>
    <w:rsid w:val="00C41C45"/>
    <w:rsid w:val="00C42DF6"/>
    <w:rsid w:val="00C46E74"/>
    <w:rsid w:val="00C5329E"/>
    <w:rsid w:val="00C54401"/>
    <w:rsid w:val="00C57A79"/>
    <w:rsid w:val="00C60437"/>
    <w:rsid w:val="00C6068A"/>
    <w:rsid w:val="00C668FF"/>
    <w:rsid w:val="00C7705E"/>
    <w:rsid w:val="00C77313"/>
    <w:rsid w:val="00C77550"/>
    <w:rsid w:val="00C7770B"/>
    <w:rsid w:val="00C802B3"/>
    <w:rsid w:val="00C82FBB"/>
    <w:rsid w:val="00C83F7C"/>
    <w:rsid w:val="00C852D4"/>
    <w:rsid w:val="00C8552E"/>
    <w:rsid w:val="00C87975"/>
    <w:rsid w:val="00C94279"/>
    <w:rsid w:val="00CA14C1"/>
    <w:rsid w:val="00CA1F35"/>
    <w:rsid w:val="00CA3503"/>
    <w:rsid w:val="00CA4A8F"/>
    <w:rsid w:val="00CA5766"/>
    <w:rsid w:val="00CA57E1"/>
    <w:rsid w:val="00CB1DB1"/>
    <w:rsid w:val="00CB280A"/>
    <w:rsid w:val="00CC3C6C"/>
    <w:rsid w:val="00CC4FA4"/>
    <w:rsid w:val="00CC70F5"/>
    <w:rsid w:val="00CE021D"/>
    <w:rsid w:val="00CE28F2"/>
    <w:rsid w:val="00CE4019"/>
    <w:rsid w:val="00CE503D"/>
    <w:rsid w:val="00CE7D73"/>
    <w:rsid w:val="00CF128E"/>
    <w:rsid w:val="00CF2A42"/>
    <w:rsid w:val="00D074E4"/>
    <w:rsid w:val="00D10462"/>
    <w:rsid w:val="00D10AD2"/>
    <w:rsid w:val="00D12810"/>
    <w:rsid w:val="00D13411"/>
    <w:rsid w:val="00D14E81"/>
    <w:rsid w:val="00D155A0"/>
    <w:rsid w:val="00D16190"/>
    <w:rsid w:val="00D163F7"/>
    <w:rsid w:val="00D170CB"/>
    <w:rsid w:val="00D20F22"/>
    <w:rsid w:val="00D223D6"/>
    <w:rsid w:val="00D32315"/>
    <w:rsid w:val="00D32E62"/>
    <w:rsid w:val="00D3324C"/>
    <w:rsid w:val="00D3725A"/>
    <w:rsid w:val="00D375EB"/>
    <w:rsid w:val="00D41CAA"/>
    <w:rsid w:val="00D41E1E"/>
    <w:rsid w:val="00D44DC0"/>
    <w:rsid w:val="00D45340"/>
    <w:rsid w:val="00D45C72"/>
    <w:rsid w:val="00D50CF9"/>
    <w:rsid w:val="00D547AD"/>
    <w:rsid w:val="00D60FA7"/>
    <w:rsid w:val="00D642A3"/>
    <w:rsid w:val="00D65617"/>
    <w:rsid w:val="00D82D53"/>
    <w:rsid w:val="00D8354D"/>
    <w:rsid w:val="00D84763"/>
    <w:rsid w:val="00D90F52"/>
    <w:rsid w:val="00D92D6A"/>
    <w:rsid w:val="00D93431"/>
    <w:rsid w:val="00D94C7D"/>
    <w:rsid w:val="00D96D5D"/>
    <w:rsid w:val="00DA6596"/>
    <w:rsid w:val="00DB4E49"/>
    <w:rsid w:val="00DB55F3"/>
    <w:rsid w:val="00DB7B90"/>
    <w:rsid w:val="00DD7C55"/>
    <w:rsid w:val="00DE1746"/>
    <w:rsid w:val="00DE3B36"/>
    <w:rsid w:val="00DE4BFC"/>
    <w:rsid w:val="00E06FBA"/>
    <w:rsid w:val="00E073C6"/>
    <w:rsid w:val="00E11051"/>
    <w:rsid w:val="00E14E51"/>
    <w:rsid w:val="00E21718"/>
    <w:rsid w:val="00E245C8"/>
    <w:rsid w:val="00E24FCD"/>
    <w:rsid w:val="00E27D1E"/>
    <w:rsid w:val="00E309BC"/>
    <w:rsid w:val="00E31A7A"/>
    <w:rsid w:val="00E343AD"/>
    <w:rsid w:val="00E35232"/>
    <w:rsid w:val="00E35A4C"/>
    <w:rsid w:val="00E4453C"/>
    <w:rsid w:val="00E44F55"/>
    <w:rsid w:val="00E548EC"/>
    <w:rsid w:val="00E64DDD"/>
    <w:rsid w:val="00E6532B"/>
    <w:rsid w:val="00E65B32"/>
    <w:rsid w:val="00E66CCF"/>
    <w:rsid w:val="00E67522"/>
    <w:rsid w:val="00E833F8"/>
    <w:rsid w:val="00E83C9D"/>
    <w:rsid w:val="00E9479E"/>
    <w:rsid w:val="00EA2FD2"/>
    <w:rsid w:val="00EA444F"/>
    <w:rsid w:val="00EB0D57"/>
    <w:rsid w:val="00EB3CF4"/>
    <w:rsid w:val="00EC2F47"/>
    <w:rsid w:val="00EC54AB"/>
    <w:rsid w:val="00ED34FA"/>
    <w:rsid w:val="00ED3D60"/>
    <w:rsid w:val="00EE16AA"/>
    <w:rsid w:val="00EE4A38"/>
    <w:rsid w:val="00EE4CD1"/>
    <w:rsid w:val="00EF53FE"/>
    <w:rsid w:val="00EF561D"/>
    <w:rsid w:val="00F01986"/>
    <w:rsid w:val="00F100EF"/>
    <w:rsid w:val="00F112F8"/>
    <w:rsid w:val="00F311C1"/>
    <w:rsid w:val="00F369CB"/>
    <w:rsid w:val="00F41687"/>
    <w:rsid w:val="00F47D2B"/>
    <w:rsid w:val="00F52542"/>
    <w:rsid w:val="00F5437C"/>
    <w:rsid w:val="00F547C4"/>
    <w:rsid w:val="00F56305"/>
    <w:rsid w:val="00F64D84"/>
    <w:rsid w:val="00F70FB2"/>
    <w:rsid w:val="00F71803"/>
    <w:rsid w:val="00F80394"/>
    <w:rsid w:val="00F82DC3"/>
    <w:rsid w:val="00F85093"/>
    <w:rsid w:val="00F90E70"/>
    <w:rsid w:val="00FA1B14"/>
    <w:rsid w:val="00FA519E"/>
    <w:rsid w:val="00FB02B7"/>
    <w:rsid w:val="00FB5217"/>
    <w:rsid w:val="00FB5FFE"/>
    <w:rsid w:val="00FB786B"/>
    <w:rsid w:val="00FC5A94"/>
    <w:rsid w:val="00FC5AB6"/>
    <w:rsid w:val="00FD08E5"/>
    <w:rsid w:val="00FD3E2C"/>
    <w:rsid w:val="00FD4B4B"/>
    <w:rsid w:val="00FF1AB0"/>
    <w:rsid w:val="00FF2DD4"/>
    <w:rsid w:val="00FF3354"/>
    <w:rsid w:val="00FF6D0D"/>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A8D93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lsdException w:name="index heading" w:semiHidden="1" w:unhideWhenUsed="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lsdException w:name="List 3" w:semiHidden="1"/>
    <w:lsdException w:name="List 4" w:semiHidden="1" w:unhideWhenUsed="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unhideWhenUsed="1"/>
    <w:lsdException w:name="List Continue 3" w:semiHidden="1"/>
    <w:lsdException w:name="List Continue 4" w:semiHidden="1"/>
    <w:lsdException w:name="List Continue 5" w:semiHidden="1" w:unhideWhenUsed="1"/>
    <w:lsdException w:name="Message Header" w:semiHidden="1" w:unhideWhenUsed="1"/>
    <w:lsdException w:name="Subtitle" w:uiPriority="11"/>
    <w:lsdException w:name="Salutation" w:semiHidden="1" w:unhideWhenUsed="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unhideWhenUsed="1"/>
    <w:lsdException w:name="FollowedHyperlink" w:semiHidden="1"/>
    <w:lsdException w:name="Strong" w:semiHidden="1"/>
    <w:lsdException w:name="Emphasis" w:semiHidden="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263C9"/>
    <w:pPr>
      <w:spacing w:after="120" w:line="480" w:lineRule="auto"/>
      <w:jc w:val="both"/>
    </w:pPr>
    <w:rPr>
      <w:rFonts w:ascii="Times New Roman" w:eastAsia="Times New Roman" w:hAnsi="Times New Roman"/>
    </w:rPr>
  </w:style>
  <w:style w:type="paragraph" w:styleId="Heading1">
    <w:name w:val="heading 1"/>
    <w:basedOn w:val="Normal"/>
    <w:next w:val="Normal"/>
    <w:link w:val="Heading1Char"/>
    <w:uiPriority w:val="9"/>
    <w:qFormat/>
    <w:pPr>
      <w:keepNext/>
      <w:keepLines/>
      <w:spacing w:before="120" w:after="0"/>
      <w:outlineLvl w:val="0"/>
    </w:pPr>
    <w:rPr>
      <w:rFonts w:ascii="Arial" w:hAnsi="Arial"/>
      <w:b/>
      <w:caps/>
      <w:kern w:val="32"/>
      <w:sz w:val="18"/>
    </w:rPr>
  </w:style>
  <w:style w:type="paragraph" w:styleId="Heading2">
    <w:name w:val="heading 2"/>
    <w:basedOn w:val="Heading1"/>
    <w:next w:val="Normal"/>
    <w:link w:val="Heading2Char"/>
    <w:uiPriority w:val="99"/>
    <w:semiHidden/>
    <w:pPr>
      <w:outlineLvl w:val="1"/>
    </w:pPr>
    <w:rPr>
      <w:caps w:val="0"/>
    </w:rPr>
  </w:style>
  <w:style w:type="paragraph" w:styleId="Heading3">
    <w:name w:val="heading 3"/>
    <w:basedOn w:val="Heading2"/>
    <w:next w:val="Normal"/>
    <w:link w:val="Heading3Char"/>
    <w:uiPriority w:val="99"/>
    <w:semiHidden/>
    <w:pPr>
      <w:outlineLvl w:val="2"/>
    </w:pPr>
    <w:rPr>
      <w:b w:val="0"/>
      <w:i/>
    </w:rPr>
  </w:style>
  <w:style w:type="paragraph" w:styleId="Heading4">
    <w:name w:val="heading 4"/>
    <w:basedOn w:val="Normal"/>
    <w:next w:val="Normal"/>
    <w:uiPriority w:val="99"/>
    <w:semiHidden/>
    <w:pPr>
      <w:keepNext/>
      <w:numPr>
        <w:ilvl w:val="3"/>
        <w:numId w:val="4"/>
      </w:numPr>
      <w:spacing w:before="240" w:after="60"/>
      <w:outlineLvl w:val="3"/>
    </w:pPr>
    <w:rPr>
      <w:b/>
      <w:sz w:val="28"/>
    </w:rPr>
  </w:style>
  <w:style w:type="paragraph" w:styleId="Heading5">
    <w:name w:val="heading 5"/>
    <w:basedOn w:val="Normal"/>
    <w:next w:val="Normal"/>
    <w:uiPriority w:val="99"/>
    <w:semiHidden/>
    <w:pPr>
      <w:numPr>
        <w:ilvl w:val="4"/>
        <w:numId w:val="4"/>
      </w:numPr>
      <w:spacing w:before="240" w:after="60"/>
      <w:outlineLvl w:val="4"/>
    </w:pPr>
    <w:rPr>
      <w:b/>
      <w:i/>
      <w:sz w:val="26"/>
    </w:rPr>
  </w:style>
  <w:style w:type="paragraph" w:styleId="Heading6">
    <w:name w:val="heading 6"/>
    <w:basedOn w:val="Normal"/>
    <w:next w:val="Normal"/>
    <w:uiPriority w:val="99"/>
    <w:semiHidden/>
    <w:pPr>
      <w:numPr>
        <w:ilvl w:val="5"/>
        <w:numId w:val="4"/>
      </w:numPr>
      <w:spacing w:before="240" w:after="60"/>
      <w:outlineLvl w:val="5"/>
    </w:pPr>
    <w:rPr>
      <w:b/>
      <w:sz w:val="22"/>
    </w:rPr>
  </w:style>
  <w:style w:type="paragraph" w:styleId="Heading7">
    <w:name w:val="heading 7"/>
    <w:basedOn w:val="Normal"/>
    <w:next w:val="Normal"/>
    <w:uiPriority w:val="99"/>
    <w:semiHidden/>
    <w:pPr>
      <w:numPr>
        <w:ilvl w:val="6"/>
        <w:numId w:val="4"/>
      </w:numPr>
      <w:spacing w:before="240" w:after="60"/>
      <w:outlineLvl w:val="6"/>
    </w:pPr>
  </w:style>
  <w:style w:type="paragraph" w:styleId="Heading8">
    <w:name w:val="heading 8"/>
    <w:basedOn w:val="Normal"/>
    <w:next w:val="Normal"/>
    <w:uiPriority w:val="99"/>
    <w:semiHidden/>
    <w:pPr>
      <w:numPr>
        <w:ilvl w:val="7"/>
        <w:numId w:val="4"/>
      </w:numPr>
      <w:spacing w:before="240" w:after="60"/>
      <w:outlineLvl w:val="7"/>
    </w:pPr>
    <w:rPr>
      <w:i/>
    </w:rPr>
  </w:style>
  <w:style w:type="paragraph" w:styleId="Heading9">
    <w:name w:val="heading 9"/>
    <w:basedOn w:val="Normal"/>
    <w:next w:val="Normal"/>
    <w:uiPriority w:val="99"/>
    <w:semiHidden/>
    <w:pPr>
      <w:numPr>
        <w:ilvl w:val="8"/>
        <w:numId w:val="4"/>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Email">
    <w:name w:val="Author Email"/>
    <w:basedOn w:val="Normal"/>
    <w:link w:val="AuthorEmailChar"/>
    <w:uiPriority w:val="99"/>
    <w:qFormat/>
    <w:rsid w:val="00013F1B"/>
    <w:rPr>
      <w:sz w:val="18"/>
    </w:rPr>
  </w:style>
  <w:style w:type="paragraph" w:styleId="Header">
    <w:name w:val="header"/>
    <w:basedOn w:val="Normal"/>
    <w:uiPriority w:val="99"/>
    <w:semiHidden/>
    <w:pPr>
      <w:tabs>
        <w:tab w:val="center" w:pos="4320"/>
        <w:tab w:val="right" w:pos="8640"/>
      </w:tabs>
    </w:pPr>
    <w:rPr>
      <w:rFonts w:ascii="Arial" w:hAnsi="Arial"/>
    </w:rPr>
  </w:style>
  <w:style w:type="paragraph" w:customStyle="1" w:styleId="Author">
    <w:name w:val="Author"/>
    <w:basedOn w:val="Normal"/>
    <w:link w:val="AuthorChar"/>
    <w:pPr>
      <w:spacing w:after="0"/>
      <w:jc w:val="center"/>
    </w:pPr>
    <w:rPr>
      <w:b/>
      <w:color w:val="000000"/>
      <w:sz w:val="24"/>
    </w:rPr>
  </w:style>
  <w:style w:type="character" w:styleId="PageNumber">
    <w:name w:val="page number"/>
    <w:basedOn w:val="DefaultParagraphFont"/>
    <w:uiPriority w:val="99"/>
    <w:semiHidden/>
  </w:style>
  <w:style w:type="paragraph" w:styleId="Title">
    <w:name w:val="Title"/>
    <w:basedOn w:val="Normal"/>
    <w:uiPriority w:val="99"/>
    <w:qFormat/>
    <w:rsid w:val="005A0D7A"/>
    <w:pPr>
      <w:jc w:val="center"/>
      <w:outlineLvl w:val="0"/>
    </w:pPr>
    <w:rPr>
      <w:b/>
      <w:kern w:val="28"/>
      <w:sz w:val="36"/>
    </w:rPr>
  </w:style>
  <w:style w:type="paragraph" w:customStyle="1" w:styleId="FigTableCaption">
    <w:name w:val="Fig/Table Caption"/>
    <w:basedOn w:val="Caption"/>
    <w:link w:val="FigTableCaptionChar"/>
    <w:uiPriority w:val="99"/>
    <w:semiHidden/>
    <w:qFormat/>
    <w:rsid w:val="00D10AD2"/>
  </w:style>
  <w:style w:type="paragraph" w:styleId="Caption">
    <w:name w:val="caption"/>
    <w:basedOn w:val="Normal"/>
    <w:next w:val="Normal"/>
    <w:link w:val="CaptionChar"/>
    <w:uiPriority w:val="99"/>
    <w:semiHidden/>
    <w:qFormat/>
    <w:rsid w:val="00D90F52"/>
    <w:pPr>
      <w:spacing w:before="60"/>
      <w:jc w:val="center"/>
    </w:pPr>
    <w:rPr>
      <w:b/>
      <w:sz w:val="18"/>
    </w:rPr>
  </w:style>
  <w:style w:type="paragraph" w:styleId="Footer">
    <w:name w:val="footer"/>
    <w:basedOn w:val="Normal"/>
    <w:link w:val="FooterChar"/>
    <w:uiPriority w:val="99"/>
    <w:rsid w:val="003907EC"/>
    <w:pPr>
      <w:tabs>
        <w:tab w:val="center" w:pos="4680"/>
        <w:tab w:val="right" w:pos="9360"/>
      </w:tabs>
      <w:spacing w:after="0"/>
    </w:pPr>
  </w:style>
  <w:style w:type="character" w:customStyle="1" w:styleId="AuthorEmailChar">
    <w:name w:val="Author Email Char"/>
    <w:basedOn w:val="DefaultParagraphFont"/>
    <w:link w:val="AuthorEmail"/>
    <w:uiPriority w:val="99"/>
    <w:rsid w:val="00013F1B"/>
    <w:rPr>
      <w:rFonts w:ascii="Times New Roman" w:eastAsia="Times New Roman" w:hAnsi="Times New Roman"/>
      <w:sz w:val="18"/>
    </w:rPr>
  </w:style>
  <w:style w:type="character" w:customStyle="1" w:styleId="FooterChar">
    <w:name w:val="Footer Char"/>
    <w:basedOn w:val="DefaultParagraphFont"/>
    <w:link w:val="Footer"/>
    <w:uiPriority w:val="99"/>
    <w:rsid w:val="003907EC"/>
    <w:rPr>
      <w:rFonts w:ascii="Times New Roman" w:eastAsia="Times New Roman" w:hAnsi="Times New Roman"/>
    </w:rPr>
  </w:style>
  <w:style w:type="paragraph" w:customStyle="1" w:styleId="CaptionFigureandTable">
    <w:name w:val="Caption (Figure and Table)"/>
    <w:basedOn w:val="Normal"/>
    <w:link w:val="CaptionFigureandTableChar"/>
    <w:uiPriority w:val="99"/>
    <w:qFormat/>
    <w:rsid w:val="004C7A86"/>
    <w:pPr>
      <w:jc w:val="center"/>
    </w:pPr>
    <w:rPr>
      <w:b/>
      <w:bCs/>
      <w:szCs w:val="18"/>
    </w:rPr>
  </w:style>
  <w:style w:type="paragraph" w:customStyle="1" w:styleId="Tabletext">
    <w:name w:val="Tabletext"/>
    <w:basedOn w:val="Normal"/>
    <w:link w:val="TabletextChar"/>
    <w:uiPriority w:val="99"/>
    <w:qFormat/>
    <w:rsid w:val="00D642A3"/>
    <w:pPr>
      <w:spacing w:line="240" w:lineRule="auto"/>
      <w:jc w:val="center"/>
    </w:pPr>
    <w:rPr>
      <w:szCs w:val="18"/>
    </w:rPr>
  </w:style>
  <w:style w:type="paragraph" w:styleId="Index1">
    <w:name w:val="index 1"/>
    <w:basedOn w:val="Normal"/>
    <w:next w:val="Normal"/>
    <w:autoRedefine/>
    <w:uiPriority w:val="99"/>
    <w:semiHidden/>
    <w:pPr>
      <w:ind w:left="240" w:hanging="240"/>
    </w:pPr>
  </w:style>
  <w:style w:type="paragraph" w:styleId="Index2">
    <w:name w:val="index 2"/>
    <w:basedOn w:val="Normal"/>
    <w:next w:val="Normal"/>
    <w:autoRedefine/>
    <w:uiPriority w:val="99"/>
    <w:semiHidden/>
    <w:pPr>
      <w:ind w:left="480" w:hanging="240"/>
    </w:pPr>
  </w:style>
  <w:style w:type="paragraph" w:styleId="Index3">
    <w:name w:val="index 3"/>
    <w:basedOn w:val="Normal"/>
    <w:next w:val="Normal"/>
    <w:autoRedefine/>
    <w:uiPriority w:val="99"/>
    <w:semiHidden/>
    <w:pPr>
      <w:ind w:left="720" w:hanging="240"/>
    </w:pPr>
  </w:style>
  <w:style w:type="paragraph" w:styleId="Index4">
    <w:name w:val="index 4"/>
    <w:basedOn w:val="Normal"/>
    <w:next w:val="Normal"/>
    <w:autoRedefine/>
    <w:uiPriority w:val="99"/>
    <w:semiHidden/>
    <w:pPr>
      <w:ind w:left="960" w:hanging="240"/>
    </w:pPr>
  </w:style>
  <w:style w:type="paragraph" w:styleId="Index5">
    <w:name w:val="index 5"/>
    <w:basedOn w:val="Normal"/>
    <w:next w:val="Normal"/>
    <w:autoRedefine/>
    <w:uiPriority w:val="99"/>
    <w:semiHidden/>
    <w:pPr>
      <w:ind w:left="1200" w:hanging="240"/>
    </w:pPr>
  </w:style>
  <w:style w:type="paragraph" w:styleId="Index6">
    <w:name w:val="index 6"/>
    <w:basedOn w:val="Normal"/>
    <w:next w:val="Normal"/>
    <w:autoRedefine/>
    <w:uiPriority w:val="99"/>
    <w:semiHidden/>
    <w:pPr>
      <w:ind w:left="1440" w:hanging="240"/>
    </w:pPr>
  </w:style>
  <w:style w:type="paragraph" w:styleId="Index7">
    <w:name w:val="index 7"/>
    <w:basedOn w:val="Normal"/>
    <w:next w:val="Normal"/>
    <w:autoRedefine/>
    <w:uiPriority w:val="99"/>
    <w:semiHidden/>
    <w:pPr>
      <w:ind w:left="1680" w:hanging="240"/>
    </w:pPr>
  </w:style>
  <w:style w:type="paragraph" w:styleId="Index8">
    <w:name w:val="index 8"/>
    <w:basedOn w:val="Normal"/>
    <w:next w:val="Normal"/>
    <w:autoRedefine/>
    <w:uiPriority w:val="99"/>
    <w:semiHidden/>
    <w:pPr>
      <w:ind w:left="1920" w:hanging="240"/>
    </w:pPr>
  </w:style>
  <w:style w:type="paragraph" w:styleId="Index9">
    <w:name w:val="index 9"/>
    <w:basedOn w:val="Normal"/>
    <w:next w:val="Normal"/>
    <w:autoRedefine/>
    <w:uiPriority w:val="99"/>
    <w:semiHidden/>
    <w:pPr>
      <w:ind w:left="2160" w:hanging="240"/>
    </w:pPr>
  </w:style>
  <w:style w:type="paragraph" w:styleId="IndexHeading">
    <w:name w:val="index heading"/>
    <w:basedOn w:val="Normal"/>
    <w:next w:val="Index1"/>
    <w:uiPriority w:val="99"/>
    <w:semiHidden/>
    <w:rPr>
      <w:rFonts w:ascii="Arial" w:hAnsi="Arial"/>
      <w:b/>
    </w:rPr>
  </w:style>
  <w:style w:type="paragraph" w:styleId="List">
    <w:name w:val="List"/>
    <w:basedOn w:val="Normal"/>
    <w:uiPriority w:val="99"/>
    <w:semiHidden/>
    <w:pPr>
      <w:ind w:left="360" w:hanging="360"/>
    </w:pPr>
  </w:style>
  <w:style w:type="character" w:customStyle="1" w:styleId="CaptionFigureandTableChar">
    <w:name w:val="Caption (Figure and Table) Char"/>
    <w:basedOn w:val="DefaultParagraphFont"/>
    <w:link w:val="CaptionFigureandTable"/>
    <w:uiPriority w:val="99"/>
    <w:rsid w:val="004C7A86"/>
    <w:rPr>
      <w:rFonts w:ascii="Times New Roman" w:eastAsia="Times New Roman" w:hAnsi="Times New Roman"/>
      <w:b/>
      <w:bCs/>
      <w:szCs w:val="18"/>
    </w:rPr>
  </w:style>
  <w:style w:type="character" w:customStyle="1" w:styleId="CaptionChar">
    <w:name w:val="Caption Char"/>
    <w:basedOn w:val="DefaultParagraphFont"/>
    <w:link w:val="Caption"/>
    <w:uiPriority w:val="99"/>
    <w:semiHidden/>
    <w:rsid w:val="00D10AD2"/>
    <w:rPr>
      <w:rFonts w:ascii="Times New Roman" w:eastAsia="Times New Roman" w:hAnsi="Times New Roman"/>
      <w:b/>
      <w:sz w:val="18"/>
    </w:rPr>
  </w:style>
  <w:style w:type="paragraph" w:styleId="List4">
    <w:name w:val="List 4"/>
    <w:basedOn w:val="Normal"/>
    <w:uiPriority w:val="99"/>
    <w:semiHidden/>
    <w:pPr>
      <w:ind w:left="1440" w:hanging="360"/>
    </w:pPr>
  </w:style>
  <w:style w:type="character" w:customStyle="1" w:styleId="FigTableCaptionChar">
    <w:name w:val="Fig/Table Caption Char"/>
    <w:basedOn w:val="CaptionChar"/>
    <w:link w:val="FigTableCaption"/>
    <w:uiPriority w:val="99"/>
    <w:semiHidden/>
    <w:rsid w:val="00D10AD2"/>
    <w:rPr>
      <w:rFonts w:ascii="Times New Roman" w:eastAsia="Times New Roman" w:hAnsi="Times New Roman"/>
      <w:b/>
      <w:sz w:val="18"/>
    </w:rPr>
  </w:style>
  <w:style w:type="character" w:styleId="CommentReference">
    <w:name w:val="annotation reference"/>
    <w:basedOn w:val="DefaultParagraphFont"/>
    <w:uiPriority w:val="99"/>
    <w:semiHidden/>
    <w:rsid w:val="00117CC2"/>
    <w:rPr>
      <w:sz w:val="16"/>
      <w:szCs w:val="16"/>
    </w:rPr>
  </w:style>
  <w:style w:type="character" w:customStyle="1" w:styleId="TabletextChar">
    <w:name w:val="Tabletext Char"/>
    <w:basedOn w:val="DefaultParagraphFont"/>
    <w:link w:val="Tabletext"/>
    <w:uiPriority w:val="99"/>
    <w:rsid w:val="00D642A3"/>
    <w:rPr>
      <w:rFonts w:ascii="Times New Roman" w:eastAsia="Times New Roman" w:hAnsi="Times New Roman"/>
      <w:szCs w:val="18"/>
    </w:rPr>
  </w:style>
  <w:style w:type="paragraph" w:styleId="CommentText">
    <w:name w:val="annotation text"/>
    <w:basedOn w:val="Normal"/>
    <w:link w:val="CommentTextChar"/>
    <w:uiPriority w:val="99"/>
    <w:semiHidden/>
    <w:rsid w:val="00117CC2"/>
  </w:style>
  <w:style w:type="character" w:customStyle="1" w:styleId="CommentTextChar">
    <w:name w:val="Comment Text Char"/>
    <w:basedOn w:val="DefaultParagraphFont"/>
    <w:link w:val="CommentText"/>
    <w:uiPriority w:val="99"/>
    <w:semiHidden/>
    <w:rsid w:val="00117CC2"/>
    <w:rPr>
      <w:rFonts w:ascii="Times New Roman" w:eastAsia="Times New Roman" w:hAnsi="Times New Roman"/>
    </w:rPr>
  </w:style>
  <w:style w:type="paragraph" w:styleId="CommentSubject">
    <w:name w:val="annotation subject"/>
    <w:basedOn w:val="CommentText"/>
    <w:next w:val="CommentText"/>
    <w:link w:val="CommentSubjectChar"/>
    <w:uiPriority w:val="99"/>
    <w:semiHidden/>
    <w:rsid w:val="00117CC2"/>
    <w:rPr>
      <w:b/>
      <w:bCs/>
    </w:rPr>
  </w:style>
  <w:style w:type="character" w:customStyle="1" w:styleId="CommentSubjectChar">
    <w:name w:val="Comment Subject Char"/>
    <w:basedOn w:val="CommentTextChar"/>
    <w:link w:val="CommentSubject"/>
    <w:uiPriority w:val="99"/>
    <w:semiHidden/>
    <w:rsid w:val="00117CC2"/>
    <w:rPr>
      <w:rFonts w:ascii="Times New Roman" w:eastAsia="Times New Roman" w:hAnsi="Times New Roman"/>
      <w:b/>
      <w:bCs/>
    </w:rPr>
  </w:style>
  <w:style w:type="paragraph" w:styleId="ListContinue2">
    <w:name w:val="List Continue 2"/>
    <w:basedOn w:val="Normal"/>
    <w:uiPriority w:val="99"/>
    <w:semiHidden/>
    <w:pPr>
      <w:ind w:left="720"/>
    </w:pPr>
  </w:style>
  <w:style w:type="paragraph" w:styleId="BalloonText">
    <w:name w:val="Balloon Text"/>
    <w:basedOn w:val="Normal"/>
    <w:link w:val="BalloonTextChar"/>
    <w:uiPriority w:val="99"/>
    <w:semiHidden/>
    <w:rsid w:val="00117CC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CC2"/>
    <w:rPr>
      <w:rFonts w:ascii="Segoe UI" w:eastAsia="Times New Roman" w:hAnsi="Segoe UI" w:cs="Segoe UI"/>
      <w:sz w:val="18"/>
      <w:szCs w:val="18"/>
    </w:rPr>
  </w:style>
  <w:style w:type="paragraph" w:styleId="ListContinue5">
    <w:name w:val="List Continue 5"/>
    <w:basedOn w:val="Normal"/>
    <w:uiPriority w:val="99"/>
    <w:semiHidden/>
    <w:pPr>
      <w:ind w:left="1800"/>
    </w:pPr>
  </w:style>
  <w:style w:type="paragraph" w:styleId="ListParagraph">
    <w:name w:val="List Paragraph"/>
    <w:basedOn w:val="Normal"/>
    <w:uiPriority w:val="99"/>
    <w:semiHidden/>
    <w:rsid w:val="00902FC0"/>
    <w:pPr>
      <w:ind w:left="720"/>
      <w:contextualSpacing/>
    </w:pPr>
  </w:style>
  <w:style w:type="paragraph" w:styleId="ListNumber3">
    <w:name w:val="List Number 3"/>
    <w:basedOn w:val="Normal"/>
    <w:uiPriority w:val="99"/>
    <w:semiHidden/>
    <w:pPr>
      <w:numPr>
        <w:numId w:val="1"/>
      </w:numPr>
    </w:pPr>
  </w:style>
  <w:style w:type="paragraph" w:styleId="ListNumber4">
    <w:name w:val="List Number 4"/>
    <w:basedOn w:val="Normal"/>
    <w:uiPriority w:val="99"/>
    <w:semiHidden/>
    <w:pPr>
      <w:numPr>
        <w:numId w:val="2"/>
      </w:numPr>
    </w:pPr>
  </w:style>
  <w:style w:type="paragraph" w:styleId="ListNumber5">
    <w:name w:val="List Number 5"/>
    <w:basedOn w:val="Normal"/>
    <w:uiPriority w:val="99"/>
    <w:semiHidden/>
    <w:pPr>
      <w:numPr>
        <w:numId w:val="3"/>
      </w:numPr>
    </w:pPr>
  </w:style>
  <w:style w:type="paragraph" w:styleId="MacroText">
    <w:name w:val="macro"/>
    <w:uiPriority w:val="99"/>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MessageHeader">
    <w:name w:val="Message Header"/>
    <w:basedOn w:val="Normal"/>
    <w:uiPriority w:val="99"/>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PlainText">
    <w:name w:val="Plain Text"/>
    <w:basedOn w:val="Normal"/>
    <w:uiPriority w:val="99"/>
    <w:semiHidden/>
    <w:rPr>
      <w:rFonts w:ascii="Courier New" w:hAnsi="Courier New"/>
    </w:rPr>
  </w:style>
  <w:style w:type="paragraph" w:styleId="Salutation">
    <w:name w:val="Salutation"/>
    <w:basedOn w:val="Normal"/>
    <w:next w:val="Normal"/>
    <w:uiPriority w:val="99"/>
    <w:semiHidden/>
  </w:style>
  <w:style w:type="paragraph" w:styleId="Signature">
    <w:name w:val="Signature"/>
    <w:basedOn w:val="Normal"/>
    <w:uiPriority w:val="99"/>
    <w:semiHidden/>
    <w:pPr>
      <w:ind w:left="4320"/>
    </w:pPr>
  </w:style>
  <w:style w:type="paragraph" w:styleId="Subtitle">
    <w:name w:val="Subtitle"/>
    <w:basedOn w:val="Normal"/>
    <w:uiPriority w:val="99"/>
    <w:semiHidden/>
    <w:pPr>
      <w:spacing w:after="60"/>
      <w:jc w:val="center"/>
      <w:outlineLvl w:val="1"/>
    </w:pPr>
    <w:rPr>
      <w:rFonts w:ascii="Arial" w:hAnsi="Arial"/>
    </w:rPr>
  </w:style>
  <w:style w:type="paragraph" w:styleId="TOAHeading">
    <w:name w:val="toa heading"/>
    <w:basedOn w:val="Normal"/>
    <w:next w:val="Normal"/>
    <w:uiPriority w:val="99"/>
    <w:semiHidden/>
    <w:pPr>
      <w:spacing w:before="120"/>
    </w:pPr>
    <w:rPr>
      <w:rFonts w:ascii="Arial" w:hAnsi="Arial"/>
      <w:b/>
    </w:rPr>
  </w:style>
  <w:style w:type="paragraph" w:styleId="TOC1">
    <w:name w:val="toc 1"/>
    <w:basedOn w:val="Normal"/>
    <w:next w:val="Normal"/>
    <w:autoRedefine/>
    <w:uiPriority w:val="99"/>
    <w:semiHidden/>
  </w:style>
  <w:style w:type="paragraph" w:styleId="TOC2">
    <w:name w:val="toc 2"/>
    <w:basedOn w:val="Normal"/>
    <w:next w:val="Normal"/>
    <w:autoRedefine/>
    <w:uiPriority w:val="99"/>
    <w:semiHidden/>
    <w:pPr>
      <w:ind w:left="240"/>
    </w:pPr>
  </w:style>
  <w:style w:type="paragraph" w:styleId="TOC3">
    <w:name w:val="toc 3"/>
    <w:basedOn w:val="Normal"/>
    <w:next w:val="Normal"/>
    <w:autoRedefine/>
    <w:uiPriority w:val="99"/>
    <w:semiHidden/>
    <w:pPr>
      <w:ind w:left="480"/>
    </w:pPr>
  </w:style>
  <w:style w:type="paragraph" w:styleId="TOC4">
    <w:name w:val="toc 4"/>
    <w:basedOn w:val="Normal"/>
    <w:next w:val="Normal"/>
    <w:autoRedefine/>
    <w:uiPriority w:val="99"/>
    <w:semiHidden/>
    <w:pPr>
      <w:ind w:left="720"/>
    </w:pPr>
  </w:style>
  <w:style w:type="paragraph" w:styleId="TOC5">
    <w:name w:val="toc 5"/>
    <w:basedOn w:val="Normal"/>
    <w:next w:val="Normal"/>
    <w:autoRedefine/>
    <w:uiPriority w:val="99"/>
    <w:semiHidden/>
    <w:pPr>
      <w:ind w:left="960"/>
    </w:pPr>
  </w:style>
  <w:style w:type="paragraph" w:styleId="TOC6">
    <w:name w:val="toc 6"/>
    <w:basedOn w:val="Normal"/>
    <w:next w:val="Normal"/>
    <w:autoRedefine/>
    <w:uiPriority w:val="99"/>
    <w:semiHidden/>
    <w:pPr>
      <w:ind w:left="1200"/>
    </w:pPr>
  </w:style>
  <w:style w:type="paragraph" w:styleId="TOC7">
    <w:name w:val="toc 7"/>
    <w:basedOn w:val="Normal"/>
    <w:next w:val="Normal"/>
    <w:autoRedefine/>
    <w:uiPriority w:val="99"/>
    <w:semiHidden/>
    <w:pPr>
      <w:ind w:left="1440"/>
    </w:pPr>
  </w:style>
  <w:style w:type="paragraph" w:styleId="TOC8">
    <w:name w:val="toc 8"/>
    <w:basedOn w:val="Normal"/>
    <w:next w:val="Normal"/>
    <w:autoRedefine/>
    <w:uiPriority w:val="99"/>
    <w:semiHidden/>
    <w:pPr>
      <w:ind w:left="1680"/>
    </w:pPr>
  </w:style>
  <w:style w:type="paragraph" w:styleId="TOC9">
    <w:name w:val="toc 9"/>
    <w:basedOn w:val="Normal"/>
    <w:next w:val="Normal"/>
    <w:autoRedefine/>
    <w:uiPriority w:val="99"/>
    <w:semiHidden/>
    <w:pPr>
      <w:ind w:left="1920"/>
    </w:pPr>
  </w:style>
  <w:style w:type="paragraph" w:customStyle="1" w:styleId="References">
    <w:name w:val="References"/>
    <w:basedOn w:val="Normal"/>
    <w:link w:val="ReferencesChar"/>
    <w:autoRedefine/>
    <w:qFormat/>
    <w:rsid w:val="003D43A0"/>
    <w:pPr>
      <w:overflowPunct w:val="0"/>
      <w:autoSpaceDE w:val="0"/>
      <w:autoSpaceDN w:val="0"/>
      <w:adjustRightInd w:val="0"/>
      <w:ind w:left="720" w:hanging="720"/>
      <w:textAlignment w:val="baseline"/>
    </w:pPr>
  </w:style>
  <w:style w:type="paragraph" w:customStyle="1" w:styleId="Abstract">
    <w:name w:val="Abstract"/>
    <w:basedOn w:val="Heading1"/>
    <w:pPr>
      <w:spacing w:before="40"/>
      <w:outlineLvl w:val="9"/>
    </w:pPr>
    <w:rPr>
      <w:rFonts w:ascii="Times New Roman" w:hAnsi="Times New Roman"/>
      <w:kern w:val="28"/>
      <w:sz w:val="24"/>
    </w:rPr>
  </w:style>
  <w:style w:type="character" w:styleId="Hyperlink">
    <w:name w:val="Hyperlink"/>
    <w:uiPriority w:val="99"/>
    <w:semiHidden/>
    <w:rsid w:val="00480565"/>
    <w:rPr>
      <w:color w:val="4173AF"/>
      <w:sz w:val="20"/>
      <w:szCs w:val="20"/>
    </w:rPr>
  </w:style>
  <w:style w:type="paragraph" w:customStyle="1" w:styleId="Affiliation">
    <w:name w:val="Affiliation"/>
    <w:basedOn w:val="Author"/>
    <w:link w:val="AffiliationChar"/>
    <w:rPr>
      <w:b w:val="0"/>
    </w:rPr>
  </w:style>
  <w:style w:type="paragraph" w:customStyle="1" w:styleId="TableText0">
    <w:name w:val="Table Text"/>
    <w:basedOn w:val="Normal"/>
    <w:rsid w:val="00D90F52"/>
    <w:pPr>
      <w:keepLines/>
      <w:spacing w:before="40" w:after="40"/>
      <w:jc w:val="center"/>
    </w:pPr>
  </w:style>
  <w:style w:type="paragraph" w:customStyle="1" w:styleId="AuthorName">
    <w:name w:val="Author Name"/>
    <w:basedOn w:val="Author"/>
    <w:link w:val="AuthorNameChar"/>
    <w:qFormat/>
    <w:rsid w:val="005A0D7A"/>
    <w:pPr>
      <w:jc w:val="left"/>
    </w:pPr>
    <w:rPr>
      <w:sz w:val="20"/>
    </w:rPr>
  </w:style>
  <w:style w:type="paragraph" w:customStyle="1" w:styleId="AuthorAffiliation">
    <w:name w:val="Author Affiliation"/>
    <w:basedOn w:val="Affiliation"/>
    <w:link w:val="AuthorAffiliationChar"/>
    <w:qFormat/>
    <w:rsid w:val="0042437D"/>
    <w:pPr>
      <w:jc w:val="left"/>
    </w:pPr>
    <w:rPr>
      <w:sz w:val="20"/>
    </w:rPr>
  </w:style>
  <w:style w:type="character" w:customStyle="1" w:styleId="AuthorChar">
    <w:name w:val="Author Char"/>
    <w:basedOn w:val="DefaultParagraphFont"/>
    <w:link w:val="Author"/>
    <w:rsid w:val="005A2C27"/>
    <w:rPr>
      <w:rFonts w:ascii="Times New Roman" w:eastAsia="Times New Roman" w:hAnsi="Times New Roman"/>
      <w:b/>
      <w:color w:val="000000"/>
      <w:sz w:val="24"/>
    </w:rPr>
  </w:style>
  <w:style w:type="character" w:customStyle="1" w:styleId="AuthorNameChar">
    <w:name w:val="Author Name Char"/>
    <w:basedOn w:val="AuthorChar"/>
    <w:link w:val="AuthorName"/>
    <w:rsid w:val="005A0D7A"/>
    <w:rPr>
      <w:rFonts w:ascii="Times New Roman" w:eastAsia="Times New Roman" w:hAnsi="Times New Roman"/>
      <w:b/>
      <w:color w:val="000000"/>
      <w:sz w:val="24"/>
    </w:rPr>
  </w:style>
  <w:style w:type="character" w:customStyle="1" w:styleId="AffiliationChar">
    <w:name w:val="Affiliation Char"/>
    <w:basedOn w:val="AuthorChar"/>
    <w:link w:val="Affiliation"/>
    <w:rsid w:val="005A2C27"/>
    <w:rPr>
      <w:rFonts w:ascii="Times New Roman" w:eastAsia="Times New Roman" w:hAnsi="Times New Roman"/>
      <w:b w:val="0"/>
      <w:color w:val="000000"/>
      <w:sz w:val="24"/>
    </w:rPr>
  </w:style>
  <w:style w:type="character" w:customStyle="1" w:styleId="AuthorAffiliationChar">
    <w:name w:val="Author Affiliation Char"/>
    <w:basedOn w:val="AffiliationChar"/>
    <w:link w:val="AuthorAffiliation"/>
    <w:rsid w:val="0042437D"/>
    <w:rPr>
      <w:rFonts w:ascii="Times New Roman" w:eastAsia="Times New Roman" w:hAnsi="Times New Roman"/>
      <w:b w:val="0"/>
      <w:color w:val="000000"/>
      <w:sz w:val="24"/>
    </w:rPr>
  </w:style>
  <w:style w:type="paragraph" w:customStyle="1" w:styleId="SectionHeading">
    <w:name w:val="Section Heading"/>
    <w:basedOn w:val="Heading1"/>
    <w:link w:val="SectionHeadingChar"/>
    <w:qFormat/>
    <w:rsid w:val="002263C9"/>
    <w:pPr>
      <w:numPr>
        <w:numId w:val="8"/>
      </w:numPr>
      <w:tabs>
        <w:tab w:val="left" w:pos="360"/>
      </w:tabs>
      <w:spacing w:before="0" w:after="120"/>
      <w:jc w:val="left"/>
    </w:pPr>
    <w:rPr>
      <w:rFonts w:ascii="Times New Roman" w:hAnsi="Times New Roman"/>
      <w:caps w:val="0"/>
      <w:sz w:val="20"/>
    </w:rPr>
  </w:style>
  <w:style w:type="character" w:customStyle="1" w:styleId="ReferencesChar">
    <w:name w:val="References Char"/>
    <w:basedOn w:val="DefaultParagraphFont"/>
    <w:link w:val="References"/>
    <w:rsid w:val="003D43A0"/>
    <w:rPr>
      <w:rFonts w:ascii="Times New Roman" w:eastAsia="Times New Roman" w:hAnsi="Times New Roman"/>
    </w:rPr>
  </w:style>
  <w:style w:type="paragraph" w:customStyle="1" w:styleId="NumberedList">
    <w:name w:val="Numbered List"/>
    <w:basedOn w:val="Normal"/>
    <w:link w:val="NumberedListChar"/>
    <w:qFormat/>
    <w:rsid w:val="003D43A0"/>
    <w:pPr>
      <w:numPr>
        <w:numId w:val="5"/>
      </w:numPr>
      <w:tabs>
        <w:tab w:val="left" w:pos="180"/>
      </w:tabs>
      <w:overflowPunct w:val="0"/>
      <w:autoSpaceDE w:val="0"/>
      <w:autoSpaceDN w:val="0"/>
      <w:adjustRightInd w:val="0"/>
      <w:ind w:left="187" w:hanging="187"/>
      <w:jc w:val="left"/>
      <w:textAlignment w:val="baseline"/>
    </w:pPr>
  </w:style>
  <w:style w:type="character" w:customStyle="1" w:styleId="Heading1Char">
    <w:name w:val="Heading 1 Char"/>
    <w:basedOn w:val="DefaultParagraphFont"/>
    <w:link w:val="Heading1"/>
    <w:uiPriority w:val="9"/>
    <w:rsid w:val="00D10AD2"/>
    <w:rPr>
      <w:rFonts w:ascii="Arial" w:eastAsia="Times New Roman" w:hAnsi="Arial"/>
      <w:b/>
      <w:caps/>
      <w:kern w:val="32"/>
      <w:sz w:val="18"/>
    </w:rPr>
  </w:style>
  <w:style w:type="character" w:customStyle="1" w:styleId="SectionHeadingChar">
    <w:name w:val="Section Heading Char"/>
    <w:basedOn w:val="Heading1Char"/>
    <w:link w:val="SectionHeading"/>
    <w:rsid w:val="002263C9"/>
    <w:rPr>
      <w:rFonts w:ascii="Times New Roman" w:eastAsia="Times New Roman" w:hAnsi="Times New Roman"/>
      <w:b/>
      <w:caps w:val="0"/>
      <w:kern w:val="32"/>
      <w:sz w:val="18"/>
    </w:rPr>
  </w:style>
  <w:style w:type="paragraph" w:customStyle="1" w:styleId="Sub-sectionHeader">
    <w:name w:val="Sub-section Header"/>
    <w:basedOn w:val="Heading2"/>
    <w:link w:val="Sub-sectionHeaderChar"/>
    <w:qFormat/>
    <w:rsid w:val="002263C9"/>
    <w:pPr>
      <w:numPr>
        <w:ilvl w:val="1"/>
        <w:numId w:val="7"/>
      </w:numPr>
      <w:tabs>
        <w:tab w:val="left" w:pos="360"/>
      </w:tabs>
      <w:spacing w:before="0" w:after="120"/>
      <w:ind w:left="0" w:firstLine="0"/>
      <w:jc w:val="left"/>
    </w:pPr>
    <w:rPr>
      <w:rFonts w:ascii="Times New Roman" w:hAnsi="Times New Roman"/>
      <w:sz w:val="20"/>
    </w:rPr>
  </w:style>
  <w:style w:type="character" w:customStyle="1" w:styleId="NumberedListChar">
    <w:name w:val="Numbered List Char"/>
    <w:basedOn w:val="DefaultParagraphFont"/>
    <w:link w:val="NumberedList"/>
    <w:rsid w:val="003D43A0"/>
    <w:rPr>
      <w:rFonts w:ascii="Times New Roman" w:eastAsia="Times New Roman" w:hAnsi="Times New Roman"/>
    </w:rPr>
  </w:style>
  <w:style w:type="paragraph" w:customStyle="1" w:styleId="Sub-sub-sectionheader">
    <w:name w:val="Sub-sub-section header"/>
    <w:basedOn w:val="Sub-sectionHeader"/>
    <w:link w:val="Sub-sub-sectionheaderChar"/>
    <w:qFormat/>
    <w:rsid w:val="002263C9"/>
    <w:pPr>
      <w:numPr>
        <w:ilvl w:val="2"/>
      </w:numPr>
      <w:ind w:left="0" w:firstLine="0"/>
    </w:pPr>
  </w:style>
  <w:style w:type="character" w:customStyle="1" w:styleId="Heading2Char">
    <w:name w:val="Heading 2 Char"/>
    <w:basedOn w:val="Heading1Char"/>
    <w:link w:val="Heading2"/>
    <w:uiPriority w:val="99"/>
    <w:semiHidden/>
    <w:rsid w:val="00D10AD2"/>
    <w:rPr>
      <w:rFonts w:ascii="Arial" w:eastAsia="Times New Roman" w:hAnsi="Arial"/>
      <w:b/>
      <w:caps w:val="0"/>
      <w:kern w:val="32"/>
      <w:sz w:val="18"/>
    </w:rPr>
  </w:style>
  <w:style w:type="character" w:customStyle="1" w:styleId="Sub-sectionHeaderChar">
    <w:name w:val="Sub-section Header Char"/>
    <w:basedOn w:val="Heading2Char"/>
    <w:link w:val="Sub-sectionHeader"/>
    <w:rsid w:val="002263C9"/>
    <w:rPr>
      <w:rFonts w:ascii="Times New Roman" w:eastAsia="Times New Roman" w:hAnsi="Times New Roman"/>
      <w:b/>
      <w:caps w:val="0"/>
      <w:kern w:val="32"/>
      <w:sz w:val="18"/>
    </w:rPr>
  </w:style>
  <w:style w:type="paragraph" w:customStyle="1" w:styleId="BulletedList">
    <w:name w:val="Bulleted List"/>
    <w:basedOn w:val="NumberedList"/>
    <w:link w:val="BulletedListChar"/>
    <w:qFormat/>
    <w:rsid w:val="003D43A0"/>
    <w:pPr>
      <w:numPr>
        <w:numId w:val="6"/>
      </w:numPr>
    </w:pPr>
  </w:style>
  <w:style w:type="character" w:customStyle="1" w:styleId="Heading3Char">
    <w:name w:val="Heading 3 Char"/>
    <w:basedOn w:val="Heading2Char"/>
    <w:link w:val="Heading3"/>
    <w:uiPriority w:val="99"/>
    <w:semiHidden/>
    <w:rsid w:val="00D10AD2"/>
    <w:rPr>
      <w:rFonts w:ascii="Arial" w:eastAsia="Times New Roman" w:hAnsi="Arial"/>
      <w:b w:val="0"/>
      <w:i/>
      <w:caps w:val="0"/>
      <w:kern w:val="32"/>
      <w:sz w:val="18"/>
    </w:rPr>
  </w:style>
  <w:style w:type="character" w:customStyle="1" w:styleId="Sub-sub-sectionheaderChar">
    <w:name w:val="Sub-sub-section header Char"/>
    <w:basedOn w:val="Heading3Char"/>
    <w:link w:val="Sub-sub-sectionheader"/>
    <w:rsid w:val="002263C9"/>
    <w:rPr>
      <w:rFonts w:ascii="Times New Roman" w:eastAsia="Times New Roman" w:hAnsi="Times New Roman"/>
      <w:b/>
      <w:i w:val="0"/>
      <w:caps w:val="0"/>
      <w:kern w:val="32"/>
      <w:sz w:val="18"/>
    </w:rPr>
  </w:style>
  <w:style w:type="character" w:customStyle="1" w:styleId="BulletedListChar">
    <w:name w:val="Bulleted List Char"/>
    <w:basedOn w:val="NumberedListChar"/>
    <w:link w:val="BulletedList"/>
    <w:rsid w:val="003D43A0"/>
    <w:rPr>
      <w:rFonts w:ascii="Times New Roman" w:eastAsia="Times New Roman" w:hAnsi="Times New Roman"/>
    </w:rPr>
  </w:style>
  <w:style w:type="paragraph" w:styleId="Bibliography">
    <w:name w:val="Bibliography"/>
    <w:basedOn w:val="Normal"/>
    <w:next w:val="Normal"/>
    <w:uiPriority w:val="99"/>
    <w:unhideWhenUsed/>
    <w:rsid w:val="000D0E76"/>
  </w:style>
  <w:style w:type="character" w:styleId="FollowedHyperlink">
    <w:name w:val="FollowedHyperlink"/>
    <w:basedOn w:val="DefaultParagraphFont"/>
    <w:uiPriority w:val="99"/>
    <w:semiHidden/>
    <w:rsid w:val="000D0E76"/>
    <w:rPr>
      <w:color w:val="800080" w:themeColor="followedHyperlink"/>
      <w:u w:val="single"/>
    </w:rPr>
  </w:style>
  <w:style w:type="character" w:styleId="PlaceholderText">
    <w:name w:val="Placeholder Text"/>
    <w:basedOn w:val="DefaultParagraphFont"/>
    <w:uiPriority w:val="99"/>
    <w:semiHidden/>
    <w:rsid w:val="00B6263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7390">
      <w:bodyDiv w:val="1"/>
      <w:marLeft w:val="0"/>
      <w:marRight w:val="0"/>
      <w:marTop w:val="0"/>
      <w:marBottom w:val="0"/>
      <w:divBdr>
        <w:top w:val="none" w:sz="0" w:space="0" w:color="auto"/>
        <w:left w:val="none" w:sz="0" w:space="0" w:color="auto"/>
        <w:bottom w:val="none" w:sz="0" w:space="0" w:color="auto"/>
        <w:right w:val="none" w:sz="0" w:space="0" w:color="auto"/>
      </w:divBdr>
    </w:div>
    <w:div w:id="25565633">
      <w:bodyDiv w:val="1"/>
      <w:marLeft w:val="0"/>
      <w:marRight w:val="0"/>
      <w:marTop w:val="0"/>
      <w:marBottom w:val="0"/>
      <w:divBdr>
        <w:top w:val="none" w:sz="0" w:space="0" w:color="auto"/>
        <w:left w:val="none" w:sz="0" w:space="0" w:color="auto"/>
        <w:bottom w:val="none" w:sz="0" w:space="0" w:color="auto"/>
        <w:right w:val="none" w:sz="0" w:space="0" w:color="auto"/>
      </w:divBdr>
    </w:div>
    <w:div w:id="51780730">
      <w:bodyDiv w:val="1"/>
      <w:marLeft w:val="0"/>
      <w:marRight w:val="0"/>
      <w:marTop w:val="0"/>
      <w:marBottom w:val="0"/>
      <w:divBdr>
        <w:top w:val="none" w:sz="0" w:space="0" w:color="auto"/>
        <w:left w:val="none" w:sz="0" w:space="0" w:color="auto"/>
        <w:bottom w:val="none" w:sz="0" w:space="0" w:color="auto"/>
        <w:right w:val="none" w:sz="0" w:space="0" w:color="auto"/>
      </w:divBdr>
    </w:div>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66659266">
      <w:bodyDiv w:val="1"/>
      <w:marLeft w:val="0"/>
      <w:marRight w:val="0"/>
      <w:marTop w:val="0"/>
      <w:marBottom w:val="0"/>
      <w:divBdr>
        <w:top w:val="none" w:sz="0" w:space="0" w:color="auto"/>
        <w:left w:val="none" w:sz="0" w:space="0" w:color="auto"/>
        <w:bottom w:val="none" w:sz="0" w:space="0" w:color="auto"/>
        <w:right w:val="none" w:sz="0" w:space="0" w:color="auto"/>
      </w:divBdr>
    </w:div>
    <w:div w:id="71589747">
      <w:bodyDiv w:val="1"/>
      <w:marLeft w:val="0"/>
      <w:marRight w:val="0"/>
      <w:marTop w:val="0"/>
      <w:marBottom w:val="0"/>
      <w:divBdr>
        <w:top w:val="none" w:sz="0" w:space="0" w:color="auto"/>
        <w:left w:val="none" w:sz="0" w:space="0" w:color="auto"/>
        <w:bottom w:val="none" w:sz="0" w:space="0" w:color="auto"/>
        <w:right w:val="none" w:sz="0" w:space="0" w:color="auto"/>
      </w:divBdr>
    </w:div>
    <w:div w:id="76826730">
      <w:bodyDiv w:val="1"/>
      <w:marLeft w:val="0"/>
      <w:marRight w:val="0"/>
      <w:marTop w:val="0"/>
      <w:marBottom w:val="0"/>
      <w:divBdr>
        <w:top w:val="none" w:sz="0" w:space="0" w:color="auto"/>
        <w:left w:val="none" w:sz="0" w:space="0" w:color="auto"/>
        <w:bottom w:val="none" w:sz="0" w:space="0" w:color="auto"/>
        <w:right w:val="none" w:sz="0" w:space="0" w:color="auto"/>
      </w:divBdr>
    </w:div>
    <w:div w:id="80760784">
      <w:bodyDiv w:val="1"/>
      <w:marLeft w:val="0"/>
      <w:marRight w:val="0"/>
      <w:marTop w:val="0"/>
      <w:marBottom w:val="0"/>
      <w:divBdr>
        <w:top w:val="none" w:sz="0" w:space="0" w:color="auto"/>
        <w:left w:val="none" w:sz="0" w:space="0" w:color="auto"/>
        <w:bottom w:val="none" w:sz="0" w:space="0" w:color="auto"/>
        <w:right w:val="none" w:sz="0" w:space="0" w:color="auto"/>
      </w:divBdr>
    </w:div>
    <w:div w:id="86854749">
      <w:bodyDiv w:val="1"/>
      <w:marLeft w:val="0"/>
      <w:marRight w:val="0"/>
      <w:marTop w:val="0"/>
      <w:marBottom w:val="0"/>
      <w:divBdr>
        <w:top w:val="none" w:sz="0" w:space="0" w:color="auto"/>
        <w:left w:val="none" w:sz="0" w:space="0" w:color="auto"/>
        <w:bottom w:val="none" w:sz="0" w:space="0" w:color="auto"/>
        <w:right w:val="none" w:sz="0" w:space="0" w:color="auto"/>
      </w:divBdr>
    </w:div>
    <w:div w:id="93282089">
      <w:bodyDiv w:val="1"/>
      <w:marLeft w:val="0"/>
      <w:marRight w:val="0"/>
      <w:marTop w:val="0"/>
      <w:marBottom w:val="0"/>
      <w:divBdr>
        <w:top w:val="none" w:sz="0" w:space="0" w:color="auto"/>
        <w:left w:val="none" w:sz="0" w:space="0" w:color="auto"/>
        <w:bottom w:val="none" w:sz="0" w:space="0" w:color="auto"/>
        <w:right w:val="none" w:sz="0" w:space="0" w:color="auto"/>
      </w:divBdr>
    </w:div>
    <w:div w:id="93332318">
      <w:bodyDiv w:val="1"/>
      <w:marLeft w:val="0"/>
      <w:marRight w:val="0"/>
      <w:marTop w:val="0"/>
      <w:marBottom w:val="0"/>
      <w:divBdr>
        <w:top w:val="none" w:sz="0" w:space="0" w:color="auto"/>
        <w:left w:val="none" w:sz="0" w:space="0" w:color="auto"/>
        <w:bottom w:val="none" w:sz="0" w:space="0" w:color="auto"/>
        <w:right w:val="none" w:sz="0" w:space="0" w:color="auto"/>
      </w:divBdr>
    </w:div>
    <w:div w:id="93525158">
      <w:bodyDiv w:val="1"/>
      <w:marLeft w:val="0"/>
      <w:marRight w:val="0"/>
      <w:marTop w:val="0"/>
      <w:marBottom w:val="0"/>
      <w:divBdr>
        <w:top w:val="none" w:sz="0" w:space="0" w:color="auto"/>
        <w:left w:val="none" w:sz="0" w:space="0" w:color="auto"/>
        <w:bottom w:val="none" w:sz="0" w:space="0" w:color="auto"/>
        <w:right w:val="none" w:sz="0" w:space="0" w:color="auto"/>
      </w:divBdr>
    </w:div>
    <w:div w:id="97213635">
      <w:bodyDiv w:val="1"/>
      <w:marLeft w:val="0"/>
      <w:marRight w:val="0"/>
      <w:marTop w:val="0"/>
      <w:marBottom w:val="0"/>
      <w:divBdr>
        <w:top w:val="none" w:sz="0" w:space="0" w:color="auto"/>
        <w:left w:val="none" w:sz="0" w:space="0" w:color="auto"/>
        <w:bottom w:val="none" w:sz="0" w:space="0" w:color="auto"/>
        <w:right w:val="none" w:sz="0" w:space="0" w:color="auto"/>
      </w:divBdr>
    </w:div>
    <w:div w:id="111557756">
      <w:bodyDiv w:val="1"/>
      <w:marLeft w:val="0"/>
      <w:marRight w:val="0"/>
      <w:marTop w:val="0"/>
      <w:marBottom w:val="0"/>
      <w:divBdr>
        <w:top w:val="none" w:sz="0" w:space="0" w:color="auto"/>
        <w:left w:val="none" w:sz="0" w:space="0" w:color="auto"/>
        <w:bottom w:val="none" w:sz="0" w:space="0" w:color="auto"/>
        <w:right w:val="none" w:sz="0" w:space="0" w:color="auto"/>
      </w:divBdr>
    </w:div>
    <w:div w:id="120077396">
      <w:bodyDiv w:val="1"/>
      <w:marLeft w:val="0"/>
      <w:marRight w:val="0"/>
      <w:marTop w:val="0"/>
      <w:marBottom w:val="0"/>
      <w:divBdr>
        <w:top w:val="none" w:sz="0" w:space="0" w:color="auto"/>
        <w:left w:val="none" w:sz="0" w:space="0" w:color="auto"/>
        <w:bottom w:val="none" w:sz="0" w:space="0" w:color="auto"/>
        <w:right w:val="none" w:sz="0" w:space="0" w:color="auto"/>
      </w:divBdr>
    </w:div>
    <w:div w:id="147290644">
      <w:bodyDiv w:val="1"/>
      <w:marLeft w:val="0"/>
      <w:marRight w:val="0"/>
      <w:marTop w:val="0"/>
      <w:marBottom w:val="0"/>
      <w:divBdr>
        <w:top w:val="none" w:sz="0" w:space="0" w:color="auto"/>
        <w:left w:val="none" w:sz="0" w:space="0" w:color="auto"/>
        <w:bottom w:val="none" w:sz="0" w:space="0" w:color="auto"/>
        <w:right w:val="none" w:sz="0" w:space="0" w:color="auto"/>
      </w:divBdr>
    </w:div>
    <w:div w:id="183174595">
      <w:bodyDiv w:val="1"/>
      <w:marLeft w:val="0"/>
      <w:marRight w:val="0"/>
      <w:marTop w:val="0"/>
      <w:marBottom w:val="0"/>
      <w:divBdr>
        <w:top w:val="none" w:sz="0" w:space="0" w:color="auto"/>
        <w:left w:val="none" w:sz="0" w:space="0" w:color="auto"/>
        <w:bottom w:val="none" w:sz="0" w:space="0" w:color="auto"/>
        <w:right w:val="none" w:sz="0" w:space="0" w:color="auto"/>
      </w:divBdr>
    </w:div>
    <w:div w:id="193734163">
      <w:bodyDiv w:val="1"/>
      <w:marLeft w:val="0"/>
      <w:marRight w:val="0"/>
      <w:marTop w:val="0"/>
      <w:marBottom w:val="0"/>
      <w:divBdr>
        <w:top w:val="none" w:sz="0" w:space="0" w:color="auto"/>
        <w:left w:val="none" w:sz="0" w:space="0" w:color="auto"/>
        <w:bottom w:val="none" w:sz="0" w:space="0" w:color="auto"/>
        <w:right w:val="none" w:sz="0" w:space="0" w:color="auto"/>
      </w:divBdr>
    </w:div>
    <w:div w:id="214893769">
      <w:bodyDiv w:val="1"/>
      <w:marLeft w:val="0"/>
      <w:marRight w:val="0"/>
      <w:marTop w:val="0"/>
      <w:marBottom w:val="0"/>
      <w:divBdr>
        <w:top w:val="none" w:sz="0" w:space="0" w:color="auto"/>
        <w:left w:val="none" w:sz="0" w:space="0" w:color="auto"/>
        <w:bottom w:val="none" w:sz="0" w:space="0" w:color="auto"/>
        <w:right w:val="none" w:sz="0" w:space="0" w:color="auto"/>
      </w:divBdr>
    </w:div>
    <w:div w:id="217211737">
      <w:bodyDiv w:val="1"/>
      <w:marLeft w:val="0"/>
      <w:marRight w:val="0"/>
      <w:marTop w:val="0"/>
      <w:marBottom w:val="0"/>
      <w:divBdr>
        <w:top w:val="none" w:sz="0" w:space="0" w:color="auto"/>
        <w:left w:val="none" w:sz="0" w:space="0" w:color="auto"/>
        <w:bottom w:val="none" w:sz="0" w:space="0" w:color="auto"/>
        <w:right w:val="none" w:sz="0" w:space="0" w:color="auto"/>
      </w:divBdr>
    </w:div>
    <w:div w:id="227957192">
      <w:bodyDiv w:val="1"/>
      <w:marLeft w:val="0"/>
      <w:marRight w:val="0"/>
      <w:marTop w:val="0"/>
      <w:marBottom w:val="0"/>
      <w:divBdr>
        <w:top w:val="none" w:sz="0" w:space="0" w:color="auto"/>
        <w:left w:val="none" w:sz="0" w:space="0" w:color="auto"/>
        <w:bottom w:val="none" w:sz="0" w:space="0" w:color="auto"/>
        <w:right w:val="none" w:sz="0" w:space="0" w:color="auto"/>
      </w:divBdr>
    </w:div>
    <w:div w:id="228197336">
      <w:bodyDiv w:val="1"/>
      <w:marLeft w:val="0"/>
      <w:marRight w:val="0"/>
      <w:marTop w:val="0"/>
      <w:marBottom w:val="0"/>
      <w:divBdr>
        <w:top w:val="none" w:sz="0" w:space="0" w:color="auto"/>
        <w:left w:val="none" w:sz="0" w:space="0" w:color="auto"/>
        <w:bottom w:val="none" w:sz="0" w:space="0" w:color="auto"/>
        <w:right w:val="none" w:sz="0" w:space="0" w:color="auto"/>
      </w:divBdr>
    </w:div>
    <w:div w:id="233516359">
      <w:bodyDiv w:val="1"/>
      <w:marLeft w:val="0"/>
      <w:marRight w:val="0"/>
      <w:marTop w:val="0"/>
      <w:marBottom w:val="0"/>
      <w:divBdr>
        <w:top w:val="none" w:sz="0" w:space="0" w:color="auto"/>
        <w:left w:val="none" w:sz="0" w:space="0" w:color="auto"/>
        <w:bottom w:val="none" w:sz="0" w:space="0" w:color="auto"/>
        <w:right w:val="none" w:sz="0" w:space="0" w:color="auto"/>
      </w:divBdr>
    </w:div>
    <w:div w:id="243149459">
      <w:bodyDiv w:val="1"/>
      <w:marLeft w:val="0"/>
      <w:marRight w:val="0"/>
      <w:marTop w:val="0"/>
      <w:marBottom w:val="0"/>
      <w:divBdr>
        <w:top w:val="none" w:sz="0" w:space="0" w:color="auto"/>
        <w:left w:val="none" w:sz="0" w:space="0" w:color="auto"/>
        <w:bottom w:val="none" w:sz="0" w:space="0" w:color="auto"/>
        <w:right w:val="none" w:sz="0" w:space="0" w:color="auto"/>
      </w:divBdr>
    </w:div>
    <w:div w:id="260266431">
      <w:bodyDiv w:val="1"/>
      <w:marLeft w:val="0"/>
      <w:marRight w:val="0"/>
      <w:marTop w:val="0"/>
      <w:marBottom w:val="0"/>
      <w:divBdr>
        <w:top w:val="none" w:sz="0" w:space="0" w:color="auto"/>
        <w:left w:val="none" w:sz="0" w:space="0" w:color="auto"/>
        <w:bottom w:val="none" w:sz="0" w:space="0" w:color="auto"/>
        <w:right w:val="none" w:sz="0" w:space="0" w:color="auto"/>
      </w:divBdr>
    </w:div>
    <w:div w:id="264584159">
      <w:bodyDiv w:val="1"/>
      <w:marLeft w:val="0"/>
      <w:marRight w:val="0"/>
      <w:marTop w:val="0"/>
      <w:marBottom w:val="0"/>
      <w:divBdr>
        <w:top w:val="none" w:sz="0" w:space="0" w:color="auto"/>
        <w:left w:val="none" w:sz="0" w:space="0" w:color="auto"/>
        <w:bottom w:val="none" w:sz="0" w:space="0" w:color="auto"/>
        <w:right w:val="none" w:sz="0" w:space="0" w:color="auto"/>
      </w:divBdr>
    </w:div>
    <w:div w:id="290016995">
      <w:bodyDiv w:val="1"/>
      <w:marLeft w:val="0"/>
      <w:marRight w:val="0"/>
      <w:marTop w:val="0"/>
      <w:marBottom w:val="0"/>
      <w:divBdr>
        <w:top w:val="none" w:sz="0" w:space="0" w:color="auto"/>
        <w:left w:val="none" w:sz="0" w:space="0" w:color="auto"/>
        <w:bottom w:val="none" w:sz="0" w:space="0" w:color="auto"/>
        <w:right w:val="none" w:sz="0" w:space="0" w:color="auto"/>
      </w:divBdr>
    </w:div>
    <w:div w:id="309217288">
      <w:bodyDiv w:val="1"/>
      <w:marLeft w:val="0"/>
      <w:marRight w:val="0"/>
      <w:marTop w:val="0"/>
      <w:marBottom w:val="0"/>
      <w:divBdr>
        <w:top w:val="none" w:sz="0" w:space="0" w:color="auto"/>
        <w:left w:val="none" w:sz="0" w:space="0" w:color="auto"/>
        <w:bottom w:val="none" w:sz="0" w:space="0" w:color="auto"/>
        <w:right w:val="none" w:sz="0" w:space="0" w:color="auto"/>
      </w:divBdr>
    </w:div>
    <w:div w:id="322509894">
      <w:bodyDiv w:val="1"/>
      <w:marLeft w:val="0"/>
      <w:marRight w:val="0"/>
      <w:marTop w:val="0"/>
      <w:marBottom w:val="0"/>
      <w:divBdr>
        <w:top w:val="none" w:sz="0" w:space="0" w:color="auto"/>
        <w:left w:val="none" w:sz="0" w:space="0" w:color="auto"/>
        <w:bottom w:val="none" w:sz="0" w:space="0" w:color="auto"/>
        <w:right w:val="none" w:sz="0" w:space="0" w:color="auto"/>
      </w:divBdr>
    </w:div>
    <w:div w:id="341014069">
      <w:bodyDiv w:val="1"/>
      <w:marLeft w:val="0"/>
      <w:marRight w:val="0"/>
      <w:marTop w:val="0"/>
      <w:marBottom w:val="0"/>
      <w:divBdr>
        <w:top w:val="none" w:sz="0" w:space="0" w:color="auto"/>
        <w:left w:val="none" w:sz="0" w:space="0" w:color="auto"/>
        <w:bottom w:val="none" w:sz="0" w:space="0" w:color="auto"/>
        <w:right w:val="none" w:sz="0" w:space="0" w:color="auto"/>
      </w:divBdr>
    </w:div>
    <w:div w:id="343174370">
      <w:bodyDiv w:val="1"/>
      <w:marLeft w:val="0"/>
      <w:marRight w:val="0"/>
      <w:marTop w:val="0"/>
      <w:marBottom w:val="0"/>
      <w:divBdr>
        <w:top w:val="none" w:sz="0" w:space="0" w:color="auto"/>
        <w:left w:val="none" w:sz="0" w:space="0" w:color="auto"/>
        <w:bottom w:val="none" w:sz="0" w:space="0" w:color="auto"/>
        <w:right w:val="none" w:sz="0" w:space="0" w:color="auto"/>
      </w:divBdr>
    </w:div>
    <w:div w:id="360129973">
      <w:bodyDiv w:val="1"/>
      <w:marLeft w:val="0"/>
      <w:marRight w:val="0"/>
      <w:marTop w:val="0"/>
      <w:marBottom w:val="0"/>
      <w:divBdr>
        <w:top w:val="none" w:sz="0" w:space="0" w:color="auto"/>
        <w:left w:val="none" w:sz="0" w:space="0" w:color="auto"/>
        <w:bottom w:val="none" w:sz="0" w:space="0" w:color="auto"/>
        <w:right w:val="none" w:sz="0" w:space="0" w:color="auto"/>
      </w:divBdr>
    </w:div>
    <w:div w:id="384958825">
      <w:bodyDiv w:val="1"/>
      <w:marLeft w:val="0"/>
      <w:marRight w:val="0"/>
      <w:marTop w:val="0"/>
      <w:marBottom w:val="0"/>
      <w:divBdr>
        <w:top w:val="none" w:sz="0" w:space="0" w:color="auto"/>
        <w:left w:val="none" w:sz="0" w:space="0" w:color="auto"/>
        <w:bottom w:val="none" w:sz="0" w:space="0" w:color="auto"/>
        <w:right w:val="none" w:sz="0" w:space="0" w:color="auto"/>
      </w:divBdr>
    </w:div>
    <w:div w:id="398867300">
      <w:bodyDiv w:val="1"/>
      <w:marLeft w:val="0"/>
      <w:marRight w:val="0"/>
      <w:marTop w:val="0"/>
      <w:marBottom w:val="0"/>
      <w:divBdr>
        <w:top w:val="none" w:sz="0" w:space="0" w:color="auto"/>
        <w:left w:val="none" w:sz="0" w:space="0" w:color="auto"/>
        <w:bottom w:val="none" w:sz="0" w:space="0" w:color="auto"/>
        <w:right w:val="none" w:sz="0" w:space="0" w:color="auto"/>
      </w:divBdr>
    </w:div>
    <w:div w:id="406926464">
      <w:bodyDiv w:val="1"/>
      <w:marLeft w:val="0"/>
      <w:marRight w:val="0"/>
      <w:marTop w:val="0"/>
      <w:marBottom w:val="0"/>
      <w:divBdr>
        <w:top w:val="none" w:sz="0" w:space="0" w:color="auto"/>
        <w:left w:val="none" w:sz="0" w:space="0" w:color="auto"/>
        <w:bottom w:val="none" w:sz="0" w:space="0" w:color="auto"/>
        <w:right w:val="none" w:sz="0" w:space="0" w:color="auto"/>
      </w:divBdr>
    </w:div>
    <w:div w:id="419133701">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435029084">
      <w:bodyDiv w:val="1"/>
      <w:marLeft w:val="0"/>
      <w:marRight w:val="0"/>
      <w:marTop w:val="0"/>
      <w:marBottom w:val="0"/>
      <w:divBdr>
        <w:top w:val="none" w:sz="0" w:space="0" w:color="auto"/>
        <w:left w:val="none" w:sz="0" w:space="0" w:color="auto"/>
        <w:bottom w:val="none" w:sz="0" w:space="0" w:color="auto"/>
        <w:right w:val="none" w:sz="0" w:space="0" w:color="auto"/>
      </w:divBdr>
    </w:div>
    <w:div w:id="440994093">
      <w:bodyDiv w:val="1"/>
      <w:marLeft w:val="0"/>
      <w:marRight w:val="0"/>
      <w:marTop w:val="0"/>
      <w:marBottom w:val="0"/>
      <w:divBdr>
        <w:top w:val="none" w:sz="0" w:space="0" w:color="auto"/>
        <w:left w:val="none" w:sz="0" w:space="0" w:color="auto"/>
        <w:bottom w:val="none" w:sz="0" w:space="0" w:color="auto"/>
        <w:right w:val="none" w:sz="0" w:space="0" w:color="auto"/>
      </w:divBdr>
    </w:div>
    <w:div w:id="441149411">
      <w:bodyDiv w:val="1"/>
      <w:marLeft w:val="0"/>
      <w:marRight w:val="0"/>
      <w:marTop w:val="0"/>
      <w:marBottom w:val="0"/>
      <w:divBdr>
        <w:top w:val="none" w:sz="0" w:space="0" w:color="auto"/>
        <w:left w:val="none" w:sz="0" w:space="0" w:color="auto"/>
        <w:bottom w:val="none" w:sz="0" w:space="0" w:color="auto"/>
        <w:right w:val="none" w:sz="0" w:space="0" w:color="auto"/>
      </w:divBdr>
    </w:div>
    <w:div w:id="442529891">
      <w:bodyDiv w:val="1"/>
      <w:marLeft w:val="0"/>
      <w:marRight w:val="0"/>
      <w:marTop w:val="0"/>
      <w:marBottom w:val="0"/>
      <w:divBdr>
        <w:top w:val="none" w:sz="0" w:space="0" w:color="auto"/>
        <w:left w:val="none" w:sz="0" w:space="0" w:color="auto"/>
        <w:bottom w:val="none" w:sz="0" w:space="0" w:color="auto"/>
        <w:right w:val="none" w:sz="0" w:space="0" w:color="auto"/>
      </w:divBdr>
    </w:div>
    <w:div w:id="476842536">
      <w:bodyDiv w:val="1"/>
      <w:marLeft w:val="0"/>
      <w:marRight w:val="0"/>
      <w:marTop w:val="0"/>
      <w:marBottom w:val="0"/>
      <w:divBdr>
        <w:top w:val="none" w:sz="0" w:space="0" w:color="auto"/>
        <w:left w:val="none" w:sz="0" w:space="0" w:color="auto"/>
        <w:bottom w:val="none" w:sz="0" w:space="0" w:color="auto"/>
        <w:right w:val="none" w:sz="0" w:space="0" w:color="auto"/>
      </w:divBdr>
    </w:div>
    <w:div w:id="480582513">
      <w:bodyDiv w:val="1"/>
      <w:marLeft w:val="0"/>
      <w:marRight w:val="0"/>
      <w:marTop w:val="0"/>
      <w:marBottom w:val="0"/>
      <w:divBdr>
        <w:top w:val="none" w:sz="0" w:space="0" w:color="auto"/>
        <w:left w:val="none" w:sz="0" w:space="0" w:color="auto"/>
        <w:bottom w:val="none" w:sz="0" w:space="0" w:color="auto"/>
        <w:right w:val="none" w:sz="0" w:space="0" w:color="auto"/>
      </w:divBdr>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509297290">
      <w:bodyDiv w:val="1"/>
      <w:marLeft w:val="0"/>
      <w:marRight w:val="0"/>
      <w:marTop w:val="0"/>
      <w:marBottom w:val="0"/>
      <w:divBdr>
        <w:top w:val="none" w:sz="0" w:space="0" w:color="auto"/>
        <w:left w:val="none" w:sz="0" w:space="0" w:color="auto"/>
        <w:bottom w:val="none" w:sz="0" w:space="0" w:color="auto"/>
        <w:right w:val="none" w:sz="0" w:space="0" w:color="auto"/>
      </w:divBdr>
    </w:div>
    <w:div w:id="523590583">
      <w:bodyDiv w:val="1"/>
      <w:marLeft w:val="0"/>
      <w:marRight w:val="0"/>
      <w:marTop w:val="0"/>
      <w:marBottom w:val="0"/>
      <w:divBdr>
        <w:top w:val="none" w:sz="0" w:space="0" w:color="auto"/>
        <w:left w:val="none" w:sz="0" w:space="0" w:color="auto"/>
        <w:bottom w:val="none" w:sz="0" w:space="0" w:color="auto"/>
        <w:right w:val="none" w:sz="0" w:space="0" w:color="auto"/>
      </w:divBdr>
    </w:div>
    <w:div w:id="525368071">
      <w:bodyDiv w:val="1"/>
      <w:marLeft w:val="0"/>
      <w:marRight w:val="0"/>
      <w:marTop w:val="0"/>
      <w:marBottom w:val="0"/>
      <w:divBdr>
        <w:top w:val="none" w:sz="0" w:space="0" w:color="auto"/>
        <w:left w:val="none" w:sz="0" w:space="0" w:color="auto"/>
        <w:bottom w:val="none" w:sz="0" w:space="0" w:color="auto"/>
        <w:right w:val="none" w:sz="0" w:space="0" w:color="auto"/>
      </w:divBdr>
    </w:div>
    <w:div w:id="542866955">
      <w:bodyDiv w:val="1"/>
      <w:marLeft w:val="0"/>
      <w:marRight w:val="0"/>
      <w:marTop w:val="0"/>
      <w:marBottom w:val="0"/>
      <w:divBdr>
        <w:top w:val="none" w:sz="0" w:space="0" w:color="auto"/>
        <w:left w:val="none" w:sz="0" w:space="0" w:color="auto"/>
        <w:bottom w:val="none" w:sz="0" w:space="0" w:color="auto"/>
        <w:right w:val="none" w:sz="0" w:space="0" w:color="auto"/>
      </w:divBdr>
    </w:div>
    <w:div w:id="551429559">
      <w:bodyDiv w:val="1"/>
      <w:marLeft w:val="0"/>
      <w:marRight w:val="0"/>
      <w:marTop w:val="0"/>
      <w:marBottom w:val="0"/>
      <w:divBdr>
        <w:top w:val="none" w:sz="0" w:space="0" w:color="auto"/>
        <w:left w:val="none" w:sz="0" w:space="0" w:color="auto"/>
        <w:bottom w:val="none" w:sz="0" w:space="0" w:color="auto"/>
        <w:right w:val="none" w:sz="0" w:space="0" w:color="auto"/>
      </w:divBdr>
    </w:div>
    <w:div w:id="561716329">
      <w:bodyDiv w:val="1"/>
      <w:marLeft w:val="0"/>
      <w:marRight w:val="0"/>
      <w:marTop w:val="0"/>
      <w:marBottom w:val="0"/>
      <w:divBdr>
        <w:top w:val="none" w:sz="0" w:space="0" w:color="auto"/>
        <w:left w:val="none" w:sz="0" w:space="0" w:color="auto"/>
        <w:bottom w:val="none" w:sz="0" w:space="0" w:color="auto"/>
        <w:right w:val="none" w:sz="0" w:space="0" w:color="auto"/>
      </w:divBdr>
    </w:div>
    <w:div w:id="573197911">
      <w:bodyDiv w:val="1"/>
      <w:marLeft w:val="0"/>
      <w:marRight w:val="0"/>
      <w:marTop w:val="0"/>
      <w:marBottom w:val="0"/>
      <w:divBdr>
        <w:top w:val="none" w:sz="0" w:space="0" w:color="auto"/>
        <w:left w:val="none" w:sz="0" w:space="0" w:color="auto"/>
        <w:bottom w:val="none" w:sz="0" w:space="0" w:color="auto"/>
        <w:right w:val="none" w:sz="0" w:space="0" w:color="auto"/>
      </w:divBdr>
    </w:div>
    <w:div w:id="573440515">
      <w:bodyDiv w:val="1"/>
      <w:marLeft w:val="0"/>
      <w:marRight w:val="0"/>
      <w:marTop w:val="0"/>
      <w:marBottom w:val="0"/>
      <w:divBdr>
        <w:top w:val="none" w:sz="0" w:space="0" w:color="auto"/>
        <w:left w:val="none" w:sz="0" w:space="0" w:color="auto"/>
        <w:bottom w:val="none" w:sz="0" w:space="0" w:color="auto"/>
        <w:right w:val="none" w:sz="0" w:space="0" w:color="auto"/>
      </w:divBdr>
    </w:div>
    <w:div w:id="582422395">
      <w:bodyDiv w:val="1"/>
      <w:marLeft w:val="0"/>
      <w:marRight w:val="0"/>
      <w:marTop w:val="0"/>
      <w:marBottom w:val="0"/>
      <w:divBdr>
        <w:top w:val="none" w:sz="0" w:space="0" w:color="auto"/>
        <w:left w:val="none" w:sz="0" w:space="0" w:color="auto"/>
        <w:bottom w:val="none" w:sz="0" w:space="0" w:color="auto"/>
        <w:right w:val="none" w:sz="0" w:space="0" w:color="auto"/>
      </w:divBdr>
    </w:div>
    <w:div w:id="584388161">
      <w:bodyDiv w:val="1"/>
      <w:marLeft w:val="0"/>
      <w:marRight w:val="0"/>
      <w:marTop w:val="0"/>
      <w:marBottom w:val="0"/>
      <w:divBdr>
        <w:top w:val="none" w:sz="0" w:space="0" w:color="auto"/>
        <w:left w:val="none" w:sz="0" w:space="0" w:color="auto"/>
        <w:bottom w:val="none" w:sz="0" w:space="0" w:color="auto"/>
        <w:right w:val="none" w:sz="0" w:space="0" w:color="auto"/>
      </w:divBdr>
    </w:div>
    <w:div w:id="626667502">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638343775">
      <w:bodyDiv w:val="1"/>
      <w:marLeft w:val="0"/>
      <w:marRight w:val="0"/>
      <w:marTop w:val="0"/>
      <w:marBottom w:val="0"/>
      <w:divBdr>
        <w:top w:val="none" w:sz="0" w:space="0" w:color="auto"/>
        <w:left w:val="none" w:sz="0" w:space="0" w:color="auto"/>
        <w:bottom w:val="none" w:sz="0" w:space="0" w:color="auto"/>
        <w:right w:val="none" w:sz="0" w:space="0" w:color="auto"/>
      </w:divBdr>
    </w:div>
    <w:div w:id="659390008">
      <w:bodyDiv w:val="1"/>
      <w:marLeft w:val="0"/>
      <w:marRight w:val="0"/>
      <w:marTop w:val="0"/>
      <w:marBottom w:val="0"/>
      <w:divBdr>
        <w:top w:val="none" w:sz="0" w:space="0" w:color="auto"/>
        <w:left w:val="none" w:sz="0" w:space="0" w:color="auto"/>
        <w:bottom w:val="none" w:sz="0" w:space="0" w:color="auto"/>
        <w:right w:val="none" w:sz="0" w:space="0" w:color="auto"/>
      </w:divBdr>
    </w:div>
    <w:div w:id="666202775">
      <w:bodyDiv w:val="1"/>
      <w:marLeft w:val="0"/>
      <w:marRight w:val="0"/>
      <w:marTop w:val="0"/>
      <w:marBottom w:val="0"/>
      <w:divBdr>
        <w:top w:val="none" w:sz="0" w:space="0" w:color="auto"/>
        <w:left w:val="none" w:sz="0" w:space="0" w:color="auto"/>
        <w:bottom w:val="none" w:sz="0" w:space="0" w:color="auto"/>
        <w:right w:val="none" w:sz="0" w:space="0" w:color="auto"/>
      </w:divBdr>
    </w:div>
    <w:div w:id="677536472">
      <w:bodyDiv w:val="1"/>
      <w:marLeft w:val="0"/>
      <w:marRight w:val="0"/>
      <w:marTop w:val="0"/>
      <w:marBottom w:val="0"/>
      <w:divBdr>
        <w:top w:val="none" w:sz="0" w:space="0" w:color="auto"/>
        <w:left w:val="none" w:sz="0" w:space="0" w:color="auto"/>
        <w:bottom w:val="none" w:sz="0" w:space="0" w:color="auto"/>
        <w:right w:val="none" w:sz="0" w:space="0" w:color="auto"/>
      </w:divBdr>
    </w:div>
    <w:div w:id="682511017">
      <w:bodyDiv w:val="1"/>
      <w:marLeft w:val="0"/>
      <w:marRight w:val="0"/>
      <w:marTop w:val="0"/>
      <w:marBottom w:val="0"/>
      <w:divBdr>
        <w:top w:val="none" w:sz="0" w:space="0" w:color="auto"/>
        <w:left w:val="none" w:sz="0" w:space="0" w:color="auto"/>
        <w:bottom w:val="none" w:sz="0" w:space="0" w:color="auto"/>
        <w:right w:val="none" w:sz="0" w:space="0" w:color="auto"/>
      </w:divBdr>
    </w:div>
    <w:div w:id="714935681">
      <w:bodyDiv w:val="1"/>
      <w:marLeft w:val="0"/>
      <w:marRight w:val="0"/>
      <w:marTop w:val="0"/>
      <w:marBottom w:val="0"/>
      <w:divBdr>
        <w:top w:val="none" w:sz="0" w:space="0" w:color="auto"/>
        <w:left w:val="none" w:sz="0" w:space="0" w:color="auto"/>
        <w:bottom w:val="none" w:sz="0" w:space="0" w:color="auto"/>
        <w:right w:val="none" w:sz="0" w:space="0" w:color="auto"/>
      </w:divBdr>
    </w:div>
    <w:div w:id="726033773">
      <w:bodyDiv w:val="1"/>
      <w:marLeft w:val="0"/>
      <w:marRight w:val="0"/>
      <w:marTop w:val="0"/>
      <w:marBottom w:val="0"/>
      <w:divBdr>
        <w:top w:val="none" w:sz="0" w:space="0" w:color="auto"/>
        <w:left w:val="none" w:sz="0" w:space="0" w:color="auto"/>
        <w:bottom w:val="none" w:sz="0" w:space="0" w:color="auto"/>
        <w:right w:val="none" w:sz="0" w:space="0" w:color="auto"/>
      </w:divBdr>
    </w:div>
    <w:div w:id="729042697">
      <w:bodyDiv w:val="1"/>
      <w:marLeft w:val="0"/>
      <w:marRight w:val="0"/>
      <w:marTop w:val="0"/>
      <w:marBottom w:val="0"/>
      <w:divBdr>
        <w:top w:val="none" w:sz="0" w:space="0" w:color="auto"/>
        <w:left w:val="none" w:sz="0" w:space="0" w:color="auto"/>
        <w:bottom w:val="none" w:sz="0" w:space="0" w:color="auto"/>
        <w:right w:val="none" w:sz="0" w:space="0" w:color="auto"/>
      </w:divBdr>
    </w:div>
    <w:div w:id="733239509">
      <w:bodyDiv w:val="1"/>
      <w:marLeft w:val="0"/>
      <w:marRight w:val="0"/>
      <w:marTop w:val="0"/>
      <w:marBottom w:val="0"/>
      <w:divBdr>
        <w:top w:val="none" w:sz="0" w:space="0" w:color="auto"/>
        <w:left w:val="none" w:sz="0" w:space="0" w:color="auto"/>
        <w:bottom w:val="none" w:sz="0" w:space="0" w:color="auto"/>
        <w:right w:val="none" w:sz="0" w:space="0" w:color="auto"/>
      </w:divBdr>
    </w:div>
    <w:div w:id="745111213">
      <w:bodyDiv w:val="1"/>
      <w:marLeft w:val="0"/>
      <w:marRight w:val="0"/>
      <w:marTop w:val="0"/>
      <w:marBottom w:val="0"/>
      <w:divBdr>
        <w:top w:val="none" w:sz="0" w:space="0" w:color="auto"/>
        <w:left w:val="none" w:sz="0" w:space="0" w:color="auto"/>
        <w:bottom w:val="none" w:sz="0" w:space="0" w:color="auto"/>
        <w:right w:val="none" w:sz="0" w:space="0" w:color="auto"/>
      </w:divBdr>
    </w:div>
    <w:div w:id="749161867">
      <w:bodyDiv w:val="1"/>
      <w:marLeft w:val="0"/>
      <w:marRight w:val="0"/>
      <w:marTop w:val="0"/>
      <w:marBottom w:val="0"/>
      <w:divBdr>
        <w:top w:val="none" w:sz="0" w:space="0" w:color="auto"/>
        <w:left w:val="none" w:sz="0" w:space="0" w:color="auto"/>
        <w:bottom w:val="none" w:sz="0" w:space="0" w:color="auto"/>
        <w:right w:val="none" w:sz="0" w:space="0" w:color="auto"/>
      </w:divBdr>
    </w:div>
    <w:div w:id="752355244">
      <w:bodyDiv w:val="1"/>
      <w:marLeft w:val="0"/>
      <w:marRight w:val="0"/>
      <w:marTop w:val="0"/>
      <w:marBottom w:val="0"/>
      <w:divBdr>
        <w:top w:val="none" w:sz="0" w:space="0" w:color="auto"/>
        <w:left w:val="none" w:sz="0" w:space="0" w:color="auto"/>
        <w:bottom w:val="none" w:sz="0" w:space="0" w:color="auto"/>
        <w:right w:val="none" w:sz="0" w:space="0" w:color="auto"/>
      </w:divBdr>
    </w:div>
    <w:div w:id="772212075">
      <w:bodyDiv w:val="1"/>
      <w:marLeft w:val="0"/>
      <w:marRight w:val="0"/>
      <w:marTop w:val="0"/>
      <w:marBottom w:val="0"/>
      <w:divBdr>
        <w:top w:val="none" w:sz="0" w:space="0" w:color="auto"/>
        <w:left w:val="none" w:sz="0" w:space="0" w:color="auto"/>
        <w:bottom w:val="none" w:sz="0" w:space="0" w:color="auto"/>
        <w:right w:val="none" w:sz="0" w:space="0" w:color="auto"/>
      </w:divBdr>
    </w:div>
    <w:div w:id="774248403">
      <w:bodyDiv w:val="1"/>
      <w:marLeft w:val="0"/>
      <w:marRight w:val="0"/>
      <w:marTop w:val="0"/>
      <w:marBottom w:val="0"/>
      <w:divBdr>
        <w:top w:val="none" w:sz="0" w:space="0" w:color="auto"/>
        <w:left w:val="none" w:sz="0" w:space="0" w:color="auto"/>
        <w:bottom w:val="none" w:sz="0" w:space="0" w:color="auto"/>
        <w:right w:val="none" w:sz="0" w:space="0" w:color="auto"/>
      </w:divBdr>
    </w:div>
    <w:div w:id="802041443">
      <w:bodyDiv w:val="1"/>
      <w:marLeft w:val="0"/>
      <w:marRight w:val="0"/>
      <w:marTop w:val="0"/>
      <w:marBottom w:val="0"/>
      <w:divBdr>
        <w:top w:val="none" w:sz="0" w:space="0" w:color="auto"/>
        <w:left w:val="none" w:sz="0" w:space="0" w:color="auto"/>
        <w:bottom w:val="none" w:sz="0" w:space="0" w:color="auto"/>
        <w:right w:val="none" w:sz="0" w:space="0" w:color="auto"/>
      </w:divBdr>
    </w:div>
    <w:div w:id="806043783">
      <w:bodyDiv w:val="1"/>
      <w:marLeft w:val="0"/>
      <w:marRight w:val="0"/>
      <w:marTop w:val="0"/>
      <w:marBottom w:val="0"/>
      <w:divBdr>
        <w:top w:val="none" w:sz="0" w:space="0" w:color="auto"/>
        <w:left w:val="none" w:sz="0" w:space="0" w:color="auto"/>
        <w:bottom w:val="none" w:sz="0" w:space="0" w:color="auto"/>
        <w:right w:val="none" w:sz="0" w:space="0" w:color="auto"/>
      </w:divBdr>
    </w:div>
    <w:div w:id="809250671">
      <w:bodyDiv w:val="1"/>
      <w:marLeft w:val="0"/>
      <w:marRight w:val="0"/>
      <w:marTop w:val="0"/>
      <w:marBottom w:val="0"/>
      <w:divBdr>
        <w:top w:val="none" w:sz="0" w:space="0" w:color="auto"/>
        <w:left w:val="none" w:sz="0" w:space="0" w:color="auto"/>
        <w:bottom w:val="none" w:sz="0" w:space="0" w:color="auto"/>
        <w:right w:val="none" w:sz="0" w:space="0" w:color="auto"/>
      </w:divBdr>
    </w:div>
    <w:div w:id="826701405">
      <w:bodyDiv w:val="1"/>
      <w:marLeft w:val="0"/>
      <w:marRight w:val="0"/>
      <w:marTop w:val="0"/>
      <w:marBottom w:val="0"/>
      <w:divBdr>
        <w:top w:val="none" w:sz="0" w:space="0" w:color="auto"/>
        <w:left w:val="none" w:sz="0" w:space="0" w:color="auto"/>
        <w:bottom w:val="none" w:sz="0" w:space="0" w:color="auto"/>
        <w:right w:val="none" w:sz="0" w:space="0" w:color="auto"/>
      </w:divBdr>
    </w:div>
    <w:div w:id="830872957">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852375248">
      <w:bodyDiv w:val="1"/>
      <w:marLeft w:val="0"/>
      <w:marRight w:val="0"/>
      <w:marTop w:val="0"/>
      <w:marBottom w:val="0"/>
      <w:divBdr>
        <w:top w:val="none" w:sz="0" w:space="0" w:color="auto"/>
        <w:left w:val="none" w:sz="0" w:space="0" w:color="auto"/>
        <w:bottom w:val="none" w:sz="0" w:space="0" w:color="auto"/>
        <w:right w:val="none" w:sz="0" w:space="0" w:color="auto"/>
      </w:divBdr>
    </w:div>
    <w:div w:id="852690125">
      <w:bodyDiv w:val="1"/>
      <w:marLeft w:val="0"/>
      <w:marRight w:val="0"/>
      <w:marTop w:val="0"/>
      <w:marBottom w:val="0"/>
      <w:divBdr>
        <w:top w:val="none" w:sz="0" w:space="0" w:color="auto"/>
        <w:left w:val="none" w:sz="0" w:space="0" w:color="auto"/>
        <w:bottom w:val="none" w:sz="0" w:space="0" w:color="auto"/>
        <w:right w:val="none" w:sz="0" w:space="0" w:color="auto"/>
      </w:divBdr>
    </w:div>
    <w:div w:id="860435343">
      <w:bodyDiv w:val="1"/>
      <w:marLeft w:val="0"/>
      <w:marRight w:val="0"/>
      <w:marTop w:val="0"/>
      <w:marBottom w:val="0"/>
      <w:divBdr>
        <w:top w:val="none" w:sz="0" w:space="0" w:color="auto"/>
        <w:left w:val="none" w:sz="0" w:space="0" w:color="auto"/>
        <w:bottom w:val="none" w:sz="0" w:space="0" w:color="auto"/>
        <w:right w:val="none" w:sz="0" w:space="0" w:color="auto"/>
      </w:divBdr>
    </w:div>
    <w:div w:id="883103096">
      <w:bodyDiv w:val="1"/>
      <w:marLeft w:val="0"/>
      <w:marRight w:val="0"/>
      <w:marTop w:val="0"/>
      <w:marBottom w:val="0"/>
      <w:divBdr>
        <w:top w:val="none" w:sz="0" w:space="0" w:color="auto"/>
        <w:left w:val="none" w:sz="0" w:space="0" w:color="auto"/>
        <w:bottom w:val="none" w:sz="0" w:space="0" w:color="auto"/>
        <w:right w:val="none" w:sz="0" w:space="0" w:color="auto"/>
      </w:divBdr>
    </w:div>
    <w:div w:id="883904684">
      <w:bodyDiv w:val="1"/>
      <w:marLeft w:val="0"/>
      <w:marRight w:val="0"/>
      <w:marTop w:val="0"/>
      <w:marBottom w:val="0"/>
      <w:divBdr>
        <w:top w:val="none" w:sz="0" w:space="0" w:color="auto"/>
        <w:left w:val="none" w:sz="0" w:space="0" w:color="auto"/>
        <w:bottom w:val="none" w:sz="0" w:space="0" w:color="auto"/>
        <w:right w:val="none" w:sz="0" w:space="0" w:color="auto"/>
      </w:divBdr>
    </w:div>
    <w:div w:id="887257988">
      <w:bodyDiv w:val="1"/>
      <w:marLeft w:val="0"/>
      <w:marRight w:val="0"/>
      <w:marTop w:val="0"/>
      <w:marBottom w:val="0"/>
      <w:divBdr>
        <w:top w:val="none" w:sz="0" w:space="0" w:color="auto"/>
        <w:left w:val="none" w:sz="0" w:space="0" w:color="auto"/>
        <w:bottom w:val="none" w:sz="0" w:space="0" w:color="auto"/>
        <w:right w:val="none" w:sz="0" w:space="0" w:color="auto"/>
      </w:divBdr>
    </w:div>
    <w:div w:id="891618774">
      <w:bodyDiv w:val="1"/>
      <w:marLeft w:val="0"/>
      <w:marRight w:val="0"/>
      <w:marTop w:val="0"/>
      <w:marBottom w:val="0"/>
      <w:divBdr>
        <w:top w:val="none" w:sz="0" w:space="0" w:color="auto"/>
        <w:left w:val="none" w:sz="0" w:space="0" w:color="auto"/>
        <w:bottom w:val="none" w:sz="0" w:space="0" w:color="auto"/>
        <w:right w:val="none" w:sz="0" w:space="0" w:color="auto"/>
      </w:divBdr>
    </w:div>
    <w:div w:id="940450303">
      <w:bodyDiv w:val="1"/>
      <w:marLeft w:val="0"/>
      <w:marRight w:val="0"/>
      <w:marTop w:val="0"/>
      <w:marBottom w:val="0"/>
      <w:divBdr>
        <w:top w:val="none" w:sz="0" w:space="0" w:color="auto"/>
        <w:left w:val="none" w:sz="0" w:space="0" w:color="auto"/>
        <w:bottom w:val="none" w:sz="0" w:space="0" w:color="auto"/>
        <w:right w:val="none" w:sz="0" w:space="0" w:color="auto"/>
      </w:divBdr>
    </w:div>
    <w:div w:id="945112798">
      <w:bodyDiv w:val="1"/>
      <w:marLeft w:val="0"/>
      <w:marRight w:val="0"/>
      <w:marTop w:val="0"/>
      <w:marBottom w:val="0"/>
      <w:divBdr>
        <w:top w:val="none" w:sz="0" w:space="0" w:color="auto"/>
        <w:left w:val="none" w:sz="0" w:space="0" w:color="auto"/>
        <w:bottom w:val="none" w:sz="0" w:space="0" w:color="auto"/>
        <w:right w:val="none" w:sz="0" w:space="0" w:color="auto"/>
      </w:divBdr>
    </w:div>
    <w:div w:id="962611176">
      <w:bodyDiv w:val="1"/>
      <w:marLeft w:val="0"/>
      <w:marRight w:val="0"/>
      <w:marTop w:val="0"/>
      <w:marBottom w:val="0"/>
      <w:divBdr>
        <w:top w:val="none" w:sz="0" w:space="0" w:color="auto"/>
        <w:left w:val="none" w:sz="0" w:space="0" w:color="auto"/>
        <w:bottom w:val="none" w:sz="0" w:space="0" w:color="auto"/>
        <w:right w:val="none" w:sz="0" w:space="0" w:color="auto"/>
      </w:divBdr>
    </w:div>
    <w:div w:id="970402521">
      <w:bodyDiv w:val="1"/>
      <w:marLeft w:val="0"/>
      <w:marRight w:val="0"/>
      <w:marTop w:val="0"/>
      <w:marBottom w:val="0"/>
      <w:divBdr>
        <w:top w:val="none" w:sz="0" w:space="0" w:color="auto"/>
        <w:left w:val="none" w:sz="0" w:space="0" w:color="auto"/>
        <w:bottom w:val="none" w:sz="0" w:space="0" w:color="auto"/>
        <w:right w:val="none" w:sz="0" w:space="0" w:color="auto"/>
      </w:divBdr>
    </w:div>
    <w:div w:id="971247270">
      <w:bodyDiv w:val="1"/>
      <w:marLeft w:val="0"/>
      <w:marRight w:val="0"/>
      <w:marTop w:val="0"/>
      <w:marBottom w:val="0"/>
      <w:divBdr>
        <w:top w:val="none" w:sz="0" w:space="0" w:color="auto"/>
        <w:left w:val="none" w:sz="0" w:space="0" w:color="auto"/>
        <w:bottom w:val="none" w:sz="0" w:space="0" w:color="auto"/>
        <w:right w:val="none" w:sz="0" w:space="0" w:color="auto"/>
      </w:divBdr>
    </w:div>
    <w:div w:id="973219517">
      <w:bodyDiv w:val="1"/>
      <w:marLeft w:val="0"/>
      <w:marRight w:val="0"/>
      <w:marTop w:val="0"/>
      <w:marBottom w:val="0"/>
      <w:divBdr>
        <w:top w:val="none" w:sz="0" w:space="0" w:color="auto"/>
        <w:left w:val="none" w:sz="0" w:space="0" w:color="auto"/>
        <w:bottom w:val="none" w:sz="0" w:space="0" w:color="auto"/>
        <w:right w:val="none" w:sz="0" w:space="0" w:color="auto"/>
      </w:divBdr>
    </w:div>
    <w:div w:id="995382209">
      <w:bodyDiv w:val="1"/>
      <w:marLeft w:val="0"/>
      <w:marRight w:val="0"/>
      <w:marTop w:val="0"/>
      <w:marBottom w:val="0"/>
      <w:divBdr>
        <w:top w:val="none" w:sz="0" w:space="0" w:color="auto"/>
        <w:left w:val="none" w:sz="0" w:space="0" w:color="auto"/>
        <w:bottom w:val="none" w:sz="0" w:space="0" w:color="auto"/>
        <w:right w:val="none" w:sz="0" w:space="0" w:color="auto"/>
      </w:divBdr>
    </w:div>
    <w:div w:id="1004164473">
      <w:bodyDiv w:val="1"/>
      <w:marLeft w:val="0"/>
      <w:marRight w:val="0"/>
      <w:marTop w:val="0"/>
      <w:marBottom w:val="0"/>
      <w:divBdr>
        <w:top w:val="none" w:sz="0" w:space="0" w:color="auto"/>
        <w:left w:val="none" w:sz="0" w:space="0" w:color="auto"/>
        <w:bottom w:val="none" w:sz="0" w:space="0" w:color="auto"/>
        <w:right w:val="none" w:sz="0" w:space="0" w:color="auto"/>
      </w:divBdr>
    </w:div>
    <w:div w:id="1004938930">
      <w:bodyDiv w:val="1"/>
      <w:marLeft w:val="0"/>
      <w:marRight w:val="0"/>
      <w:marTop w:val="0"/>
      <w:marBottom w:val="0"/>
      <w:divBdr>
        <w:top w:val="none" w:sz="0" w:space="0" w:color="auto"/>
        <w:left w:val="none" w:sz="0" w:space="0" w:color="auto"/>
        <w:bottom w:val="none" w:sz="0" w:space="0" w:color="auto"/>
        <w:right w:val="none" w:sz="0" w:space="0" w:color="auto"/>
      </w:divBdr>
    </w:div>
    <w:div w:id="1007440215">
      <w:bodyDiv w:val="1"/>
      <w:marLeft w:val="0"/>
      <w:marRight w:val="0"/>
      <w:marTop w:val="0"/>
      <w:marBottom w:val="0"/>
      <w:divBdr>
        <w:top w:val="none" w:sz="0" w:space="0" w:color="auto"/>
        <w:left w:val="none" w:sz="0" w:space="0" w:color="auto"/>
        <w:bottom w:val="none" w:sz="0" w:space="0" w:color="auto"/>
        <w:right w:val="none" w:sz="0" w:space="0" w:color="auto"/>
      </w:divBdr>
    </w:div>
    <w:div w:id="1013797659">
      <w:bodyDiv w:val="1"/>
      <w:marLeft w:val="0"/>
      <w:marRight w:val="0"/>
      <w:marTop w:val="0"/>
      <w:marBottom w:val="0"/>
      <w:divBdr>
        <w:top w:val="none" w:sz="0" w:space="0" w:color="auto"/>
        <w:left w:val="none" w:sz="0" w:space="0" w:color="auto"/>
        <w:bottom w:val="none" w:sz="0" w:space="0" w:color="auto"/>
        <w:right w:val="none" w:sz="0" w:space="0" w:color="auto"/>
      </w:divBdr>
    </w:div>
    <w:div w:id="1024357901">
      <w:bodyDiv w:val="1"/>
      <w:marLeft w:val="0"/>
      <w:marRight w:val="0"/>
      <w:marTop w:val="0"/>
      <w:marBottom w:val="0"/>
      <w:divBdr>
        <w:top w:val="none" w:sz="0" w:space="0" w:color="auto"/>
        <w:left w:val="none" w:sz="0" w:space="0" w:color="auto"/>
        <w:bottom w:val="none" w:sz="0" w:space="0" w:color="auto"/>
        <w:right w:val="none" w:sz="0" w:space="0" w:color="auto"/>
      </w:divBdr>
    </w:div>
    <w:div w:id="1030496413">
      <w:bodyDiv w:val="1"/>
      <w:marLeft w:val="0"/>
      <w:marRight w:val="0"/>
      <w:marTop w:val="0"/>
      <w:marBottom w:val="0"/>
      <w:divBdr>
        <w:top w:val="none" w:sz="0" w:space="0" w:color="auto"/>
        <w:left w:val="none" w:sz="0" w:space="0" w:color="auto"/>
        <w:bottom w:val="none" w:sz="0" w:space="0" w:color="auto"/>
        <w:right w:val="none" w:sz="0" w:space="0" w:color="auto"/>
      </w:divBdr>
    </w:div>
    <w:div w:id="1039165858">
      <w:bodyDiv w:val="1"/>
      <w:marLeft w:val="0"/>
      <w:marRight w:val="0"/>
      <w:marTop w:val="0"/>
      <w:marBottom w:val="0"/>
      <w:divBdr>
        <w:top w:val="none" w:sz="0" w:space="0" w:color="auto"/>
        <w:left w:val="none" w:sz="0" w:space="0" w:color="auto"/>
        <w:bottom w:val="none" w:sz="0" w:space="0" w:color="auto"/>
        <w:right w:val="none" w:sz="0" w:space="0" w:color="auto"/>
      </w:divBdr>
    </w:div>
    <w:div w:id="1040515714">
      <w:bodyDiv w:val="1"/>
      <w:marLeft w:val="0"/>
      <w:marRight w:val="0"/>
      <w:marTop w:val="0"/>
      <w:marBottom w:val="0"/>
      <w:divBdr>
        <w:top w:val="none" w:sz="0" w:space="0" w:color="auto"/>
        <w:left w:val="none" w:sz="0" w:space="0" w:color="auto"/>
        <w:bottom w:val="none" w:sz="0" w:space="0" w:color="auto"/>
        <w:right w:val="none" w:sz="0" w:space="0" w:color="auto"/>
      </w:divBdr>
    </w:div>
    <w:div w:id="1041132176">
      <w:bodyDiv w:val="1"/>
      <w:marLeft w:val="0"/>
      <w:marRight w:val="0"/>
      <w:marTop w:val="0"/>
      <w:marBottom w:val="0"/>
      <w:divBdr>
        <w:top w:val="none" w:sz="0" w:space="0" w:color="auto"/>
        <w:left w:val="none" w:sz="0" w:space="0" w:color="auto"/>
        <w:bottom w:val="none" w:sz="0" w:space="0" w:color="auto"/>
        <w:right w:val="none" w:sz="0" w:space="0" w:color="auto"/>
      </w:divBdr>
    </w:div>
    <w:div w:id="1043794169">
      <w:bodyDiv w:val="1"/>
      <w:marLeft w:val="0"/>
      <w:marRight w:val="0"/>
      <w:marTop w:val="0"/>
      <w:marBottom w:val="0"/>
      <w:divBdr>
        <w:top w:val="none" w:sz="0" w:space="0" w:color="auto"/>
        <w:left w:val="none" w:sz="0" w:space="0" w:color="auto"/>
        <w:bottom w:val="none" w:sz="0" w:space="0" w:color="auto"/>
        <w:right w:val="none" w:sz="0" w:space="0" w:color="auto"/>
      </w:divBdr>
    </w:div>
    <w:div w:id="1063598924">
      <w:bodyDiv w:val="1"/>
      <w:marLeft w:val="0"/>
      <w:marRight w:val="0"/>
      <w:marTop w:val="0"/>
      <w:marBottom w:val="0"/>
      <w:divBdr>
        <w:top w:val="none" w:sz="0" w:space="0" w:color="auto"/>
        <w:left w:val="none" w:sz="0" w:space="0" w:color="auto"/>
        <w:bottom w:val="none" w:sz="0" w:space="0" w:color="auto"/>
        <w:right w:val="none" w:sz="0" w:space="0" w:color="auto"/>
      </w:divBdr>
    </w:div>
    <w:div w:id="1112939704">
      <w:bodyDiv w:val="1"/>
      <w:marLeft w:val="0"/>
      <w:marRight w:val="0"/>
      <w:marTop w:val="0"/>
      <w:marBottom w:val="0"/>
      <w:divBdr>
        <w:top w:val="none" w:sz="0" w:space="0" w:color="auto"/>
        <w:left w:val="none" w:sz="0" w:space="0" w:color="auto"/>
        <w:bottom w:val="none" w:sz="0" w:space="0" w:color="auto"/>
        <w:right w:val="none" w:sz="0" w:space="0" w:color="auto"/>
      </w:divBdr>
    </w:div>
    <w:div w:id="1126504254">
      <w:bodyDiv w:val="1"/>
      <w:marLeft w:val="0"/>
      <w:marRight w:val="0"/>
      <w:marTop w:val="0"/>
      <w:marBottom w:val="0"/>
      <w:divBdr>
        <w:top w:val="none" w:sz="0" w:space="0" w:color="auto"/>
        <w:left w:val="none" w:sz="0" w:space="0" w:color="auto"/>
        <w:bottom w:val="none" w:sz="0" w:space="0" w:color="auto"/>
        <w:right w:val="none" w:sz="0" w:space="0" w:color="auto"/>
      </w:divBdr>
    </w:div>
    <w:div w:id="1132215593">
      <w:bodyDiv w:val="1"/>
      <w:marLeft w:val="0"/>
      <w:marRight w:val="0"/>
      <w:marTop w:val="0"/>
      <w:marBottom w:val="0"/>
      <w:divBdr>
        <w:top w:val="none" w:sz="0" w:space="0" w:color="auto"/>
        <w:left w:val="none" w:sz="0" w:space="0" w:color="auto"/>
        <w:bottom w:val="none" w:sz="0" w:space="0" w:color="auto"/>
        <w:right w:val="none" w:sz="0" w:space="0" w:color="auto"/>
      </w:divBdr>
    </w:div>
    <w:div w:id="1132291327">
      <w:bodyDiv w:val="1"/>
      <w:marLeft w:val="0"/>
      <w:marRight w:val="0"/>
      <w:marTop w:val="0"/>
      <w:marBottom w:val="0"/>
      <w:divBdr>
        <w:top w:val="none" w:sz="0" w:space="0" w:color="auto"/>
        <w:left w:val="none" w:sz="0" w:space="0" w:color="auto"/>
        <w:bottom w:val="none" w:sz="0" w:space="0" w:color="auto"/>
        <w:right w:val="none" w:sz="0" w:space="0" w:color="auto"/>
      </w:divBdr>
    </w:div>
    <w:div w:id="1139348705">
      <w:bodyDiv w:val="1"/>
      <w:marLeft w:val="0"/>
      <w:marRight w:val="0"/>
      <w:marTop w:val="0"/>
      <w:marBottom w:val="0"/>
      <w:divBdr>
        <w:top w:val="none" w:sz="0" w:space="0" w:color="auto"/>
        <w:left w:val="none" w:sz="0" w:space="0" w:color="auto"/>
        <w:bottom w:val="none" w:sz="0" w:space="0" w:color="auto"/>
        <w:right w:val="none" w:sz="0" w:space="0" w:color="auto"/>
      </w:divBdr>
    </w:div>
    <w:div w:id="1147212388">
      <w:bodyDiv w:val="1"/>
      <w:marLeft w:val="0"/>
      <w:marRight w:val="0"/>
      <w:marTop w:val="0"/>
      <w:marBottom w:val="0"/>
      <w:divBdr>
        <w:top w:val="none" w:sz="0" w:space="0" w:color="auto"/>
        <w:left w:val="none" w:sz="0" w:space="0" w:color="auto"/>
        <w:bottom w:val="none" w:sz="0" w:space="0" w:color="auto"/>
        <w:right w:val="none" w:sz="0" w:space="0" w:color="auto"/>
      </w:divBdr>
    </w:div>
    <w:div w:id="1157769963">
      <w:bodyDiv w:val="1"/>
      <w:marLeft w:val="0"/>
      <w:marRight w:val="0"/>
      <w:marTop w:val="0"/>
      <w:marBottom w:val="0"/>
      <w:divBdr>
        <w:top w:val="none" w:sz="0" w:space="0" w:color="auto"/>
        <w:left w:val="none" w:sz="0" w:space="0" w:color="auto"/>
        <w:bottom w:val="none" w:sz="0" w:space="0" w:color="auto"/>
        <w:right w:val="none" w:sz="0" w:space="0" w:color="auto"/>
      </w:divBdr>
    </w:div>
    <w:div w:id="1159344969">
      <w:bodyDiv w:val="1"/>
      <w:marLeft w:val="0"/>
      <w:marRight w:val="0"/>
      <w:marTop w:val="0"/>
      <w:marBottom w:val="0"/>
      <w:divBdr>
        <w:top w:val="none" w:sz="0" w:space="0" w:color="auto"/>
        <w:left w:val="none" w:sz="0" w:space="0" w:color="auto"/>
        <w:bottom w:val="none" w:sz="0" w:space="0" w:color="auto"/>
        <w:right w:val="none" w:sz="0" w:space="0" w:color="auto"/>
      </w:divBdr>
    </w:div>
    <w:div w:id="1195537891">
      <w:bodyDiv w:val="1"/>
      <w:marLeft w:val="0"/>
      <w:marRight w:val="0"/>
      <w:marTop w:val="0"/>
      <w:marBottom w:val="0"/>
      <w:divBdr>
        <w:top w:val="none" w:sz="0" w:space="0" w:color="auto"/>
        <w:left w:val="none" w:sz="0" w:space="0" w:color="auto"/>
        <w:bottom w:val="none" w:sz="0" w:space="0" w:color="auto"/>
        <w:right w:val="none" w:sz="0" w:space="0" w:color="auto"/>
      </w:divBdr>
    </w:div>
    <w:div w:id="1203252086">
      <w:bodyDiv w:val="1"/>
      <w:marLeft w:val="0"/>
      <w:marRight w:val="0"/>
      <w:marTop w:val="0"/>
      <w:marBottom w:val="0"/>
      <w:divBdr>
        <w:top w:val="none" w:sz="0" w:space="0" w:color="auto"/>
        <w:left w:val="none" w:sz="0" w:space="0" w:color="auto"/>
        <w:bottom w:val="none" w:sz="0" w:space="0" w:color="auto"/>
        <w:right w:val="none" w:sz="0" w:space="0" w:color="auto"/>
      </w:divBdr>
    </w:div>
    <w:div w:id="1203395864">
      <w:bodyDiv w:val="1"/>
      <w:marLeft w:val="0"/>
      <w:marRight w:val="0"/>
      <w:marTop w:val="0"/>
      <w:marBottom w:val="0"/>
      <w:divBdr>
        <w:top w:val="none" w:sz="0" w:space="0" w:color="auto"/>
        <w:left w:val="none" w:sz="0" w:space="0" w:color="auto"/>
        <w:bottom w:val="none" w:sz="0" w:space="0" w:color="auto"/>
        <w:right w:val="none" w:sz="0" w:space="0" w:color="auto"/>
      </w:divBdr>
    </w:div>
    <w:div w:id="1210605862">
      <w:bodyDiv w:val="1"/>
      <w:marLeft w:val="0"/>
      <w:marRight w:val="0"/>
      <w:marTop w:val="0"/>
      <w:marBottom w:val="0"/>
      <w:divBdr>
        <w:top w:val="none" w:sz="0" w:space="0" w:color="auto"/>
        <w:left w:val="none" w:sz="0" w:space="0" w:color="auto"/>
        <w:bottom w:val="none" w:sz="0" w:space="0" w:color="auto"/>
        <w:right w:val="none" w:sz="0" w:space="0" w:color="auto"/>
      </w:divBdr>
    </w:div>
    <w:div w:id="1213032929">
      <w:bodyDiv w:val="1"/>
      <w:marLeft w:val="0"/>
      <w:marRight w:val="0"/>
      <w:marTop w:val="0"/>
      <w:marBottom w:val="0"/>
      <w:divBdr>
        <w:top w:val="none" w:sz="0" w:space="0" w:color="auto"/>
        <w:left w:val="none" w:sz="0" w:space="0" w:color="auto"/>
        <w:bottom w:val="none" w:sz="0" w:space="0" w:color="auto"/>
        <w:right w:val="none" w:sz="0" w:space="0" w:color="auto"/>
      </w:divBdr>
    </w:div>
    <w:div w:id="1223298390">
      <w:bodyDiv w:val="1"/>
      <w:marLeft w:val="0"/>
      <w:marRight w:val="0"/>
      <w:marTop w:val="0"/>
      <w:marBottom w:val="0"/>
      <w:divBdr>
        <w:top w:val="none" w:sz="0" w:space="0" w:color="auto"/>
        <w:left w:val="none" w:sz="0" w:space="0" w:color="auto"/>
        <w:bottom w:val="none" w:sz="0" w:space="0" w:color="auto"/>
        <w:right w:val="none" w:sz="0" w:space="0" w:color="auto"/>
      </w:divBdr>
    </w:div>
    <w:div w:id="1235511508">
      <w:bodyDiv w:val="1"/>
      <w:marLeft w:val="0"/>
      <w:marRight w:val="0"/>
      <w:marTop w:val="0"/>
      <w:marBottom w:val="0"/>
      <w:divBdr>
        <w:top w:val="none" w:sz="0" w:space="0" w:color="auto"/>
        <w:left w:val="none" w:sz="0" w:space="0" w:color="auto"/>
        <w:bottom w:val="none" w:sz="0" w:space="0" w:color="auto"/>
        <w:right w:val="none" w:sz="0" w:space="0" w:color="auto"/>
      </w:divBdr>
    </w:div>
    <w:div w:id="1238595427">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77299840">
      <w:bodyDiv w:val="1"/>
      <w:marLeft w:val="0"/>
      <w:marRight w:val="0"/>
      <w:marTop w:val="0"/>
      <w:marBottom w:val="0"/>
      <w:divBdr>
        <w:top w:val="none" w:sz="0" w:space="0" w:color="auto"/>
        <w:left w:val="none" w:sz="0" w:space="0" w:color="auto"/>
        <w:bottom w:val="none" w:sz="0" w:space="0" w:color="auto"/>
        <w:right w:val="none" w:sz="0" w:space="0" w:color="auto"/>
      </w:divBdr>
    </w:div>
    <w:div w:id="1280188338">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293487882">
      <w:bodyDiv w:val="1"/>
      <w:marLeft w:val="0"/>
      <w:marRight w:val="0"/>
      <w:marTop w:val="0"/>
      <w:marBottom w:val="0"/>
      <w:divBdr>
        <w:top w:val="none" w:sz="0" w:space="0" w:color="auto"/>
        <w:left w:val="none" w:sz="0" w:space="0" w:color="auto"/>
        <w:bottom w:val="none" w:sz="0" w:space="0" w:color="auto"/>
        <w:right w:val="none" w:sz="0" w:space="0" w:color="auto"/>
      </w:divBdr>
    </w:div>
    <w:div w:id="1303779141">
      <w:bodyDiv w:val="1"/>
      <w:marLeft w:val="0"/>
      <w:marRight w:val="0"/>
      <w:marTop w:val="0"/>
      <w:marBottom w:val="0"/>
      <w:divBdr>
        <w:top w:val="none" w:sz="0" w:space="0" w:color="auto"/>
        <w:left w:val="none" w:sz="0" w:space="0" w:color="auto"/>
        <w:bottom w:val="none" w:sz="0" w:space="0" w:color="auto"/>
        <w:right w:val="none" w:sz="0" w:space="0" w:color="auto"/>
      </w:divBdr>
    </w:div>
    <w:div w:id="1304625497">
      <w:bodyDiv w:val="1"/>
      <w:marLeft w:val="0"/>
      <w:marRight w:val="0"/>
      <w:marTop w:val="0"/>
      <w:marBottom w:val="0"/>
      <w:divBdr>
        <w:top w:val="none" w:sz="0" w:space="0" w:color="auto"/>
        <w:left w:val="none" w:sz="0" w:space="0" w:color="auto"/>
        <w:bottom w:val="none" w:sz="0" w:space="0" w:color="auto"/>
        <w:right w:val="none" w:sz="0" w:space="0" w:color="auto"/>
      </w:divBdr>
    </w:div>
    <w:div w:id="1307009958">
      <w:bodyDiv w:val="1"/>
      <w:marLeft w:val="0"/>
      <w:marRight w:val="0"/>
      <w:marTop w:val="0"/>
      <w:marBottom w:val="0"/>
      <w:divBdr>
        <w:top w:val="none" w:sz="0" w:space="0" w:color="auto"/>
        <w:left w:val="none" w:sz="0" w:space="0" w:color="auto"/>
        <w:bottom w:val="none" w:sz="0" w:space="0" w:color="auto"/>
        <w:right w:val="none" w:sz="0" w:space="0" w:color="auto"/>
      </w:divBdr>
      <w:divsChild>
        <w:div w:id="1447889302">
          <w:marLeft w:val="0"/>
          <w:marRight w:val="0"/>
          <w:marTop w:val="0"/>
          <w:marBottom w:val="0"/>
          <w:divBdr>
            <w:top w:val="none" w:sz="0" w:space="0" w:color="auto"/>
            <w:left w:val="none" w:sz="0" w:space="0" w:color="auto"/>
            <w:bottom w:val="none" w:sz="0" w:space="0" w:color="auto"/>
            <w:right w:val="none" w:sz="0" w:space="0" w:color="auto"/>
          </w:divBdr>
          <w:divsChild>
            <w:div w:id="1529440973">
              <w:marLeft w:val="0"/>
              <w:marRight w:val="0"/>
              <w:marTop w:val="0"/>
              <w:marBottom w:val="0"/>
              <w:divBdr>
                <w:top w:val="none" w:sz="0" w:space="0" w:color="auto"/>
                <w:left w:val="none" w:sz="0" w:space="0" w:color="auto"/>
                <w:bottom w:val="none" w:sz="0" w:space="0" w:color="auto"/>
                <w:right w:val="none" w:sz="0" w:space="0" w:color="auto"/>
              </w:divBdr>
              <w:divsChild>
                <w:div w:id="1295596967">
                  <w:marLeft w:val="0"/>
                  <w:marRight w:val="0"/>
                  <w:marTop w:val="0"/>
                  <w:marBottom w:val="0"/>
                  <w:divBdr>
                    <w:top w:val="none" w:sz="0" w:space="0" w:color="auto"/>
                    <w:left w:val="none" w:sz="0" w:space="0" w:color="auto"/>
                    <w:bottom w:val="none" w:sz="0" w:space="0" w:color="auto"/>
                    <w:right w:val="none" w:sz="0" w:space="0" w:color="auto"/>
                  </w:divBdr>
                  <w:divsChild>
                    <w:div w:id="1567455296">
                      <w:marLeft w:val="0"/>
                      <w:marRight w:val="0"/>
                      <w:marTop w:val="0"/>
                      <w:marBottom w:val="0"/>
                      <w:divBdr>
                        <w:top w:val="none" w:sz="0" w:space="0" w:color="auto"/>
                        <w:left w:val="none" w:sz="0" w:space="0" w:color="auto"/>
                        <w:bottom w:val="none" w:sz="0" w:space="0" w:color="auto"/>
                        <w:right w:val="none" w:sz="0" w:space="0" w:color="auto"/>
                      </w:divBdr>
                      <w:divsChild>
                        <w:div w:id="2078280187">
                          <w:marLeft w:val="0"/>
                          <w:marRight w:val="0"/>
                          <w:marTop w:val="0"/>
                          <w:marBottom w:val="0"/>
                          <w:divBdr>
                            <w:top w:val="none" w:sz="0" w:space="0" w:color="auto"/>
                            <w:left w:val="none" w:sz="0" w:space="0" w:color="auto"/>
                            <w:bottom w:val="none" w:sz="0" w:space="0" w:color="auto"/>
                            <w:right w:val="none" w:sz="0" w:space="0" w:color="auto"/>
                          </w:divBdr>
                          <w:divsChild>
                            <w:div w:id="7828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400003">
          <w:marLeft w:val="0"/>
          <w:marRight w:val="0"/>
          <w:marTop w:val="0"/>
          <w:marBottom w:val="0"/>
          <w:divBdr>
            <w:top w:val="none" w:sz="0" w:space="0" w:color="auto"/>
            <w:left w:val="none" w:sz="0" w:space="0" w:color="auto"/>
            <w:bottom w:val="none" w:sz="0" w:space="0" w:color="auto"/>
            <w:right w:val="none" w:sz="0" w:space="0" w:color="auto"/>
          </w:divBdr>
          <w:divsChild>
            <w:div w:id="269826910">
              <w:marLeft w:val="0"/>
              <w:marRight w:val="0"/>
              <w:marTop w:val="0"/>
              <w:marBottom w:val="0"/>
              <w:divBdr>
                <w:top w:val="none" w:sz="0" w:space="0" w:color="auto"/>
                <w:left w:val="none" w:sz="0" w:space="0" w:color="auto"/>
                <w:bottom w:val="none" w:sz="0" w:space="0" w:color="auto"/>
                <w:right w:val="none" w:sz="0" w:space="0" w:color="auto"/>
              </w:divBdr>
              <w:divsChild>
                <w:div w:id="1972976895">
                  <w:marLeft w:val="0"/>
                  <w:marRight w:val="0"/>
                  <w:marTop w:val="0"/>
                  <w:marBottom w:val="0"/>
                  <w:divBdr>
                    <w:top w:val="none" w:sz="0" w:space="0" w:color="auto"/>
                    <w:left w:val="none" w:sz="0" w:space="0" w:color="auto"/>
                    <w:bottom w:val="none" w:sz="0" w:space="0" w:color="auto"/>
                    <w:right w:val="none" w:sz="0" w:space="0" w:color="auto"/>
                  </w:divBdr>
                  <w:divsChild>
                    <w:div w:id="455954350">
                      <w:marLeft w:val="0"/>
                      <w:marRight w:val="0"/>
                      <w:marTop w:val="0"/>
                      <w:marBottom w:val="0"/>
                      <w:divBdr>
                        <w:top w:val="none" w:sz="0" w:space="0" w:color="auto"/>
                        <w:left w:val="none" w:sz="0" w:space="0" w:color="auto"/>
                        <w:bottom w:val="none" w:sz="0" w:space="0" w:color="auto"/>
                        <w:right w:val="none" w:sz="0" w:space="0" w:color="auto"/>
                      </w:divBdr>
                      <w:divsChild>
                        <w:div w:id="1333415725">
                          <w:marLeft w:val="0"/>
                          <w:marRight w:val="0"/>
                          <w:marTop w:val="0"/>
                          <w:marBottom w:val="0"/>
                          <w:divBdr>
                            <w:top w:val="none" w:sz="0" w:space="0" w:color="auto"/>
                            <w:left w:val="none" w:sz="0" w:space="0" w:color="auto"/>
                            <w:bottom w:val="none" w:sz="0" w:space="0" w:color="auto"/>
                            <w:right w:val="none" w:sz="0" w:space="0" w:color="auto"/>
                          </w:divBdr>
                          <w:divsChild>
                            <w:div w:id="580679584">
                              <w:marLeft w:val="300"/>
                              <w:marRight w:val="0"/>
                              <w:marTop w:val="0"/>
                              <w:marBottom w:val="0"/>
                              <w:divBdr>
                                <w:top w:val="none" w:sz="0" w:space="0" w:color="auto"/>
                                <w:left w:val="none" w:sz="0" w:space="0" w:color="auto"/>
                                <w:bottom w:val="none" w:sz="0" w:space="0" w:color="auto"/>
                                <w:right w:val="none" w:sz="0" w:space="0" w:color="auto"/>
                              </w:divBdr>
                              <w:divsChild>
                                <w:div w:id="1334642693">
                                  <w:marLeft w:val="0"/>
                                  <w:marRight w:val="0"/>
                                  <w:marTop w:val="0"/>
                                  <w:marBottom w:val="0"/>
                                  <w:divBdr>
                                    <w:top w:val="none" w:sz="0" w:space="0" w:color="auto"/>
                                    <w:left w:val="none" w:sz="0" w:space="0" w:color="auto"/>
                                    <w:bottom w:val="none" w:sz="0" w:space="0" w:color="auto"/>
                                    <w:right w:val="none" w:sz="0" w:space="0" w:color="auto"/>
                                  </w:divBdr>
                                  <w:divsChild>
                                    <w:div w:id="743187948">
                                      <w:marLeft w:val="0"/>
                                      <w:marRight w:val="0"/>
                                      <w:marTop w:val="0"/>
                                      <w:marBottom w:val="0"/>
                                      <w:divBdr>
                                        <w:top w:val="none" w:sz="0" w:space="0" w:color="auto"/>
                                        <w:left w:val="none" w:sz="0" w:space="0" w:color="auto"/>
                                        <w:bottom w:val="none" w:sz="0" w:space="0" w:color="auto"/>
                                        <w:right w:val="none" w:sz="0" w:space="0" w:color="auto"/>
                                      </w:divBdr>
                                      <w:divsChild>
                                        <w:div w:id="143738649">
                                          <w:marLeft w:val="0"/>
                                          <w:marRight w:val="0"/>
                                          <w:marTop w:val="0"/>
                                          <w:marBottom w:val="0"/>
                                          <w:divBdr>
                                            <w:top w:val="none" w:sz="0" w:space="0" w:color="auto"/>
                                            <w:left w:val="none" w:sz="0" w:space="0" w:color="auto"/>
                                            <w:bottom w:val="none" w:sz="0" w:space="0" w:color="auto"/>
                                            <w:right w:val="none" w:sz="0" w:space="0" w:color="auto"/>
                                          </w:divBdr>
                                          <w:divsChild>
                                            <w:div w:id="1132555659">
                                              <w:marLeft w:val="0"/>
                                              <w:marRight w:val="0"/>
                                              <w:marTop w:val="0"/>
                                              <w:marBottom w:val="0"/>
                                              <w:divBdr>
                                                <w:top w:val="none" w:sz="0" w:space="0" w:color="auto"/>
                                                <w:left w:val="none" w:sz="0" w:space="0" w:color="auto"/>
                                                <w:bottom w:val="none" w:sz="0" w:space="0" w:color="auto"/>
                                                <w:right w:val="none" w:sz="0" w:space="0" w:color="auto"/>
                                              </w:divBdr>
                                              <w:divsChild>
                                                <w:div w:id="1410038888">
                                                  <w:marLeft w:val="0"/>
                                                  <w:marRight w:val="0"/>
                                                  <w:marTop w:val="0"/>
                                                  <w:marBottom w:val="0"/>
                                                  <w:divBdr>
                                                    <w:top w:val="none" w:sz="0" w:space="0" w:color="auto"/>
                                                    <w:left w:val="none" w:sz="0" w:space="0" w:color="auto"/>
                                                    <w:bottom w:val="none" w:sz="0" w:space="0" w:color="auto"/>
                                                    <w:right w:val="none" w:sz="0" w:space="0" w:color="auto"/>
                                                  </w:divBdr>
                                                  <w:divsChild>
                                                    <w:div w:id="306473326">
                                                      <w:marLeft w:val="0"/>
                                                      <w:marRight w:val="0"/>
                                                      <w:marTop w:val="0"/>
                                                      <w:marBottom w:val="0"/>
                                                      <w:divBdr>
                                                        <w:top w:val="none" w:sz="0" w:space="0" w:color="auto"/>
                                                        <w:left w:val="none" w:sz="0" w:space="0" w:color="auto"/>
                                                        <w:bottom w:val="none" w:sz="0" w:space="0" w:color="auto"/>
                                                        <w:right w:val="none" w:sz="0" w:space="0" w:color="auto"/>
                                                      </w:divBdr>
                                                      <w:divsChild>
                                                        <w:div w:id="1507549491">
                                                          <w:marLeft w:val="0"/>
                                                          <w:marRight w:val="0"/>
                                                          <w:marTop w:val="0"/>
                                                          <w:marBottom w:val="0"/>
                                                          <w:divBdr>
                                                            <w:top w:val="none" w:sz="0" w:space="0" w:color="auto"/>
                                                            <w:left w:val="none" w:sz="0" w:space="0" w:color="auto"/>
                                                            <w:bottom w:val="none" w:sz="0" w:space="0" w:color="auto"/>
                                                            <w:right w:val="none" w:sz="0" w:space="0" w:color="auto"/>
                                                          </w:divBdr>
                                                          <w:divsChild>
                                                            <w:div w:id="88503146">
                                                              <w:marLeft w:val="0"/>
                                                              <w:marRight w:val="0"/>
                                                              <w:marTop w:val="0"/>
                                                              <w:marBottom w:val="0"/>
                                                              <w:divBdr>
                                                                <w:top w:val="none" w:sz="0" w:space="0" w:color="auto"/>
                                                                <w:left w:val="none" w:sz="0" w:space="0" w:color="auto"/>
                                                                <w:bottom w:val="none" w:sz="0" w:space="0" w:color="auto"/>
                                                                <w:right w:val="none" w:sz="0" w:space="0" w:color="auto"/>
                                                              </w:divBdr>
                                                              <w:divsChild>
                                                                <w:div w:id="2080398172">
                                                                  <w:marLeft w:val="0"/>
                                                                  <w:marRight w:val="0"/>
                                                                  <w:marTop w:val="0"/>
                                                                  <w:marBottom w:val="0"/>
                                                                  <w:divBdr>
                                                                    <w:top w:val="none" w:sz="0" w:space="0" w:color="auto"/>
                                                                    <w:left w:val="none" w:sz="0" w:space="0" w:color="auto"/>
                                                                    <w:bottom w:val="none" w:sz="0" w:space="0" w:color="auto"/>
                                                                    <w:right w:val="none" w:sz="0" w:space="0" w:color="auto"/>
                                                                  </w:divBdr>
                                                                  <w:divsChild>
                                                                    <w:div w:id="535237396">
                                                                      <w:marLeft w:val="0"/>
                                                                      <w:marRight w:val="0"/>
                                                                      <w:marTop w:val="0"/>
                                                                      <w:marBottom w:val="0"/>
                                                                      <w:divBdr>
                                                                        <w:top w:val="none" w:sz="0" w:space="0" w:color="auto"/>
                                                                        <w:left w:val="none" w:sz="0" w:space="0" w:color="auto"/>
                                                                        <w:bottom w:val="none" w:sz="0" w:space="0" w:color="auto"/>
                                                                        <w:right w:val="none" w:sz="0" w:space="0" w:color="auto"/>
                                                                      </w:divBdr>
                                                                      <w:divsChild>
                                                                        <w:div w:id="12168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7082503">
      <w:bodyDiv w:val="1"/>
      <w:marLeft w:val="0"/>
      <w:marRight w:val="0"/>
      <w:marTop w:val="0"/>
      <w:marBottom w:val="0"/>
      <w:divBdr>
        <w:top w:val="none" w:sz="0" w:space="0" w:color="auto"/>
        <w:left w:val="none" w:sz="0" w:space="0" w:color="auto"/>
        <w:bottom w:val="none" w:sz="0" w:space="0" w:color="auto"/>
        <w:right w:val="none" w:sz="0" w:space="0" w:color="auto"/>
      </w:divBdr>
    </w:div>
    <w:div w:id="1310555477">
      <w:bodyDiv w:val="1"/>
      <w:marLeft w:val="0"/>
      <w:marRight w:val="0"/>
      <w:marTop w:val="0"/>
      <w:marBottom w:val="0"/>
      <w:divBdr>
        <w:top w:val="none" w:sz="0" w:space="0" w:color="auto"/>
        <w:left w:val="none" w:sz="0" w:space="0" w:color="auto"/>
        <w:bottom w:val="none" w:sz="0" w:space="0" w:color="auto"/>
        <w:right w:val="none" w:sz="0" w:space="0" w:color="auto"/>
      </w:divBdr>
    </w:div>
    <w:div w:id="1323118439">
      <w:bodyDiv w:val="1"/>
      <w:marLeft w:val="0"/>
      <w:marRight w:val="0"/>
      <w:marTop w:val="0"/>
      <w:marBottom w:val="0"/>
      <w:divBdr>
        <w:top w:val="none" w:sz="0" w:space="0" w:color="auto"/>
        <w:left w:val="none" w:sz="0" w:space="0" w:color="auto"/>
        <w:bottom w:val="none" w:sz="0" w:space="0" w:color="auto"/>
        <w:right w:val="none" w:sz="0" w:space="0" w:color="auto"/>
      </w:divBdr>
    </w:div>
    <w:div w:id="1324579097">
      <w:bodyDiv w:val="1"/>
      <w:marLeft w:val="0"/>
      <w:marRight w:val="0"/>
      <w:marTop w:val="0"/>
      <w:marBottom w:val="0"/>
      <w:divBdr>
        <w:top w:val="none" w:sz="0" w:space="0" w:color="auto"/>
        <w:left w:val="none" w:sz="0" w:space="0" w:color="auto"/>
        <w:bottom w:val="none" w:sz="0" w:space="0" w:color="auto"/>
        <w:right w:val="none" w:sz="0" w:space="0" w:color="auto"/>
      </w:divBdr>
    </w:div>
    <w:div w:id="1335692191">
      <w:bodyDiv w:val="1"/>
      <w:marLeft w:val="0"/>
      <w:marRight w:val="0"/>
      <w:marTop w:val="0"/>
      <w:marBottom w:val="0"/>
      <w:divBdr>
        <w:top w:val="none" w:sz="0" w:space="0" w:color="auto"/>
        <w:left w:val="none" w:sz="0" w:space="0" w:color="auto"/>
        <w:bottom w:val="none" w:sz="0" w:space="0" w:color="auto"/>
        <w:right w:val="none" w:sz="0" w:space="0" w:color="auto"/>
      </w:divBdr>
    </w:div>
    <w:div w:id="1337074719">
      <w:bodyDiv w:val="1"/>
      <w:marLeft w:val="0"/>
      <w:marRight w:val="0"/>
      <w:marTop w:val="0"/>
      <w:marBottom w:val="0"/>
      <w:divBdr>
        <w:top w:val="none" w:sz="0" w:space="0" w:color="auto"/>
        <w:left w:val="none" w:sz="0" w:space="0" w:color="auto"/>
        <w:bottom w:val="none" w:sz="0" w:space="0" w:color="auto"/>
        <w:right w:val="none" w:sz="0" w:space="0" w:color="auto"/>
      </w:divBdr>
    </w:div>
    <w:div w:id="1363090799">
      <w:bodyDiv w:val="1"/>
      <w:marLeft w:val="0"/>
      <w:marRight w:val="0"/>
      <w:marTop w:val="0"/>
      <w:marBottom w:val="0"/>
      <w:divBdr>
        <w:top w:val="none" w:sz="0" w:space="0" w:color="auto"/>
        <w:left w:val="none" w:sz="0" w:space="0" w:color="auto"/>
        <w:bottom w:val="none" w:sz="0" w:space="0" w:color="auto"/>
        <w:right w:val="none" w:sz="0" w:space="0" w:color="auto"/>
      </w:divBdr>
    </w:div>
    <w:div w:id="1388334030">
      <w:bodyDiv w:val="1"/>
      <w:marLeft w:val="0"/>
      <w:marRight w:val="0"/>
      <w:marTop w:val="0"/>
      <w:marBottom w:val="0"/>
      <w:divBdr>
        <w:top w:val="none" w:sz="0" w:space="0" w:color="auto"/>
        <w:left w:val="none" w:sz="0" w:space="0" w:color="auto"/>
        <w:bottom w:val="none" w:sz="0" w:space="0" w:color="auto"/>
        <w:right w:val="none" w:sz="0" w:space="0" w:color="auto"/>
      </w:divBdr>
    </w:div>
    <w:div w:id="1403603475">
      <w:bodyDiv w:val="1"/>
      <w:marLeft w:val="0"/>
      <w:marRight w:val="0"/>
      <w:marTop w:val="0"/>
      <w:marBottom w:val="0"/>
      <w:divBdr>
        <w:top w:val="none" w:sz="0" w:space="0" w:color="auto"/>
        <w:left w:val="none" w:sz="0" w:space="0" w:color="auto"/>
        <w:bottom w:val="none" w:sz="0" w:space="0" w:color="auto"/>
        <w:right w:val="none" w:sz="0" w:space="0" w:color="auto"/>
      </w:divBdr>
    </w:div>
    <w:div w:id="1411000799">
      <w:bodyDiv w:val="1"/>
      <w:marLeft w:val="0"/>
      <w:marRight w:val="0"/>
      <w:marTop w:val="0"/>
      <w:marBottom w:val="0"/>
      <w:divBdr>
        <w:top w:val="none" w:sz="0" w:space="0" w:color="auto"/>
        <w:left w:val="none" w:sz="0" w:space="0" w:color="auto"/>
        <w:bottom w:val="none" w:sz="0" w:space="0" w:color="auto"/>
        <w:right w:val="none" w:sz="0" w:space="0" w:color="auto"/>
      </w:divBdr>
    </w:div>
    <w:div w:id="1411391794">
      <w:bodyDiv w:val="1"/>
      <w:marLeft w:val="0"/>
      <w:marRight w:val="0"/>
      <w:marTop w:val="0"/>
      <w:marBottom w:val="0"/>
      <w:divBdr>
        <w:top w:val="none" w:sz="0" w:space="0" w:color="auto"/>
        <w:left w:val="none" w:sz="0" w:space="0" w:color="auto"/>
        <w:bottom w:val="none" w:sz="0" w:space="0" w:color="auto"/>
        <w:right w:val="none" w:sz="0" w:space="0" w:color="auto"/>
      </w:divBdr>
    </w:div>
    <w:div w:id="1425372152">
      <w:bodyDiv w:val="1"/>
      <w:marLeft w:val="0"/>
      <w:marRight w:val="0"/>
      <w:marTop w:val="0"/>
      <w:marBottom w:val="0"/>
      <w:divBdr>
        <w:top w:val="none" w:sz="0" w:space="0" w:color="auto"/>
        <w:left w:val="none" w:sz="0" w:space="0" w:color="auto"/>
        <w:bottom w:val="none" w:sz="0" w:space="0" w:color="auto"/>
        <w:right w:val="none" w:sz="0" w:space="0" w:color="auto"/>
      </w:divBdr>
    </w:div>
    <w:div w:id="1429888275">
      <w:bodyDiv w:val="1"/>
      <w:marLeft w:val="0"/>
      <w:marRight w:val="0"/>
      <w:marTop w:val="0"/>
      <w:marBottom w:val="0"/>
      <w:divBdr>
        <w:top w:val="none" w:sz="0" w:space="0" w:color="auto"/>
        <w:left w:val="none" w:sz="0" w:space="0" w:color="auto"/>
        <w:bottom w:val="none" w:sz="0" w:space="0" w:color="auto"/>
        <w:right w:val="none" w:sz="0" w:space="0" w:color="auto"/>
      </w:divBdr>
    </w:div>
    <w:div w:id="1435856840">
      <w:bodyDiv w:val="1"/>
      <w:marLeft w:val="0"/>
      <w:marRight w:val="0"/>
      <w:marTop w:val="0"/>
      <w:marBottom w:val="0"/>
      <w:divBdr>
        <w:top w:val="none" w:sz="0" w:space="0" w:color="auto"/>
        <w:left w:val="none" w:sz="0" w:space="0" w:color="auto"/>
        <w:bottom w:val="none" w:sz="0" w:space="0" w:color="auto"/>
        <w:right w:val="none" w:sz="0" w:space="0" w:color="auto"/>
      </w:divBdr>
    </w:div>
    <w:div w:id="1438140953">
      <w:bodyDiv w:val="1"/>
      <w:marLeft w:val="0"/>
      <w:marRight w:val="0"/>
      <w:marTop w:val="0"/>
      <w:marBottom w:val="0"/>
      <w:divBdr>
        <w:top w:val="none" w:sz="0" w:space="0" w:color="auto"/>
        <w:left w:val="none" w:sz="0" w:space="0" w:color="auto"/>
        <w:bottom w:val="none" w:sz="0" w:space="0" w:color="auto"/>
        <w:right w:val="none" w:sz="0" w:space="0" w:color="auto"/>
      </w:divBdr>
    </w:div>
    <w:div w:id="1441218481">
      <w:bodyDiv w:val="1"/>
      <w:marLeft w:val="0"/>
      <w:marRight w:val="0"/>
      <w:marTop w:val="0"/>
      <w:marBottom w:val="0"/>
      <w:divBdr>
        <w:top w:val="none" w:sz="0" w:space="0" w:color="auto"/>
        <w:left w:val="none" w:sz="0" w:space="0" w:color="auto"/>
        <w:bottom w:val="none" w:sz="0" w:space="0" w:color="auto"/>
        <w:right w:val="none" w:sz="0" w:space="0" w:color="auto"/>
      </w:divBdr>
    </w:div>
    <w:div w:id="1441606160">
      <w:bodyDiv w:val="1"/>
      <w:marLeft w:val="0"/>
      <w:marRight w:val="0"/>
      <w:marTop w:val="0"/>
      <w:marBottom w:val="0"/>
      <w:divBdr>
        <w:top w:val="none" w:sz="0" w:space="0" w:color="auto"/>
        <w:left w:val="none" w:sz="0" w:space="0" w:color="auto"/>
        <w:bottom w:val="none" w:sz="0" w:space="0" w:color="auto"/>
        <w:right w:val="none" w:sz="0" w:space="0" w:color="auto"/>
      </w:divBdr>
    </w:div>
    <w:div w:id="1443457646">
      <w:bodyDiv w:val="1"/>
      <w:marLeft w:val="0"/>
      <w:marRight w:val="0"/>
      <w:marTop w:val="0"/>
      <w:marBottom w:val="0"/>
      <w:divBdr>
        <w:top w:val="none" w:sz="0" w:space="0" w:color="auto"/>
        <w:left w:val="none" w:sz="0" w:space="0" w:color="auto"/>
        <w:bottom w:val="none" w:sz="0" w:space="0" w:color="auto"/>
        <w:right w:val="none" w:sz="0" w:space="0" w:color="auto"/>
      </w:divBdr>
    </w:div>
    <w:div w:id="1448692592">
      <w:bodyDiv w:val="1"/>
      <w:marLeft w:val="0"/>
      <w:marRight w:val="0"/>
      <w:marTop w:val="0"/>
      <w:marBottom w:val="0"/>
      <w:divBdr>
        <w:top w:val="none" w:sz="0" w:space="0" w:color="auto"/>
        <w:left w:val="none" w:sz="0" w:space="0" w:color="auto"/>
        <w:bottom w:val="none" w:sz="0" w:space="0" w:color="auto"/>
        <w:right w:val="none" w:sz="0" w:space="0" w:color="auto"/>
      </w:divBdr>
    </w:div>
    <w:div w:id="1451046005">
      <w:bodyDiv w:val="1"/>
      <w:marLeft w:val="0"/>
      <w:marRight w:val="0"/>
      <w:marTop w:val="0"/>
      <w:marBottom w:val="0"/>
      <w:divBdr>
        <w:top w:val="none" w:sz="0" w:space="0" w:color="auto"/>
        <w:left w:val="none" w:sz="0" w:space="0" w:color="auto"/>
        <w:bottom w:val="none" w:sz="0" w:space="0" w:color="auto"/>
        <w:right w:val="none" w:sz="0" w:space="0" w:color="auto"/>
      </w:divBdr>
    </w:div>
    <w:div w:id="1456871507">
      <w:bodyDiv w:val="1"/>
      <w:marLeft w:val="0"/>
      <w:marRight w:val="0"/>
      <w:marTop w:val="0"/>
      <w:marBottom w:val="0"/>
      <w:divBdr>
        <w:top w:val="none" w:sz="0" w:space="0" w:color="auto"/>
        <w:left w:val="none" w:sz="0" w:space="0" w:color="auto"/>
        <w:bottom w:val="none" w:sz="0" w:space="0" w:color="auto"/>
        <w:right w:val="none" w:sz="0" w:space="0" w:color="auto"/>
      </w:divBdr>
    </w:div>
    <w:div w:id="1462771255">
      <w:bodyDiv w:val="1"/>
      <w:marLeft w:val="0"/>
      <w:marRight w:val="0"/>
      <w:marTop w:val="0"/>
      <w:marBottom w:val="0"/>
      <w:divBdr>
        <w:top w:val="none" w:sz="0" w:space="0" w:color="auto"/>
        <w:left w:val="none" w:sz="0" w:space="0" w:color="auto"/>
        <w:bottom w:val="none" w:sz="0" w:space="0" w:color="auto"/>
        <w:right w:val="none" w:sz="0" w:space="0" w:color="auto"/>
      </w:divBdr>
      <w:divsChild>
        <w:div w:id="1978532459">
          <w:marLeft w:val="0"/>
          <w:marRight w:val="0"/>
          <w:marTop w:val="0"/>
          <w:marBottom w:val="0"/>
          <w:divBdr>
            <w:top w:val="none" w:sz="0" w:space="0" w:color="auto"/>
            <w:left w:val="none" w:sz="0" w:space="0" w:color="auto"/>
            <w:bottom w:val="none" w:sz="0" w:space="0" w:color="auto"/>
            <w:right w:val="none" w:sz="0" w:space="0" w:color="auto"/>
          </w:divBdr>
          <w:divsChild>
            <w:div w:id="1229151158">
              <w:marLeft w:val="0"/>
              <w:marRight w:val="0"/>
              <w:marTop w:val="0"/>
              <w:marBottom w:val="0"/>
              <w:divBdr>
                <w:top w:val="none" w:sz="0" w:space="0" w:color="auto"/>
                <w:left w:val="none" w:sz="0" w:space="0" w:color="auto"/>
                <w:bottom w:val="none" w:sz="0" w:space="0" w:color="auto"/>
                <w:right w:val="none" w:sz="0" w:space="0" w:color="auto"/>
              </w:divBdr>
              <w:divsChild>
                <w:div w:id="6630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85326">
      <w:bodyDiv w:val="1"/>
      <w:marLeft w:val="0"/>
      <w:marRight w:val="0"/>
      <w:marTop w:val="0"/>
      <w:marBottom w:val="0"/>
      <w:divBdr>
        <w:top w:val="none" w:sz="0" w:space="0" w:color="auto"/>
        <w:left w:val="none" w:sz="0" w:space="0" w:color="auto"/>
        <w:bottom w:val="none" w:sz="0" w:space="0" w:color="auto"/>
        <w:right w:val="none" w:sz="0" w:space="0" w:color="auto"/>
      </w:divBdr>
    </w:div>
    <w:div w:id="1480539581">
      <w:bodyDiv w:val="1"/>
      <w:marLeft w:val="0"/>
      <w:marRight w:val="0"/>
      <w:marTop w:val="0"/>
      <w:marBottom w:val="0"/>
      <w:divBdr>
        <w:top w:val="none" w:sz="0" w:space="0" w:color="auto"/>
        <w:left w:val="none" w:sz="0" w:space="0" w:color="auto"/>
        <w:bottom w:val="none" w:sz="0" w:space="0" w:color="auto"/>
        <w:right w:val="none" w:sz="0" w:space="0" w:color="auto"/>
      </w:divBdr>
    </w:div>
    <w:div w:id="1507819470">
      <w:bodyDiv w:val="1"/>
      <w:marLeft w:val="0"/>
      <w:marRight w:val="0"/>
      <w:marTop w:val="0"/>
      <w:marBottom w:val="0"/>
      <w:divBdr>
        <w:top w:val="none" w:sz="0" w:space="0" w:color="auto"/>
        <w:left w:val="none" w:sz="0" w:space="0" w:color="auto"/>
        <w:bottom w:val="none" w:sz="0" w:space="0" w:color="auto"/>
        <w:right w:val="none" w:sz="0" w:space="0" w:color="auto"/>
      </w:divBdr>
    </w:div>
    <w:div w:id="1530412789">
      <w:bodyDiv w:val="1"/>
      <w:marLeft w:val="0"/>
      <w:marRight w:val="0"/>
      <w:marTop w:val="0"/>
      <w:marBottom w:val="0"/>
      <w:divBdr>
        <w:top w:val="none" w:sz="0" w:space="0" w:color="auto"/>
        <w:left w:val="none" w:sz="0" w:space="0" w:color="auto"/>
        <w:bottom w:val="none" w:sz="0" w:space="0" w:color="auto"/>
        <w:right w:val="none" w:sz="0" w:space="0" w:color="auto"/>
      </w:divBdr>
    </w:div>
    <w:div w:id="1530952100">
      <w:bodyDiv w:val="1"/>
      <w:marLeft w:val="0"/>
      <w:marRight w:val="0"/>
      <w:marTop w:val="0"/>
      <w:marBottom w:val="0"/>
      <w:divBdr>
        <w:top w:val="none" w:sz="0" w:space="0" w:color="auto"/>
        <w:left w:val="none" w:sz="0" w:space="0" w:color="auto"/>
        <w:bottom w:val="none" w:sz="0" w:space="0" w:color="auto"/>
        <w:right w:val="none" w:sz="0" w:space="0" w:color="auto"/>
      </w:divBdr>
    </w:div>
    <w:div w:id="1531603530">
      <w:bodyDiv w:val="1"/>
      <w:marLeft w:val="0"/>
      <w:marRight w:val="0"/>
      <w:marTop w:val="0"/>
      <w:marBottom w:val="0"/>
      <w:divBdr>
        <w:top w:val="none" w:sz="0" w:space="0" w:color="auto"/>
        <w:left w:val="none" w:sz="0" w:space="0" w:color="auto"/>
        <w:bottom w:val="none" w:sz="0" w:space="0" w:color="auto"/>
        <w:right w:val="none" w:sz="0" w:space="0" w:color="auto"/>
      </w:divBdr>
    </w:div>
    <w:div w:id="1531840794">
      <w:bodyDiv w:val="1"/>
      <w:marLeft w:val="0"/>
      <w:marRight w:val="0"/>
      <w:marTop w:val="0"/>
      <w:marBottom w:val="0"/>
      <w:divBdr>
        <w:top w:val="none" w:sz="0" w:space="0" w:color="auto"/>
        <w:left w:val="none" w:sz="0" w:space="0" w:color="auto"/>
        <w:bottom w:val="none" w:sz="0" w:space="0" w:color="auto"/>
        <w:right w:val="none" w:sz="0" w:space="0" w:color="auto"/>
      </w:divBdr>
    </w:div>
    <w:div w:id="1539199779">
      <w:bodyDiv w:val="1"/>
      <w:marLeft w:val="0"/>
      <w:marRight w:val="0"/>
      <w:marTop w:val="0"/>
      <w:marBottom w:val="0"/>
      <w:divBdr>
        <w:top w:val="none" w:sz="0" w:space="0" w:color="auto"/>
        <w:left w:val="none" w:sz="0" w:space="0" w:color="auto"/>
        <w:bottom w:val="none" w:sz="0" w:space="0" w:color="auto"/>
        <w:right w:val="none" w:sz="0" w:space="0" w:color="auto"/>
      </w:divBdr>
    </w:div>
    <w:div w:id="1540388317">
      <w:bodyDiv w:val="1"/>
      <w:marLeft w:val="0"/>
      <w:marRight w:val="0"/>
      <w:marTop w:val="0"/>
      <w:marBottom w:val="0"/>
      <w:divBdr>
        <w:top w:val="none" w:sz="0" w:space="0" w:color="auto"/>
        <w:left w:val="none" w:sz="0" w:space="0" w:color="auto"/>
        <w:bottom w:val="none" w:sz="0" w:space="0" w:color="auto"/>
        <w:right w:val="none" w:sz="0" w:space="0" w:color="auto"/>
      </w:divBdr>
    </w:div>
    <w:div w:id="1549147713">
      <w:bodyDiv w:val="1"/>
      <w:marLeft w:val="0"/>
      <w:marRight w:val="0"/>
      <w:marTop w:val="0"/>
      <w:marBottom w:val="0"/>
      <w:divBdr>
        <w:top w:val="none" w:sz="0" w:space="0" w:color="auto"/>
        <w:left w:val="none" w:sz="0" w:space="0" w:color="auto"/>
        <w:bottom w:val="none" w:sz="0" w:space="0" w:color="auto"/>
        <w:right w:val="none" w:sz="0" w:space="0" w:color="auto"/>
      </w:divBdr>
    </w:div>
    <w:div w:id="1549686790">
      <w:bodyDiv w:val="1"/>
      <w:marLeft w:val="0"/>
      <w:marRight w:val="0"/>
      <w:marTop w:val="0"/>
      <w:marBottom w:val="0"/>
      <w:divBdr>
        <w:top w:val="none" w:sz="0" w:space="0" w:color="auto"/>
        <w:left w:val="none" w:sz="0" w:space="0" w:color="auto"/>
        <w:bottom w:val="none" w:sz="0" w:space="0" w:color="auto"/>
        <w:right w:val="none" w:sz="0" w:space="0" w:color="auto"/>
      </w:divBdr>
    </w:div>
    <w:div w:id="1551304547">
      <w:bodyDiv w:val="1"/>
      <w:marLeft w:val="0"/>
      <w:marRight w:val="0"/>
      <w:marTop w:val="0"/>
      <w:marBottom w:val="0"/>
      <w:divBdr>
        <w:top w:val="none" w:sz="0" w:space="0" w:color="auto"/>
        <w:left w:val="none" w:sz="0" w:space="0" w:color="auto"/>
        <w:bottom w:val="none" w:sz="0" w:space="0" w:color="auto"/>
        <w:right w:val="none" w:sz="0" w:space="0" w:color="auto"/>
      </w:divBdr>
    </w:div>
    <w:div w:id="1555043214">
      <w:bodyDiv w:val="1"/>
      <w:marLeft w:val="0"/>
      <w:marRight w:val="0"/>
      <w:marTop w:val="0"/>
      <w:marBottom w:val="0"/>
      <w:divBdr>
        <w:top w:val="none" w:sz="0" w:space="0" w:color="auto"/>
        <w:left w:val="none" w:sz="0" w:space="0" w:color="auto"/>
        <w:bottom w:val="none" w:sz="0" w:space="0" w:color="auto"/>
        <w:right w:val="none" w:sz="0" w:space="0" w:color="auto"/>
      </w:divBdr>
    </w:div>
    <w:div w:id="1555850162">
      <w:bodyDiv w:val="1"/>
      <w:marLeft w:val="0"/>
      <w:marRight w:val="0"/>
      <w:marTop w:val="0"/>
      <w:marBottom w:val="0"/>
      <w:divBdr>
        <w:top w:val="none" w:sz="0" w:space="0" w:color="auto"/>
        <w:left w:val="none" w:sz="0" w:space="0" w:color="auto"/>
        <w:bottom w:val="none" w:sz="0" w:space="0" w:color="auto"/>
        <w:right w:val="none" w:sz="0" w:space="0" w:color="auto"/>
      </w:divBdr>
    </w:div>
    <w:div w:id="1556964962">
      <w:bodyDiv w:val="1"/>
      <w:marLeft w:val="0"/>
      <w:marRight w:val="0"/>
      <w:marTop w:val="0"/>
      <w:marBottom w:val="0"/>
      <w:divBdr>
        <w:top w:val="none" w:sz="0" w:space="0" w:color="auto"/>
        <w:left w:val="none" w:sz="0" w:space="0" w:color="auto"/>
        <w:bottom w:val="none" w:sz="0" w:space="0" w:color="auto"/>
        <w:right w:val="none" w:sz="0" w:space="0" w:color="auto"/>
      </w:divBdr>
    </w:div>
    <w:div w:id="1570144217">
      <w:bodyDiv w:val="1"/>
      <w:marLeft w:val="0"/>
      <w:marRight w:val="0"/>
      <w:marTop w:val="0"/>
      <w:marBottom w:val="0"/>
      <w:divBdr>
        <w:top w:val="none" w:sz="0" w:space="0" w:color="auto"/>
        <w:left w:val="none" w:sz="0" w:space="0" w:color="auto"/>
        <w:bottom w:val="none" w:sz="0" w:space="0" w:color="auto"/>
        <w:right w:val="none" w:sz="0" w:space="0" w:color="auto"/>
      </w:divBdr>
    </w:div>
    <w:div w:id="1574854045">
      <w:bodyDiv w:val="1"/>
      <w:marLeft w:val="0"/>
      <w:marRight w:val="0"/>
      <w:marTop w:val="0"/>
      <w:marBottom w:val="0"/>
      <w:divBdr>
        <w:top w:val="none" w:sz="0" w:space="0" w:color="auto"/>
        <w:left w:val="none" w:sz="0" w:space="0" w:color="auto"/>
        <w:bottom w:val="none" w:sz="0" w:space="0" w:color="auto"/>
        <w:right w:val="none" w:sz="0" w:space="0" w:color="auto"/>
      </w:divBdr>
    </w:div>
    <w:div w:id="1629049979">
      <w:bodyDiv w:val="1"/>
      <w:marLeft w:val="0"/>
      <w:marRight w:val="0"/>
      <w:marTop w:val="0"/>
      <w:marBottom w:val="0"/>
      <w:divBdr>
        <w:top w:val="none" w:sz="0" w:space="0" w:color="auto"/>
        <w:left w:val="none" w:sz="0" w:space="0" w:color="auto"/>
        <w:bottom w:val="none" w:sz="0" w:space="0" w:color="auto"/>
        <w:right w:val="none" w:sz="0" w:space="0" w:color="auto"/>
      </w:divBdr>
    </w:div>
    <w:div w:id="1635258547">
      <w:bodyDiv w:val="1"/>
      <w:marLeft w:val="0"/>
      <w:marRight w:val="0"/>
      <w:marTop w:val="0"/>
      <w:marBottom w:val="0"/>
      <w:divBdr>
        <w:top w:val="none" w:sz="0" w:space="0" w:color="auto"/>
        <w:left w:val="none" w:sz="0" w:space="0" w:color="auto"/>
        <w:bottom w:val="none" w:sz="0" w:space="0" w:color="auto"/>
        <w:right w:val="none" w:sz="0" w:space="0" w:color="auto"/>
      </w:divBdr>
    </w:div>
    <w:div w:id="1644651075">
      <w:bodyDiv w:val="1"/>
      <w:marLeft w:val="0"/>
      <w:marRight w:val="0"/>
      <w:marTop w:val="0"/>
      <w:marBottom w:val="0"/>
      <w:divBdr>
        <w:top w:val="none" w:sz="0" w:space="0" w:color="auto"/>
        <w:left w:val="none" w:sz="0" w:space="0" w:color="auto"/>
        <w:bottom w:val="none" w:sz="0" w:space="0" w:color="auto"/>
        <w:right w:val="none" w:sz="0" w:space="0" w:color="auto"/>
      </w:divBdr>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1666591857">
      <w:bodyDiv w:val="1"/>
      <w:marLeft w:val="0"/>
      <w:marRight w:val="0"/>
      <w:marTop w:val="0"/>
      <w:marBottom w:val="0"/>
      <w:divBdr>
        <w:top w:val="none" w:sz="0" w:space="0" w:color="auto"/>
        <w:left w:val="none" w:sz="0" w:space="0" w:color="auto"/>
        <w:bottom w:val="none" w:sz="0" w:space="0" w:color="auto"/>
        <w:right w:val="none" w:sz="0" w:space="0" w:color="auto"/>
      </w:divBdr>
    </w:div>
    <w:div w:id="1669167905">
      <w:bodyDiv w:val="1"/>
      <w:marLeft w:val="0"/>
      <w:marRight w:val="0"/>
      <w:marTop w:val="0"/>
      <w:marBottom w:val="0"/>
      <w:divBdr>
        <w:top w:val="none" w:sz="0" w:space="0" w:color="auto"/>
        <w:left w:val="none" w:sz="0" w:space="0" w:color="auto"/>
        <w:bottom w:val="none" w:sz="0" w:space="0" w:color="auto"/>
        <w:right w:val="none" w:sz="0" w:space="0" w:color="auto"/>
      </w:divBdr>
    </w:div>
    <w:div w:id="1678997363">
      <w:bodyDiv w:val="1"/>
      <w:marLeft w:val="0"/>
      <w:marRight w:val="0"/>
      <w:marTop w:val="0"/>
      <w:marBottom w:val="0"/>
      <w:divBdr>
        <w:top w:val="none" w:sz="0" w:space="0" w:color="auto"/>
        <w:left w:val="none" w:sz="0" w:space="0" w:color="auto"/>
        <w:bottom w:val="none" w:sz="0" w:space="0" w:color="auto"/>
        <w:right w:val="none" w:sz="0" w:space="0" w:color="auto"/>
      </w:divBdr>
    </w:div>
    <w:div w:id="1683698592">
      <w:bodyDiv w:val="1"/>
      <w:marLeft w:val="0"/>
      <w:marRight w:val="0"/>
      <w:marTop w:val="0"/>
      <w:marBottom w:val="0"/>
      <w:divBdr>
        <w:top w:val="none" w:sz="0" w:space="0" w:color="auto"/>
        <w:left w:val="none" w:sz="0" w:space="0" w:color="auto"/>
        <w:bottom w:val="none" w:sz="0" w:space="0" w:color="auto"/>
        <w:right w:val="none" w:sz="0" w:space="0" w:color="auto"/>
      </w:divBdr>
    </w:div>
    <w:div w:id="1689941383">
      <w:bodyDiv w:val="1"/>
      <w:marLeft w:val="0"/>
      <w:marRight w:val="0"/>
      <w:marTop w:val="0"/>
      <w:marBottom w:val="0"/>
      <w:divBdr>
        <w:top w:val="none" w:sz="0" w:space="0" w:color="auto"/>
        <w:left w:val="none" w:sz="0" w:space="0" w:color="auto"/>
        <w:bottom w:val="none" w:sz="0" w:space="0" w:color="auto"/>
        <w:right w:val="none" w:sz="0" w:space="0" w:color="auto"/>
      </w:divBdr>
    </w:div>
    <w:div w:id="1701785081">
      <w:bodyDiv w:val="1"/>
      <w:marLeft w:val="0"/>
      <w:marRight w:val="0"/>
      <w:marTop w:val="0"/>
      <w:marBottom w:val="0"/>
      <w:divBdr>
        <w:top w:val="none" w:sz="0" w:space="0" w:color="auto"/>
        <w:left w:val="none" w:sz="0" w:space="0" w:color="auto"/>
        <w:bottom w:val="none" w:sz="0" w:space="0" w:color="auto"/>
        <w:right w:val="none" w:sz="0" w:space="0" w:color="auto"/>
      </w:divBdr>
    </w:div>
    <w:div w:id="1703482416">
      <w:bodyDiv w:val="1"/>
      <w:marLeft w:val="0"/>
      <w:marRight w:val="0"/>
      <w:marTop w:val="0"/>
      <w:marBottom w:val="0"/>
      <w:divBdr>
        <w:top w:val="none" w:sz="0" w:space="0" w:color="auto"/>
        <w:left w:val="none" w:sz="0" w:space="0" w:color="auto"/>
        <w:bottom w:val="none" w:sz="0" w:space="0" w:color="auto"/>
        <w:right w:val="none" w:sz="0" w:space="0" w:color="auto"/>
      </w:divBdr>
    </w:div>
    <w:div w:id="1705061422">
      <w:bodyDiv w:val="1"/>
      <w:marLeft w:val="0"/>
      <w:marRight w:val="0"/>
      <w:marTop w:val="0"/>
      <w:marBottom w:val="0"/>
      <w:divBdr>
        <w:top w:val="none" w:sz="0" w:space="0" w:color="auto"/>
        <w:left w:val="none" w:sz="0" w:space="0" w:color="auto"/>
        <w:bottom w:val="none" w:sz="0" w:space="0" w:color="auto"/>
        <w:right w:val="none" w:sz="0" w:space="0" w:color="auto"/>
      </w:divBdr>
    </w:div>
    <w:div w:id="1707679766">
      <w:bodyDiv w:val="1"/>
      <w:marLeft w:val="0"/>
      <w:marRight w:val="0"/>
      <w:marTop w:val="0"/>
      <w:marBottom w:val="0"/>
      <w:divBdr>
        <w:top w:val="none" w:sz="0" w:space="0" w:color="auto"/>
        <w:left w:val="none" w:sz="0" w:space="0" w:color="auto"/>
        <w:bottom w:val="none" w:sz="0" w:space="0" w:color="auto"/>
        <w:right w:val="none" w:sz="0" w:space="0" w:color="auto"/>
      </w:divBdr>
    </w:div>
    <w:div w:id="1708946523">
      <w:bodyDiv w:val="1"/>
      <w:marLeft w:val="0"/>
      <w:marRight w:val="0"/>
      <w:marTop w:val="0"/>
      <w:marBottom w:val="0"/>
      <w:divBdr>
        <w:top w:val="none" w:sz="0" w:space="0" w:color="auto"/>
        <w:left w:val="none" w:sz="0" w:space="0" w:color="auto"/>
        <w:bottom w:val="none" w:sz="0" w:space="0" w:color="auto"/>
        <w:right w:val="none" w:sz="0" w:space="0" w:color="auto"/>
      </w:divBdr>
    </w:div>
    <w:div w:id="1719626896">
      <w:bodyDiv w:val="1"/>
      <w:marLeft w:val="0"/>
      <w:marRight w:val="0"/>
      <w:marTop w:val="0"/>
      <w:marBottom w:val="0"/>
      <w:divBdr>
        <w:top w:val="none" w:sz="0" w:space="0" w:color="auto"/>
        <w:left w:val="none" w:sz="0" w:space="0" w:color="auto"/>
        <w:bottom w:val="none" w:sz="0" w:space="0" w:color="auto"/>
        <w:right w:val="none" w:sz="0" w:space="0" w:color="auto"/>
      </w:divBdr>
    </w:div>
    <w:div w:id="1746993278">
      <w:bodyDiv w:val="1"/>
      <w:marLeft w:val="0"/>
      <w:marRight w:val="0"/>
      <w:marTop w:val="0"/>
      <w:marBottom w:val="0"/>
      <w:divBdr>
        <w:top w:val="none" w:sz="0" w:space="0" w:color="auto"/>
        <w:left w:val="none" w:sz="0" w:space="0" w:color="auto"/>
        <w:bottom w:val="none" w:sz="0" w:space="0" w:color="auto"/>
        <w:right w:val="none" w:sz="0" w:space="0" w:color="auto"/>
      </w:divBdr>
    </w:div>
    <w:div w:id="1767382800">
      <w:bodyDiv w:val="1"/>
      <w:marLeft w:val="0"/>
      <w:marRight w:val="0"/>
      <w:marTop w:val="0"/>
      <w:marBottom w:val="0"/>
      <w:divBdr>
        <w:top w:val="none" w:sz="0" w:space="0" w:color="auto"/>
        <w:left w:val="none" w:sz="0" w:space="0" w:color="auto"/>
        <w:bottom w:val="none" w:sz="0" w:space="0" w:color="auto"/>
        <w:right w:val="none" w:sz="0" w:space="0" w:color="auto"/>
      </w:divBdr>
    </w:div>
    <w:div w:id="1769500668">
      <w:bodyDiv w:val="1"/>
      <w:marLeft w:val="0"/>
      <w:marRight w:val="0"/>
      <w:marTop w:val="0"/>
      <w:marBottom w:val="0"/>
      <w:divBdr>
        <w:top w:val="none" w:sz="0" w:space="0" w:color="auto"/>
        <w:left w:val="none" w:sz="0" w:space="0" w:color="auto"/>
        <w:bottom w:val="none" w:sz="0" w:space="0" w:color="auto"/>
        <w:right w:val="none" w:sz="0" w:space="0" w:color="auto"/>
      </w:divBdr>
    </w:div>
    <w:div w:id="1780948558">
      <w:bodyDiv w:val="1"/>
      <w:marLeft w:val="0"/>
      <w:marRight w:val="0"/>
      <w:marTop w:val="0"/>
      <w:marBottom w:val="0"/>
      <w:divBdr>
        <w:top w:val="none" w:sz="0" w:space="0" w:color="auto"/>
        <w:left w:val="none" w:sz="0" w:space="0" w:color="auto"/>
        <w:bottom w:val="none" w:sz="0" w:space="0" w:color="auto"/>
        <w:right w:val="none" w:sz="0" w:space="0" w:color="auto"/>
      </w:divBdr>
    </w:div>
    <w:div w:id="1788818799">
      <w:bodyDiv w:val="1"/>
      <w:marLeft w:val="0"/>
      <w:marRight w:val="0"/>
      <w:marTop w:val="0"/>
      <w:marBottom w:val="0"/>
      <w:divBdr>
        <w:top w:val="none" w:sz="0" w:space="0" w:color="auto"/>
        <w:left w:val="none" w:sz="0" w:space="0" w:color="auto"/>
        <w:bottom w:val="none" w:sz="0" w:space="0" w:color="auto"/>
        <w:right w:val="none" w:sz="0" w:space="0" w:color="auto"/>
      </w:divBdr>
    </w:div>
    <w:div w:id="1791974125">
      <w:bodyDiv w:val="1"/>
      <w:marLeft w:val="0"/>
      <w:marRight w:val="0"/>
      <w:marTop w:val="0"/>
      <w:marBottom w:val="0"/>
      <w:divBdr>
        <w:top w:val="none" w:sz="0" w:space="0" w:color="auto"/>
        <w:left w:val="none" w:sz="0" w:space="0" w:color="auto"/>
        <w:bottom w:val="none" w:sz="0" w:space="0" w:color="auto"/>
        <w:right w:val="none" w:sz="0" w:space="0" w:color="auto"/>
      </w:divBdr>
    </w:div>
    <w:div w:id="1794789316">
      <w:bodyDiv w:val="1"/>
      <w:marLeft w:val="0"/>
      <w:marRight w:val="0"/>
      <w:marTop w:val="0"/>
      <w:marBottom w:val="0"/>
      <w:divBdr>
        <w:top w:val="none" w:sz="0" w:space="0" w:color="auto"/>
        <w:left w:val="none" w:sz="0" w:space="0" w:color="auto"/>
        <w:bottom w:val="none" w:sz="0" w:space="0" w:color="auto"/>
        <w:right w:val="none" w:sz="0" w:space="0" w:color="auto"/>
      </w:divBdr>
    </w:div>
    <w:div w:id="1825777087">
      <w:bodyDiv w:val="1"/>
      <w:marLeft w:val="0"/>
      <w:marRight w:val="0"/>
      <w:marTop w:val="0"/>
      <w:marBottom w:val="0"/>
      <w:divBdr>
        <w:top w:val="none" w:sz="0" w:space="0" w:color="auto"/>
        <w:left w:val="none" w:sz="0" w:space="0" w:color="auto"/>
        <w:bottom w:val="none" w:sz="0" w:space="0" w:color="auto"/>
        <w:right w:val="none" w:sz="0" w:space="0" w:color="auto"/>
      </w:divBdr>
    </w:div>
    <w:div w:id="1835797249">
      <w:bodyDiv w:val="1"/>
      <w:marLeft w:val="0"/>
      <w:marRight w:val="0"/>
      <w:marTop w:val="0"/>
      <w:marBottom w:val="0"/>
      <w:divBdr>
        <w:top w:val="none" w:sz="0" w:space="0" w:color="auto"/>
        <w:left w:val="none" w:sz="0" w:space="0" w:color="auto"/>
        <w:bottom w:val="none" w:sz="0" w:space="0" w:color="auto"/>
        <w:right w:val="none" w:sz="0" w:space="0" w:color="auto"/>
      </w:divBdr>
    </w:div>
    <w:div w:id="1850024379">
      <w:bodyDiv w:val="1"/>
      <w:marLeft w:val="0"/>
      <w:marRight w:val="0"/>
      <w:marTop w:val="0"/>
      <w:marBottom w:val="0"/>
      <w:divBdr>
        <w:top w:val="none" w:sz="0" w:space="0" w:color="auto"/>
        <w:left w:val="none" w:sz="0" w:space="0" w:color="auto"/>
        <w:bottom w:val="none" w:sz="0" w:space="0" w:color="auto"/>
        <w:right w:val="none" w:sz="0" w:space="0" w:color="auto"/>
      </w:divBdr>
    </w:div>
    <w:div w:id="1869484356">
      <w:bodyDiv w:val="1"/>
      <w:marLeft w:val="0"/>
      <w:marRight w:val="0"/>
      <w:marTop w:val="0"/>
      <w:marBottom w:val="0"/>
      <w:divBdr>
        <w:top w:val="none" w:sz="0" w:space="0" w:color="auto"/>
        <w:left w:val="none" w:sz="0" w:space="0" w:color="auto"/>
        <w:bottom w:val="none" w:sz="0" w:space="0" w:color="auto"/>
        <w:right w:val="none" w:sz="0" w:space="0" w:color="auto"/>
      </w:divBdr>
    </w:div>
    <w:div w:id="1871526565">
      <w:bodyDiv w:val="1"/>
      <w:marLeft w:val="0"/>
      <w:marRight w:val="0"/>
      <w:marTop w:val="0"/>
      <w:marBottom w:val="0"/>
      <w:divBdr>
        <w:top w:val="none" w:sz="0" w:space="0" w:color="auto"/>
        <w:left w:val="none" w:sz="0" w:space="0" w:color="auto"/>
        <w:bottom w:val="none" w:sz="0" w:space="0" w:color="auto"/>
        <w:right w:val="none" w:sz="0" w:space="0" w:color="auto"/>
      </w:divBdr>
    </w:div>
    <w:div w:id="1874147127">
      <w:bodyDiv w:val="1"/>
      <w:marLeft w:val="0"/>
      <w:marRight w:val="0"/>
      <w:marTop w:val="0"/>
      <w:marBottom w:val="0"/>
      <w:divBdr>
        <w:top w:val="none" w:sz="0" w:space="0" w:color="auto"/>
        <w:left w:val="none" w:sz="0" w:space="0" w:color="auto"/>
        <w:bottom w:val="none" w:sz="0" w:space="0" w:color="auto"/>
        <w:right w:val="none" w:sz="0" w:space="0" w:color="auto"/>
      </w:divBdr>
    </w:div>
    <w:div w:id="1874801263">
      <w:bodyDiv w:val="1"/>
      <w:marLeft w:val="0"/>
      <w:marRight w:val="0"/>
      <w:marTop w:val="0"/>
      <w:marBottom w:val="0"/>
      <w:divBdr>
        <w:top w:val="none" w:sz="0" w:space="0" w:color="auto"/>
        <w:left w:val="none" w:sz="0" w:space="0" w:color="auto"/>
        <w:bottom w:val="none" w:sz="0" w:space="0" w:color="auto"/>
        <w:right w:val="none" w:sz="0" w:space="0" w:color="auto"/>
      </w:divBdr>
    </w:div>
    <w:div w:id="1882932731">
      <w:bodyDiv w:val="1"/>
      <w:marLeft w:val="0"/>
      <w:marRight w:val="0"/>
      <w:marTop w:val="0"/>
      <w:marBottom w:val="0"/>
      <w:divBdr>
        <w:top w:val="none" w:sz="0" w:space="0" w:color="auto"/>
        <w:left w:val="none" w:sz="0" w:space="0" w:color="auto"/>
        <w:bottom w:val="none" w:sz="0" w:space="0" w:color="auto"/>
        <w:right w:val="none" w:sz="0" w:space="0" w:color="auto"/>
      </w:divBdr>
    </w:div>
    <w:div w:id="1904020344">
      <w:bodyDiv w:val="1"/>
      <w:marLeft w:val="0"/>
      <w:marRight w:val="0"/>
      <w:marTop w:val="0"/>
      <w:marBottom w:val="0"/>
      <w:divBdr>
        <w:top w:val="none" w:sz="0" w:space="0" w:color="auto"/>
        <w:left w:val="none" w:sz="0" w:space="0" w:color="auto"/>
        <w:bottom w:val="none" w:sz="0" w:space="0" w:color="auto"/>
        <w:right w:val="none" w:sz="0" w:space="0" w:color="auto"/>
      </w:divBdr>
    </w:div>
    <w:div w:id="1912111048">
      <w:bodyDiv w:val="1"/>
      <w:marLeft w:val="0"/>
      <w:marRight w:val="0"/>
      <w:marTop w:val="0"/>
      <w:marBottom w:val="0"/>
      <w:divBdr>
        <w:top w:val="none" w:sz="0" w:space="0" w:color="auto"/>
        <w:left w:val="none" w:sz="0" w:space="0" w:color="auto"/>
        <w:bottom w:val="none" w:sz="0" w:space="0" w:color="auto"/>
        <w:right w:val="none" w:sz="0" w:space="0" w:color="auto"/>
      </w:divBdr>
    </w:div>
    <w:div w:id="1921324795">
      <w:bodyDiv w:val="1"/>
      <w:marLeft w:val="0"/>
      <w:marRight w:val="0"/>
      <w:marTop w:val="0"/>
      <w:marBottom w:val="0"/>
      <w:divBdr>
        <w:top w:val="none" w:sz="0" w:space="0" w:color="auto"/>
        <w:left w:val="none" w:sz="0" w:space="0" w:color="auto"/>
        <w:bottom w:val="none" w:sz="0" w:space="0" w:color="auto"/>
        <w:right w:val="none" w:sz="0" w:space="0" w:color="auto"/>
      </w:divBdr>
    </w:div>
    <w:div w:id="1932423596">
      <w:bodyDiv w:val="1"/>
      <w:marLeft w:val="0"/>
      <w:marRight w:val="0"/>
      <w:marTop w:val="0"/>
      <w:marBottom w:val="0"/>
      <w:divBdr>
        <w:top w:val="none" w:sz="0" w:space="0" w:color="auto"/>
        <w:left w:val="none" w:sz="0" w:space="0" w:color="auto"/>
        <w:bottom w:val="none" w:sz="0" w:space="0" w:color="auto"/>
        <w:right w:val="none" w:sz="0" w:space="0" w:color="auto"/>
      </w:divBdr>
    </w:div>
    <w:div w:id="1947881905">
      <w:bodyDiv w:val="1"/>
      <w:marLeft w:val="0"/>
      <w:marRight w:val="0"/>
      <w:marTop w:val="0"/>
      <w:marBottom w:val="0"/>
      <w:divBdr>
        <w:top w:val="none" w:sz="0" w:space="0" w:color="auto"/>
        <w:left w:val="none" w:sz="0" w:space="0" w:color="auto"/>
        <w:bottom w:val="none" w:sz="0" w:space="0" w:color="auto"/>
        <w:right w:val="none" w:sz="0" w:space="0" w:color="auto"/>
      </w:divBdr>
    </w:div>
    <w:div w:id="1958831620">
      <w:bodyDiv w:val="1"/>
      <w:marLeft w:val="0"/>
      <w:marRight w:val="0"/>
      <w:marTop w:val="0"/>
      <w:marBottom w:val="0"/>
      <w:divBdr>
        <w:top w:val="none" w:sz="0" w:space="0" w:color="auto"/>
        <w:left w:val="none" w:sz="0" w:space="0" w:color="auto"/>
        <w:bottom w:val="none" w:sz="0" w:space="0" w:color="auto"/>
        <w:right w:val="none" w:sz="0" w:space="0" w:color="auto"/>
      </w:divBdr>
    </w:div>
    <w:div w:id="1962105234">
      <w:bodyDiv w:val="1"/>
      <w:marLeft w:val="0"/>
      <w:marRight w:val="0"/>
      <w:marTop w:val="0"/>
      <w:marBottom w:val="0"/>
      <w:divBdr>
        <w:top w:val="none" w:sz="0" w:space="0" w:color="auto"/>
        <w:left w:val="none" w:sz="0" w:space="0" w:color="auto"/>
        <w:bottom w:val="none" w:sz="0" w:space="0" w:color="auto"/>
        <w:right w:val="none" w:sz="0" w:space="0" w:color="auto"/>
      </w:divBdr>
    </w:div>
    <w:div w:id="1967199125">
      <w:bodyDiv w:val="1"/>
      <w:marLeft w:val="0"/>
      <w:marRight w:val="0"/>
      <w:marTop w:val="0"/>
      <w:marBottom w:val="0"/>
      <w:divBdr>
        <w:top w:val="none" w:sz="0" w:space="0" w:color="auto"/>
        <w:left w:val="none" w:sz="0" w:space="0" w:color="auto"/>
        <w:bottom w:val="none" w:sz="0" w:space="0" w:color="auto"/>
        <w:right w:val="none" w:sz="0" w:space="0" w:color="auto"/>
      </w:divBdr>
    </w:div>
    <w:div w:id="1974286338">
      <w:bodyDiv w:val="1"/>
      <w:marLeft w:val="0"/>
      <w:marRight w:val="0"/>
      <w:marTop w:val="0"/>
      <w:marBottom w:val="0"/>
      <w:divBdr>
        <w:top w:val="none" w:sz="0" w:space="0" w:color="auto"/>
        <w:left w:val="none" w:sz="0" w:space="0" w:color="auto"/>
        <w:bottom w:val="none" w:sz="0" w:space="0" w:color="auto"/>
        <w:right w:val="none" w:sz="0" w:space="0" w:color="auto"/>
      </w:divBdr>
    </w:div>
    <w:div w:id="1981617209">
      <w:bodyDiv w:val="1"/>
      <w:marLeft w:val="0"/>
      <w:marRight w:val="0"/>
      <w:marTop w:val="0"/>
      <w:marBottom w:val="0"/>
      <w:divBdr>
        <w:top w:val="none" w:sz="0" w:space="0" w:color="auto"/>
        <w:left w:val="none" w:sz="0" w:space="0" w:color="auto"/>
        <w:bottom w:val="none" w:sz="0" w:space="0" w:color="auto"/>
        <w:right w:val="none" w:sz="0" w:space="0" w:color="auto"/>
      </w:divBdr>
    </w:div>
    <w:div w:id="2009362037">
      <w:bodyDiv w:val="1"/>
      <w:marLeft w:val="0"/>
      <w:marRight w:val="0"/>
      <w:marTop w:val="0"/>
      <w:marBottom w:val="0"/>
      <w:divBdr>
        <w:top w:val="none" w:sz="0" w:space="0" w:color="auto"/>
        <w:left w:val="none" w:sz="0" w:space="0" w:color="auto"/>
        <w:bottom w:val="none" w:sz="0" w:space="0" w:color="auto"/>
        <w:right w:val="none" w:sz="0" w:space="0" w:color="auto"/>
      </w:divBdr>
    </w:div>
    <w:div w:id="2022313103">
      <w:bodyDiv w:val="1"/>
      <w:marLeft w:val="0"/>
      <w:marRight w:val="0"/>
      <w:marTop w:val="0"/>
      <w:marBottom w:val="0"/>
      <w:divBdr>
        <w:top w:val="none" w:sz="0" w:space="0" w:color="auto"/>
        <w:left w:val="none" w:sz="0" w:space="0" w:color="auto"/>
        <w:bottom w:val="none" w:sz="0" w:space="0" w:color="auto"/>
        <w:right w:val="none" w:sz="0" w:space="0" w:color="auto"/>
      </w:divBdr>
    </w:div>
    <w:div w:id="2033340704">
      <w:bodyDiv w:val="1"/>
      <w:marLeft w:val="0"/>
      <w:marRight w:val="0"/>
      <w:marTop w:val="0"/>
      <w:marBottom w:val="0"/>
      <w:divBdr>
        <w:top w:val="none" w:sz="0" w:space="0" w:color="auto"/>
        <w:left w:val="none" w:sz="0" w:space="0" w:color="auto"/>
        <w:bottom w:val="none" w:sz="0" w:space="0" w:color="auto"/>
        <w:right w:val="none" w:sz="0" w:space="0" w:color="auto"/>
      </w:divBdr>
    </w:div>
    <w:div w:id="2041930393">
      <w:bodyDiv w:val="1"/>
      <w:marLeft w:val="0"/>
      <w:marRight w:val="0"/>
      <w:marTop w:val="0"/>
      <w:marBottom w:val="0"/>
      <w:divBdr>
        <w:top w:val="none" w:sz="0" w:space="0" w:color="auto"/>
        <w:left w:val="none" w:sz="0" w:space="0" w:color="auto"/>
        <w:bottom w:val="none" w:sz="0" w:space="0" w:color="auto"/>
        <w:right w:val="none" w:sz="0" w:space="0" w:color="auto"/>
      </w:divBdr>
    </w:div>
    <w:div w:id="2046179232">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060744087">
      <w:bodyDiv w:val="1"/>
      <w:marLeft w:val="0"/>
      <w:marRight w:val="0"/>
      <w:marTop w:val="0"/>
      <w:marBottom w:val="0"/>
      <w:divBdr>
        <w:top w:val="none" w:sz="0" w:space="0" w:color="auto"/>
        <w:left w:val="none" w:sz="0" w:space="0" w:color="auto"/>
        <w:bottom w:val="none" w:sz="0" w:space="0" w:color="auto"/>
        <w:right w:val="none" w:sz="0" w:space="0" w:color="auto"/>
      </w:divBdr>
    </w:div>
    <w:div w:id="2061857902">
      <w:bodyDiv w:val="1"/>
      <w:marLeft w:val="0"/>
      <w:marRight w:val="0"/>
      <w:marTop w:val="0"/>
      <w:marBottom w:val="0"/>
      <w:divBdr>
        <w:top w:val="none" w:sz="0" w:space="0" w:color="auto"/>
        <w:left w:val="none" w:sz="0" w:space="0" w:color="auto"/>
        <w:bottom w:val="none" w:sz="0" w:space="0" w:color="auto"/>
        <w:right w:val="none" w:sz="0" w:space="0" w:color="auto"/>
      </w:divBdr>
    </w:div>
    <w:div w:id="2073114692">
      <w:bodyDiv w:val="1"/>
      <w:marLeft w:val="0"/>
      <w:marRight w:val="0"/>
      <w:marTop w:val="0"/>
      <w:marBottom w:val="0"/>
      <w:divBdr>
        <w:top w:val="none" w:sz="0" w:space="0" w:color="auto"/>
        <w:left w:val="none" w:sz="0" w:space="0" w:color="auto"/>
        <w:bottom w:val="none" w:sz="0" w:space="0" w:color="auto"/>
        <w:right w:val="none" w:sz="0" w:space="0" w:color="auto"/>
      </w:divBdr>
    </w:div>
    <w:div w:id="2079399157">
      <w:bodyDiv w:val="1"/>
      <w:marLeft w:val="0"/>
      <w:marRight w:val="0"/>
      <w:marTop w:val="0"/>
      <w:marBottom w:val="0"/>
      <w:divBdr>
        <w:top w:val="none" w:sz="0" w:space="0" w:color="auto"/>
        <w:left w:val="none" w:sz="0" w:space="0" w:color="auto"/>
        <w:bottom w:val="none" w:sz="0" w:space="0" w:color="auto"/>
        <w:right w:val="none" w:sz="0" w:space="0" w:color="auto"/>
      </w:divBdr>
    </w:div>
    <w:div w:id="2089620185">
      <w:bodyDiv w:val="1"/>
      <w:marLeft w:val="0"/>
      <w:marRight w:val="0"/>
      <w:marTop w:val="0"/>
      <w:marBottom w:val="0"/>
      <w:divBdr>
        <w:top w:val="none" w:sz="0" w:space="0" w:color="auto"/>
        <w:left w:val="none" w:sz="0" w:space="0" w:color="auto"/>
        <w:bottom w:val="none" w:sz="0" w:space="0" w:color="auto"/>
        <w:right w:val="none" w:sz="0" w:space="0" w:color="auto"/>
      </w:divBdr>
    </w:div>
    <w:div w:id="2096397627">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 w:id="2141336805">
      <w:bodyDiv w:val="1"/>
      <w:marLeft w:val="0"/>
      <w:marRight w:val="0"/>
      <w:marTop w:val="0"/>
      <w:marBottom w:val="0"/>
      <w:divBdr>
        <w:top w:val="none" w:sz="0" w:space="0" w:color="auto"/>
        <w:left w:val="none" w:sz="0" w:space="0" w:color="auto"/>
        <w:bottom w:val="none" w:sz="0" w:space="0" w:color="auto"/>
        <w:right w:val="none" w:sz="0" w:space="0" w:color="auto"/>
      </w:divBdr>
    </w:div>
    <w:div w:id="2145193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ESRB18</b:Tag>
    <b:SourceType>Report</b:SourceType>
    <b:Guid>{D173158A-62E3-C84F-82B3-21D83B27C0AF}</b:Guid>
    <b:Title>European Systemic Risk Board A Review of Macroprudential Policy in the EU in 2017</b:Title>
    <b:Year>2018</b:Year>
    <b:Author>
      <b:Author>
        <b:NameList>
          <b:Person>
            <b:Last>ESRB</b:Last>
          </b:Person>
        </b:NameList>
      </b:Author>
    </b:Author>
    <b:RefOrder>8</b:RefOrder>
  </b:Source>
  <b:Source>
    <b:Tag>Mac21</b:Tag>
    <b:SourceType>Report</b:SourceType>
    <b:Guid>{632B7587-82F6-0F4A-A84D-A16E458F5B63}</b:Guid>
    <b:Author>
      <b:Author>
        <b:NameList>
          <b:Person>
            <b:Last>Mack</b:Last>
            <b:First>Sebastian</b:First>
          </b:Person>
        </b:NameList>
      </b:Author>
    </b:Author>
    <b:Title>Never waste a good crisis European banking regulation in the pandemic Policy Brief</b:Title>
    <b:Publisher>Hertie School</b:Publisher>
    <b:City>Berlin</b:City>
    <b:Year>2021</b:Year>
    <b:RefOrder>9</b:RefOrder>
  </b:Source>
  <b:Source>
    <b:Tag>Ste22</b:Tag>
    <b:SourceType>Report</b:SourceType>
    <b:Guid>{C46B7056-0F45-C346-A620-D02BEAEC9025}</b:Guid>
    <b:Author>
      <b:Author>
        <b:NameList>
          <b:Person>
            <b:Last>Schmitz</b:Last>
            <b:First>Stefan</b:First>
          </b:Person>
          <b:Person>
            <b:Last>Posch</b:Last>
            <b:First>Michaela</b:First>
          </b:Person>
          <b:Person>
            <b:Last>Strobl</b:Last>
            <b:First>Peter</b:First>
          </b:Person>
        </b:NameList>
      </b:Author>
    </b:Author>
    <b:Title>The EU macroprudential review should prioritize removing regulatory overlaps and increasing the flexibility of the CCyB</b:Title>
    <b:Publisher>SUERF</b:Publisher>
    <b:Year>2022</b:Year>
    <b:Institution>Oesterreichische Nationalbank</b:Institution>
    <b:RefOrder>10</b:RefOrder>
  </b:Source>
  <b:Source>
    <b:Tag>Sto20</b:Tag>
    <b:SourceType>JournalArticle</b:SourceType>
    <b:Guid>{8C54EE11-643A-FC45-A855-36ED02821B12}</b:Guid>
    <b:Title>Different Approaches to Implementing a Countercyclical Capital Buffer | Bulletin – September Quarter 2020</b:Title>
    <b:JournalName>Financial Stability Department</b:JournalName>
    <b:Year>2020</b:Year>
    <b:Author>
      <b:Author>
        <b:NameList>
          <b:Person>
            <b:Last>Stojkov</b:Last>
            <b:First>Katarina</b:First>
          </b:Person>
        </b:NameList>
      </b:Author>
    </b:Author>
    <b:Publisher>Reserve Bank of Australia</b:Publisher>
    <b:Month>September</b:Month>
    <b:Day>17</b:Day>
    <b:RefOrder>11</b:RefOrder>
  </b:Source>
  <b:Source>
    <b:Tag>Galan</b:Tag>
    <b:SourceType>JournalArticle</b:SourceType>
    <b:Guid>{07AD9863-4840-E544-AFC8-0AE849505D73}</b:Guid>
    <b:Title>The benefits are at the tail: Uncovering the impact of macroprudential policy on growth-at-risk</b:Title>
    <b:JournalName>Journal of Financial Stability</b:JournalName>
    <b:Year>2020</b:Year>
    <b:Pages>10.1016/j.jfs.2020.100831</b:Pages>
    <b:Author>
      <b:Author>
        <b:NameList>
          <b:Person>
            <b:Last>Galán</b:Last>
            <b:First>Jorge E.</b:First>
          </b:Person>
        </b:NameList>
      </b:Author>
    </b:Author>
    <b:Month>November</b:Month>
    <b:Issue>100831</b:Issue>
    <b:RefOrder>2</b:RefOrder>
  </b:Source>
  <b:Source>
    <b:Tag>Gal14</b:Tag>
    <b:SourceType>JournalArticle</b:SourceType>
    <b:Guid>{138509B0-FDD7-FD43-88F5-FFCD40BBF948}</b:Guid>
    <b:Title>Distributional Linkages between European Sovereign Bond and Bank Asset Returns</b:Title>
    <b:JournalName>SSRN Electronic Journal</b:JournalName>
    <b:Year>2014</b:Year>
    <b:Author>
      <b:Author>
        <b:NameList>
          <b:Person>
            <b:Last>Galvez</b:Last>
            <b:First>Julio</b:First>
          </b:Person>
          <b:Person>
            <b:Last>Mencia</b:Last>
            <b:First>Javier</b:First>
          </b:Person>
        </b:NameList>
      </b:Author>
    </b:Author>
    <b:Publisher>Centre for Monetary and Financial Studies (CEMFI)</b:Publisher>
    <b:Pages>10.2139/ssrn.2523863</b:Pages>
    <b:RefOrder>12</b:RefOrder>
  </b:Source>
  <b:Source>
    <b:Tag>Aikman19</b:Tag>
    <b:SourceType>JournalArticle</b:SourceType>
    <b:Guid>{CCF56436-DDD7-5142-BE0B-E2A000FED7F6}</b:Guid>
    <b:Author>
      <b:Author>
        <b:NameList>
          <b:Person>
            <b:Last>Aikman</b:Last>
            <b:First>David</b:First>
          </b:Person>
          <b:Person>
            <b:Last>Bridges</b:Last>
            <b:First>Jonathan</b:First>
          </b:Person>
          <b:Person>
            <b:Last>Hoke</b:Last>
            <b:First>Sinem</b:First>
            <b:Middle>Hacioglu</b:Middle>
          </b:Person>
          <b:Person>
            <b:Last>O’Neill</b:Last>
            <b:First>Cian</b:First>
          </b:Person>
          <b:Person>
            <b:Last>Raja</b:Last>
            <b:First>Akash</b:First>
          </b:Person>
        </b:NameList>
      </b:Author>
    </b:Author>
    <b:Title>Credit, capital and crises: a GDP-at-Risk approach</b:Title>
    <b:Year>2019</b:Year>
    <b:Publisher>Bank of England</b:Publisher>
    <b:Month>September</b:Month>
    <b:RefOrder>13</b:RefOrder>
  </b:Source>
  <b:Source>
    <b:Tag>Pra19</b:Tag>
    <b:SourceType>JournalArticle</b:SourceType>
    <b:Guid>{93474948-7583-FE4A-BD57-E3A93F47A488}</b:Guid>
    <b:Title>Growth at Risk: Concept and Application in IMF Country Surveillance</b:Title>
    <b:JournalName>IMF Working Papers</b:JournalName>
    <b:Year>2019</b:Year>
    <b:Pages>10.5089/9781484397015.001</b:Pages>
    <b:Author>
      <b:Author>
        <b:NameList>
          <b:Person>
            <b:Last>Prasad</b:Last>
            <b:First>Ananthakrishnan</b:First>
          </b:Person>
          <b:Person>
            <b:Last>Elekdag</b:Last>
            <b:First>Selim</b:First>
          </b:Person>
          <b:Person>
            <b:Last>Jeasakul</b:Last>
            <b:First>Phakawa</b:First>
          </b:Person>
          <b:Person>
            <b:Last>Lafarguette</b:Last>
            <b:First>Romain</b:First>
          </b:Person>
          <b:Person>
            <b:Last>Alter</b:Last>
            <b:First>Adrian</b:First>
          </b:Person>
          <b:Person>
            <b:Last>Xiaochen Feng</b:Last>
            <b:First>Alan</b:First>
          </b:Person>
          <b:Person>
            <b:Last>Wang</b:Last>
            <b:First>Changchun</b:First>
          </b:Person>
        </b:NameList>
      </b:Author>
    </b:Author>
    <b:Volume>19</b:Volume>
    <b:Issue>36</b:Issue>
    <b:RefOrder>14</b:RefOrder>
  </b:Source>
  <b:Source>
    <b:Tag>Sua22</b:Tag>
    <b:SourceType>JournalArticle</b:SourceType>
    <b:Guid>{0830D468-F91A-A248-A4C6-8F3B265E0526}</b:Guid>
    <b:Author>
      <b:Author>
        <b:NameList>
          <b:Person>
            <b:Last>Suarez</b:Last>
            <b:First>Javier</b:First>
          </b:Person>
        </b:NameList>
      </b:Author>
    </b:Author>
    <b:Title>Growth-at-risk and macroprudential policy design</b:Title>
    <b:JournalName>Journal of Financial Stability</b:JournalName>
    <b:Year>2022</b:Year>
    <b:Pages>10.1016/j.jfs.2022.101008</b:Pages>
    <b:Volume>60</b:Volume>
    <b:Issue>1572-3089</b:Issue>
    <b:RefOrder>15</b:RefOrder>
  </b:Source>
  <b:Source>
    <b:Tag>Koo14</b:Tag>
    <b:SourceType>JournalArticle</b:SourceType>
    <b:Guid>{A9B9D30F-13F1-A24D-A3BF-80050865FE18}</b:Guid>
    <b:Author>
      <b:Author>
        <b:NameList>
          <b:Person>
            <b:Last>Koop</b:Last>
            <b:First>Gary</b:First>
          </b:Person>
          <b:Person>
            <b:Last>Korobilis</b:Last>
            <b:First>Dimitris</b:First>
          </b:Person>
        </b:NameList>
      </b:Author>
    </b:Author>
    <b:Title>A new index of financial conditions</b:Title>
    <b:JournalName>European Economic Review</b:JournalName>
    <b:Year>2014</b:Year>
    <b:Pages>101-116, 10.1016/j.euroecorev.2014.07.002</b:Pages>
    <b:Volume>71</b:Volume>
    <b:Issue>0014-2921</b:Issue>
    <b:RefOrder>5</b:RefOrder>
  </b:Source>
  <b:Source>
    <b:Tag>Cec21</b:Tag>
    <b:SourceType>JournalArticle</b:SourceType>
    <b:Guid>{D9288C19-E726-7045-A4C4-2460DF1A62FC}</b:Guid>
    <b:Title>On the Stance of Macroprudential Policy</b:Title>
    <b:JournalName>SSRN Electronic Journal</b:JournalName>
    <b:Year>2021</b:Year>
    <b:Pages>10.2139/ssrn.3975941</b:Pages>
    <b:Author>
      <b:Author>
        <b:NameList>
          <b:Person>
            <b:Last>Cecchetti</b:Last>
            <b:First>Stephen</b:First>
            <b:Middle>G.</b:Middle>
          </b:Person>
          <b:Person>
            <b:Last>Suarez</b:Last>
            <b:First>Javier</b:First>
          </b:Person>
        </b:NameList>
      </b:Author>
    </b:Author>
    <b:Publisher>ESRB: Advisory Scientific Committee Reports</b:Publisher>
    <b:Month>December</b:Month>
    <b:Issue>11</b:Issue>
    <b:RefOrder>16</b:RefOrder>
  </b:Source>
  <b:Source>
    <b:Tag>Cha21</b:Tag>
    <b:SourceType>JournalArticle</b:SourceType>
    <b:Guid>{DDF98798-C05C-4C4B-8C98-16F22CA4D038}</b:Guid>
    <b:Author>
      <b:Author>
        <b:NameList>
          <b:Person>
            <b:Last>Chavleishvili</b:Last>
            <b:First>Sulkhan</b:First>
          </b:Person>
          <b:Person>
            <b:Last>Engle</b:Last>
            <b:First>Robert</b:First>
            <b:Middle>F.</b:Middle>
          </b:Person>
          <b:Person>
            <b:Last>Fahr</b:Last>
            <b:First>Stephan</b:First>
            <b:Middle>Alexander</b:Middle>
          </b:Person>
          <b:Person>
            <b:Last>Kremer</b:Last>
            <b:First>Manfred</b:First>
          </b:Person>
          <b:Person>
            <b:Last>Manganelli</b:Last>
            <b:First>Simone</b:First>
          </b:Person>
          <b:Person>
            <b:Last>Schwaab</b:Last>
            <b:First>Bernd</b:First>
          </b:Person>
        </b:NameList>
      </b:Author>
    </b:Author>
    <b:Title>The Risk Management Approach to Macro-Prudential Policy</b:Title>
    <b:JournalName>SSRN Electronic Journal</b:JournalName>
    <b:Year>2021</b:Year>
    <b:Pages>10.2139/ssrn.3859109</b:Pages>
    <b:Publisher>European Central Bank</b:Publisher>
    <b:RefOrder>17</b:RefOrder>
  </b:Source>
  <b:Source>
    <b:Tag>Alam19</b:Tag>
    <b:SourceType>JournalArticle</b:SourceType>
    <b:Guid>{C3D3938A-0B29-A642-A029-CE252DDE2021}</b:Guid>
    <b:Title>Digging Deeper--Evidence on the Effects of Macroprudential Policies from a New Database</b:Title>
    <b:JournalName>IMF Working Papers</b:JournalName>
    <b:Year>2019</b:Year>
    <b:Pages>10.5089/9781498302708.001</b:Pages>
    <b:Author>
      <b:Author>
        <b:NameList>
          <b:Person>
            <b:Last>Alam</b:Last>
            <b:First>Zohair</b:First>
          </b:Person>
          <b:Person>
            <b:Last>Alter</b:Last>
            <b:First>Adrian</b:First>
          </b:Person>
          <b:Person>
            <b:Last>Eiseman</b:Last>
            <b:First>Jesse</b:First>
          </b:Person>
          <b:Person>
            <b:Last>Gelos</b:Last>
            <b:First>R.</b:First>
          </b:Person>
          <b:Person>
            <b:Last>Kang</b:Last>
            <b:First>Heedon</b:First>
          </b:Person>
          <b:Person>
            <b:Last>Narita</b:Last>
            <b:First>Machiko</b:First>
          </b:Person>
          <b:Person>
            <b:Last>Nier</b:Last>
            <b:First>Erlend</b:First>
          </b:Person>
          <b:Person>
            <b:Last>Wang</b:Last>
            <b:First>Naixi</b:First>
          </b:Person>
        </b:NameList>
      </b:Author>
    </b:Author>
    <b:Volume>19</b:Volume>
    <b:Issue>66</b:Issue>
    <b:RefOrder>1</b:RefOrder>
  </b:Source>
  <b:Source>
    <b:Tag>Jim17</b:Tag>
    <b:SourceType>JournalArticle</b:SourceType>
    <b:Guid>{C406BB2B-1076-BC4C-B2F6-4252C6CF11A0}</b:Guid>
    <b:Author>
      <b:Author>
        <b:NameList>
          <b:Person>
            <b:Last>Jiménez</b:Last>
            <b:First>Gabriel</b:First>
          </b:Person>
          <b:Person>
            <b:Last>Ongena</b:Last>
            <b:First>Steven</b:First>
          </b:Person>
          <b:Person>
            <b:Last>Peydró</b:Last>
            <b:First>José-Luis</b:First>
          </b:Person>
          <b:Person>
            <b:Last>Saurina</b:Last>
            <b:First>Jesús</b:First>
          </b:Person>
        </b:NameList>
      </b:Author>
    </b:Author>
    <b:Title>Macroprudential Policy, Countercyclical Bank Capital Buffers, and Credit Supply: Evidence from the Spanish Dynamic Provisioning Experiments</b:Title>
    <b:JournalName>Journal of Political Economy</b:JournalName>
    <b:Year>2017</b:Year>
    <b:Pages>2126-2177, 10.1086/694289</b:Pages>
    <b:Volume>125</b:Volume>
    <b:Issue>6</b:Issue>
    <b:RefOrder>18</b:RefOrder>
  </b:Source>
  <b:Source>
    <b:Tag>Boa17</b:Tag>
    <b:SourceType>JournalArticle</b:SourceType>
    <b:Guid>{BD5CF531-A3FD-4942-9A73-19E694B291AC}</b:Guid>
    <b:Title>What are the Effects of Macroprudential Policies on Macroeconomic Performance?</b:Title>
    <b:JournalName>BIS Quarterly Review</b:JournalName>
    <b:Year>2017</b:Year>
    <b:Author>
      <b:Author>
        <b:NameList>
          <b:Person>
            <b:Last>Boar</b:Last>
            <b:First>Codruta</b:First>
          </b:Person>
          <b:Person>
            <b:Last>Gambacorta</b:Last>
            <b:First>Leonardo</b:First>
          </b:Person>
          <b:Person>
            <b:Last>Lombardo</b:Last>
            <b:First>Giovanni</b:First>
          </b:Person>
          <b:Person>
            <b:Last>Silva</b:Last>
            <b:First>Luiz</b:First>
            <b:Middle>A. Pereira da</b:Middle>
          </b:Person>
        </b:NameList>
      </b:Author>
    </b:Author>
    <b:RefOrder>19</b:RefOrder>
  </b:Source>
  <b:Source>
    <b:Tag>Koe78</b:Tag>
    <b:SourceType>JournalArticle</b:SourceType>
    <b:Guid>{CB4CD893-F41D-D24D-9907-AE861FA84B7E}</b:Guid>
    <b:Author>
      <b:Author>
        <b:NameList>
          <b:Person>
            <b:Last>Koenker</b:Last>
            <b:First>Roger</b:First>
          </b:Person>
          <b:Person>
            <b:Last>Bassett</b:Last>
            <b:First>Gilbert</b:First>
          </b:Person>
        </b:NameList>
      </b:Author>
    </b:Author>
    <b:Title>Regression Quantiles</b:Title>
    <b:JournalName>Econometrica</b:JournalName>
    <b:Year>1978</b:Year>
    <b:Pages>33, 10.2307/1913643</b:Pages>
    <b:Volume>46</b:Volume>
    <b:Issue>1</b:Issue>
    <b:RefOrder>3</b:RefOrder>
  </b:Source>
  <b:Source>
    <b:Tag>Kip22</b:Tag>
    <b:SourceType>JournalArticle</b:SourceType>
    <b:Guid>{83FF5C7D-74B2-2E41-9D39-B6D419E841EE}</b:Guid>
    <b:Author>
      <b:Author>
        <b:NameList>
          <b:Person>
            <b:Last>Kipriyanov</b:Last>
            <b:First>Aleksei</b:First>
          </b:Person>
        </b:NameList>
      </b:Author>
    </b:Author>
    <b:Title>Comparison of Models for Growth-at-Risk Forecasting</b:Title>
    <b:JournalName>Russian journal of money and finance</b:JournalName>
    <b:Year>2022</b:Year>
    <b:Pages>23-45, 10.31477/rjmf.202201.23</b:Pages>
    <b:Volume>81</b:Volume>
    <b:Issue>1</b:Issue>
    <b:RefOrder>4</b:RefOrder>
  </b:Source>
  <b:Source>
    <b:Tag>Hol12</b:Tag>
    <b:SourceType>JournalArticle</b:SourceType>
    <b:Guid>{F3B3DBD9-20A0-9647-8044-532BCB8BF92F}</b:Guid>
    <b:Author>
      <b:Author>
        <b:NameList>
          <b:Person>
            <b:Last>Holló</b:Last>
            <b:First>Dániel</b:First>
          </b:Person>
          <b:Person>
            <b:Last>Kremer</b:Last>
            <b:First>Manfred</b:First>
          </b:Person>
          <b:Person>
            <b:Last>Lo Duca</b:Last>
            <b:First>Marco</b:First>
          </b:Person>
        </b:NameList>
      </b:Author>
    </b:Author>
    <b:Title>A Composite Indicator of Systemic Stress in the Financial System</b:Title>
    <b:JournalName>ECB Working Paper 1426</b:JournalName>
    <b:Year>2012</b:Year>
    <b:Publisher>European Central Bank</b:Publisher>
    <b:RefOrder>6</b:RefOrder>
  </b:Source>
  <b:Source>
    <b:Tag>Pla14</b:Tag>
    <b:SourceType>JournalArticle</b:SourceType>
    <b:Guid>{F95D2416-55AC-A24D-ABBC-FF80E2C559DD}</b:Guid>
    <b:Author>
      <b:Author>
        <b:NameList>
          <b:Person>
            <b:Last>Plašil</b:Last>
            <b:First>Miroslav</b:First>
          </b:Person>
          <b:Person>
            <b:Last>Seidler</b:Last>
            <b:First>Jakub</b:First>
          </b:Person>
          <b:Person>
            <b:Last>Hlaváč</b:Last>
            <b:First>Petr</b:First>
          </b:Person>
          <b:Person>
            <b:Last>Konečný</b:Last>
            <b:First>Tomáš</b:First>
          </b:Person>
        </b:NameList>
      </b:Author>
    </b:Author>
    <b:Title>An indicator of the financial cycle in the Czech economy</b:Title>
    <b:JournalName>Czech Financial Stability Report 2013/2014</b:JournalName>
    <b:Year>2014</b:Year>
    <b:Publisher>Czech National Bank</b:Publisher>
    <b:RefOrder>7</b:RefOrder>
  </b:Source>
  <b:Source>
    <b:Tag>IMF24</b:Tag>
    <b:SourceType>JournalArticle</b:SourceType>
    <b:Guid>{5D03B0DD-FAEC-8A4E-A15C-2FA8DE507F59}</b:Guid>
    <b:Author>
      <b:Author>
        <b:NameList>
          <b:Person>
            <b:Last>IMF</b:Last>
          </b:Person>
        </b:NameList>
      </b:Author>
    </b:Author>
    <b:Title>International Financial Statistics</b:Title>
    <b:Year>2024</b:Year>
    <b:RefOrder>20</b:RefOrder>
  </b:Source>
  <b:Source>
    <b:Tag>IMF241</b:Tag>
    <b:SourceType>JournalArticle</b:SourceType>
    <b:Guid>{F1C77720-BD87-DF47-B8EE-C2BA86A70CB6}</b:Guid>
    <b:Author>
      <b:Author>
        <b:NameList>
          <b:Person>
            <b:Last>IMF</b:Last>
          </b:Person>
        </b:NameList>
      </b:Author>
    </b:Author>
    <b:Title>Financial Soundness Indicators</b:Title>
    <b:Year>2024</b:Year>
    <b:RefOrder>21</b:RefOrder>
  </b:Source>
  <b:Source>
    <b:Tag>Wor23</b:Tag>
    <b:SourceType>JournalArticle</b:SourceType>
    <b:Guid>{E2009B9C-63B0-2949-95F7-498C59255153}</b:Guid>
    <b:Author>
      <b:Author>
        <b:NameList>
          <b:Person>
            <b:Last>World Bank</b:Last>
          </b:Person>
        </b:NameList>
      </b:Author>
    </b:Author>
    <b:Title>Global Economic Monitor (GEM) [Data set]</b:Title>
    <b:Year>2023</b:Year>
    <b:Pages>https://databank.worldbank.org/source/global-economic-monitor-(gem)</b:Pages>
    <b:RefOrder>22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DFA67BB8893134191D9394909D4A940" ma:contentTypeVersion="12" ma:contentTypeDescription="Create a new document." ma:contentTypeScope="" ma:versionID="7c9b21a987813599722e3730cd6eaecb">
  <xsd:schema xmlns:xsd="http://www.w3.org/2001/XMLSchema" xmlns:xs="http://www.w3.org/2001/XMLSchema" xmlns:p="http://schemas.microsoft.com/office/2006/metadata/properties" xmlns:ns2="8f8875c8-43a9-487a-8483-c93934f2a15b" xmlns:ns3="0822d87c-9f4b-4af0-9aff-df69078804cc" targetNamespace="http://schemas.microsoft.com/office/2006/metadata/properties" ma:root="true" ma:fieldsID="b378793884891a40cc43184d8f2d233b" ns2:_="" ns3:_="">
    <xsd:import namespace="8f8875c8-43a9-487a-8483-c93934f2a15b"/>
    <xsd:import namespace="0822d87c-9f4b-4af0-9aff-df69078804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8875c8-43a9-487a-8483-c93934f2a1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22d87c-9f4b-4af0-9aff-df69078804c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FD7228-1354-4EFB-A4EC-BB725330CC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7E1B277-0B5C-044E-B440-94171747D4CD}">
  <ds:schemaRefs>
    <ds:schemaRef ds:uri="http://schemas.openxmlformats.org/officeDocument/2006/bibliography"/>
  </ds:schemaRefs>
</ds:datastoreItem>
</file>

<file path=customXml/itemProps3.xml><?xml version="1.0" encoding="utf-8"?>
<ds:datastoreItem xmlns:ds="http://schemas.openxmlformats.org/officeDocument/2006/customXml" ds:itemID="{4460A41E-572B-49C8-8C8C-07157C22081B}">
  <ds:schemaRefs>
    <ds:schemaRef ds:uri="http://schemas.microsoft.com/sharepoint/v3/contenttype/forms"/>
  </ds:schemaRefs>
</ds:datastoreItem>
</file>

<file path=customXml/itemProps4.xml><?xml version="1.0" encoding="utf-8"?>
<ds:datastoreItem xmlns:ds="http://schemas.openxmlformats.org/officeDocument/2006/customXml" ds:itemID="{D0E692C2-D0BE-4612-A636-0A340A43F5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8875c8-43a9-487a-8483-c93934f2a15b"/>
    <ds:schemaRef ds:uri="0822d87c-9f4b-4af0-9aff-df69078804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1264</TotalTime>
  <Pages>15</Pages>
  <Words>3948</Words>
  <Characters>22505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ACM</Company>
  <LinksUpToDate>false</LinksUpToDate>
  <CharactersWithSpaces>26401</CharactersWithSpaces>
  <SharedDoc>false</SharedDoc>
  <HLinks>
    <vt:vector size="48" baseType="variant">
      <vt:variant>
        <vt:i4>1900618</vt:i4>
      </vt:variant>
      <vt:variant>
        <vt:i4>84</vt:i4>
      </vt:variant>
      <vt:variant>
        <vt:i4>0</vt:i4>
      </vt:variant>
      <vt:variant>
        <vt:i4>5</vt:i4>
      </vt:variant>
      <vt:variant>
        <vt:lpwstr>http://www.acm.org/publications/submissions/latex_style</vt:lpwstr>
      </vt:variant>
      <vt:variant>
        <vt:lpwstr/>
      </vt:variant>
      <vt:variant>
        <vt:i4>65624</vt:i4>
      </vt:variant>
      <vt:variant>
        <vt:i4>48</vt:i4>
      </vt:variant>
      <vt:variant>
        <vt:i4>0</vt:i4>
      </vt:variant>
      <vt:variant>
        <vt:i4>5</vt:i4>
      </vt:variant>
      <vt:variant>
        <vt:lpwstr>http://sheridanprinting.com/typedept/ACM-distilling-settings.htm</vt:lpwstr>
      </vt:variant>
      <vt:variant>
        <vt:lpwstr/>
      </vt:variant>
      <vt:variant>
        <vt:i4>4259861</vt:i4>
      </vt:variant>
      <vt:variant>
        <vt:i4>45</vt:i4>
      </vt:variant>
      <vt:variant>
        <vt:i4>0</vt:i4>
      </vt:variant>
      <vt:variant>
        <vt:i4>5</vt:i4>
      </vt:variant>
      <vt:variant>
        <vt:lpwstr>http://chi2014.acm.org/authors/guide-to-an-accessible-submission</vt:lpwstr>
      </vt:variant>
      <vt:variant>
        <vt:lpwstr/>
      </vt:variant>
      <vt:variant>
        <vt:i4>1900618</vt:i4>
      </vt:variant>
      <vt:variant>
        <vt:i4>21</vt:i4>
      </vt:variant>
      <vt:variant>
        <vt:i4>0</vt:i4>
      </vt:variant>
      <vt:variant>
        <vt:i4>5</vt:i4>
      </vt:variant>
      <vt:variant>
        <vt:lpwstr>http://www.acm.org/publications/submissions/latex_style</vt:lpwstr>
      </vt:variant>
      <vt:variant>
        <vt:lpwstr/>
      </vt:variant>
      <vt:variant>
        <vt:i4>786512</vt:i4>
      </vt:variant>
      <vt:variant>
        <vt:i4>6</vt:i4>
      </vt:variant>
      <vt:variant>
        <vt:i4>0</vt:i4>
      </vt:variant>
      <vt:variant>
        <vt:i4>5</vt:i4>
      </vt:variant>
      <vt:variant>
        <vt:lpwstr>http://www.acm.org/publications/policies/copyright_policy</vt:lpwstr>
      </vt:variant>
      <vt:variant>
        <vt:lpwstr/>
      </vt:variant>
      <vt:variant>
        <vt:i4>5898367</vt:i4>
      </vt:variant>
      <vt:variant>
        <vt:i4>0</vt:i4>
      </vt:variant>
      <vt:variant>
        <vt:i4>0</vt:i4>
      </vt:variant>
      <vt:variant>
        <vt:i4>5</vt:i4>
      </vt:variant>
      <vt:variant>
        <vt:lpwstr>http://dl.acm.org/ccs.cfm</vt:lpwstr>
      </vt:variant>
      <vt:variant>
        <vt:lpwstr/>
      </vt:variant>
      <vt:variant>
        <vt:i4>2490451</vt:i4>
      </vt:variant>
      <vt:variant>
        <vt:i4>7276</vt:i4>
      </vt:variant>
      <vt:variant>
        <vt:i4>1025</vt:i4>
      </vt:variant>
      <vt:variant>
        <vt:i4>1</vt:i4>
      </vt:variant>
      <vt:variant>
        <vt:lpwstr>MIT-campus1</vt:lpwstr>
      </vt:variant>
      <vt:variant>
        <vt:lpwstr/>
      </vt:variant>
      <vt:variant>
        <vt:i4>4980759</vt:i4>
      </vt:variant>
      <vt:variant>
        <vt:i4>10435</vt:i4>
      </vt:variant>
      <vt:variant>
        <vt:i4>1026</vt:i4>
      </vt:variant>
      <vt:variant>
        <vt:i4>1</vt:i4>
      </vt:variant>
      <vt:variant>
        <vt:lpwstr>DevicesCrop-Outlines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SIGCHI</dc:creator>
  <cp:keywords>Guides, instructions, Author's kit, Conference Publications</cp:keywords>
  <dc:description/>
  <cp:lastModifiedBy>Victor Yerz</cp:lastModifiedBy>
  <cp:revision>109</cp:revision>
  <cp:lastPrinted>2018-12-26T15:25:00Z</cp:lastPrinted>
  <dcterms:created xsi:type="dcterms:W3CDTF">2021-09-24T18:46:00Z</dcterms:created>
  <dcterms:modified xsi:type="dcterms:W3CDTF">2024-06-19T12:48:00Z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y fmtid="{D5CDD505-2E9C-101B-9397-08002B2CF9AE}" pid="4" name="ContentTypeId">
    <vt:lpwstr>0x010100CDFA67BB8893134191D9394909D4A940</vt:lpwstr>
  </property>
  <property fmtid="{D5CDD505-2E9C-101B-9397-08002B2CF9AE}" pid="5" name="Order">
    <vt:r8>3217400</vt:r8>
  </property>
  <property fmtid="{D5CDD505-2E9C-101B-9397-08002B2CF9AE}" pid="6" name="ComplianceAssetId">
    <vt:lpwstr/>
  </property>
</Properties>
</file>