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6E5F5" w14:textId="689D77DA" w:rsidR="00646E21" w:rsidRPr="00452DF8" w:rsidRDefault="00452DF8" w:rsidP="00452DF8">
      <w:pPr>
        <w:pStyle w:val="Title"/>
        <w:rPr>
          <w:sz w:val="32"/>
          <w:szCs w:val="32"/>
        </w:rPr>
      </w:pPr>
      <w:r w:rsidRPr="00452DF8">
        <w:rPr>
          <w:sz w:val="32"/>
          <w:szCs w:val="32"/>
        </w:rPr>
        <w:t>Measuring the risk build up in Armenian financial system: A Growth-at-Risk approach</w:t>
      </w:r>
    </w:p>
    <w:p w14:paraId="0A3F5EB1" w14:textId="5752D4FF" w:rsidR="00676734" w:rsidRPr="008506FC" w:rsidRDefault="00452DF8" w:rsidP="002263C9">
      <w:pPr>
        <w:pStyle w:val="AuthorName"/>
        <w:rPr>
          <w:vertAlign w:val="superscript"/>
        </w:rPr>
      </w:pPr>
      <w:r>
        <w:t>Vladimir Yeghiazaryan</w:t>
      </w:r>
      <w:r w:rsidR="00676734" w:rsidRPr="008506FC">
        <w:rPr>
          <w:vertAlign w:val="superscript"/>
        </w:rPr>
        <w:t>a</w:t>
      </w:r>
      <w:r w:rsidR="00676734" w:rsidRPr="008506FC">
        <w:t xml:space="preserve">, </w:t>
      </w:r>
      <w:r w:rsidRPr="00452DF8">
        <w:t>Arthur Grigoryan</w:t>
      </w:r>
      <w:r w:rsidR="00676734" w:rsidRPr="008506FC">
        <w:rPr>
          <w:vertAlign w:val="superscript"/>
        </w:rPr>
        <w:t>b</w:t>
      </w:r>
    </w:p>
    <w:p w14:paraId="75C39D53" w14:textId="347CA340" w:rsidR="00676734" w:rsidRPr="008506FC" w:rsidRDefault="002D6AE0" w:rsidP="002263C9">
      <w:pPr>
        <w:pStyle w:val="AuthorAffiliation"/>
      </w:pPr>
      <w:r w:rsidRPr="008506FC">
        <w:rPr>
          <w:vertAlign w:val="superscript"/>
        </w:rPr>
        <w:t xml:space="preserve">a </w:t>
      </w:r>
      <w:r w:rsidR="00452DF8" w:rsidRPr="00452DF8">
        <w:t>Central Bank of Armenia</w:t>
      </w:r>
      <w:r w:rsidR="00EE4A38" w:rsidRPr="008506FC">
        <w:t xml:space="preserve">, </w:t>
      </w:r>
      <w:r w:rsidR="00452DF8">
        <w:t>Yerevan</w:t>
      </w:r>
      <w:r w:rsidR="00EE4A38" w:rsidRPr="008506FC">
        <w:t xml:space="preserve">, </w:t>
      </w:r>
      <w:r w:rsidR="00452DF8">
        <w:t>Armenia</w:t>
      </w:r>
      <w:r w:rsidR="00EE4A38" w:rsidRPr="008506FC">
        <w:t xml:space="preserve">, </w:t>
      </w:r>
      <w:r w:rsidR="00452DF8">
        <w:rPr>
          <w:rStyle w:val="AuthorEmailChar"/>
        </w:rPr>
        <w:t>v</w:t>
      </w:r>
      <w:r w:rsidR="00452DF8" w:rsidRPr="00452DF8">
        <w:rPr>
          <w:rStyle w:val="AuthorEmailChar"/>
        </w:rPr>
        <w:t>ladimir.</w:t>
      </w:r>
      <w:r w:rsidR="00452DF8">
        <w:rPr>
          <w:rStyle w:val="AuthorEmailChar"/>
        </w:rPr>
        <w:t>y</w:t>
      </w:r>
      <w:r w:rsidR="00452DF8" w:rsidRPr="00452DF8">
        <w:rPr>
          <w:rStyle w:val="AuthorEmailChar"/>
        </w:rPr>
        <w:t>eghiazaryan@cba.am</w:t>
      </w:r>
    </w:p>
    <w:p w14:paraId="2178EABB" w14:textId="112052C5" w:rsidR="00216CFA" w:rsidRPr="008506FC" w:rsidRDefault="002D6AE0" w:rsidP="00452DF8">
      <w:pPr>
        <w:pStyle w:val="AuthorAffiliation"/>
      </w:pPr>
      <w:r w:rsidRPr="008506FC">
        <w:rPr>
          <w:vertAlign w:val="superscript"/>
        </w:rPr>
        <w:t>b</w:t>
      </w:r>
      <w:r w:rsidRPr="008506FC">
        <w:t xml:space="preserve"> </w:t>
      </w:r>
      <w:r w:rsidR="00452DF8" w:rsidRPr="00452DF8">
        <w:t>Central Bank of Armenia</w:t>
      </w:r>
      <w:r w:rsidR="00216CFA" w:rsidRPr="008506FC">
        <w:t xml:space="preserve">, </w:t>
      </w:r>
      <w:r w:rsidR="00452DF8">
        <w:t>Yerevan</w:t>
      </w:r>
      <w:r w:rsidR="00216CFA" w:rsidRPr="008506FC">
        <w:t xml:space="preserve">, </w:t>
      </w:r>
      <w:r w:rsidR="00452DF8">
        <w:t>Armenia</w:t>
      </w:r>
      <w:r w:rsidR="00216CFA" w:rsidRPr="008506FC">
        <w:t>,</w:t>
      </w:r>
      <w:r w:rsidR="00216CFA" w:rsidRPr="00013ED9">
        <w:rPr>
          <w:rStyle w:val="AuthorEmailChar"/>
        </w:rPr>
        <w:t xml:space="preserve"> </w:t>
      </w:r>
      <w:r w:rsidR="00452DF8">
        <w:rPr>
          <w:rStyle w:val="AuthorEmailChar"/>
        </w:rPr>
        <w:t>a</w:t>
      </w:r>
      <w:r w:rsidR="00452DF8" w:rsidRPr="00452DF8">
        <w:rPr>
          <w:rStyle w:val="AuthorEmailChar"/>
        </w:rPr>
        <w:t>rthur.</w:t>
      </w:r>
      <w:r w:rsidR="00452DF8">
        <w:rPr>
          <w:rStyle w:val="AuthorEmailChar"/>
        </w:rPr>
        <w:t>g</w:t>
      </w:r>
      <w:r w:rsidR="00452DF8" w:rsidRPr="00452DF8">
        <w:rPr>
          <w:rStyle w:val="AuthorEmailChar"/>
        </w:rPr>
        <w:t>rigoryan@cba.am</w:t>
      </w:r>
    </w:p>
    <w:p w14:paraId="799703C2" w14:textId="77777777" w:rsidR="00291C99" w:rsidRPr="008506FC" w:rsidRDefault="00291C99" w:rsidP="002263C9">
      <w:pPr>
        <w:pStyle w:val="AuthorAffiliation"/>
      </w:pPr>
    </w:p>
    <w:p w14:paraId="67367779" w14:textId="00549672" w:rsidR="0082437C" w:rsidRPr="008506FC" w:rsidRDefault="0082437C" w:rsidP="002263C9">
      <w:pPr>
        <w:sectPr w:rsidR="0082437C" w:rsidRPr="008506FC" w:rsidSect="000734E0">
          <w:pgSz w:w="12240" w:h="15840" w:code="1"/>
          <w:pgMar w:top="1440" w:right="1440" w:bottom="1440" w:left="1440" w:header="720" w:footer="288" w:gutter="0"/>
          <w:cols w:space="720"/>
          <w:titlePg/>
          <w:docGrid w:linePitch="360"/>
        </w:sectPr>
      </w:pPr>
    </w:p>
    <w:p w14:paraId="2F92542B" w14:textId="1F4C1C13" w:rsidR="006B3F1F" w:rsidRPr="008506FC" w:rsidRDefault="006B3F1F" w:rsidP="002263C9">
      <w:pPr>
        <w:rPr>
          <w:b/>
        </w:rPr>
      </w:pPr>
      <w:r w:rsidRPr="008506FC">
        <w:rPr>
          <w:b/>
        </w:rPr>
        <w:t>A</w:t>
      </w:r>
      <w:r w:rsidR="002263C9" w:rsidRPr="008506FC">
        <w:rPr>
          <w:b/>
        </w:rPr>
        <w:t>bstract</w:t>
      </w:r>
    </w:p>
    <w:p w14:paraId="1BB3CF17" w14:textId="5AE0904C" w:rsidR="006B3F1F" w:rsidRPr="008506FC" w:rsidRDefault="000A6C04" w:rsidP="003C7D81">
      <w:r w:rsidRPr="000A6C04">
        <w:t xml:space="preserve">In recent years macroprudential policy has been evolving, with the aim to more closely manage the build-up of cyclical vulnerabilities in the financial system. The materialization of financial stress can trigger downside risks for growth in the medium term, but the realization of these risks can be mitigated through the effective use of macroprudential tools. This paper aims to quantify these risks and the effects of macroprudential policy on them, through the use of empirical growth-at-risk (GaR) frameworks. It also aims to augment the process of decision-making by proposing methods for designing a policy rule for macroprudential policy. </w:t>
      </w:r>
      <w:r w:rsidR="001D2611">
        <w:t>This</w:t>
      </w:r>
      <w:r w:rsidRPr="000A6C04">
        <w:t xml:space="preserve"> rule shouldn't be viewed as </w:t>
      </w:r>
      <w:r w:rsidR="001D2611">
        <w:t xml:space="preserve">a </w:t>
      </w:r>
      <w:r w:rsidRPr="000A6C04">
        <w:t>binding constraint, but rather as guideline that could serve as a basis for preemptive action.</w:t>
      </w:r>
    </w:p>
    <w:p w14:paraId="5C1C542F" w14:textId="3F780F8A" w:rsidR="006B3F1F" w:rsidRPr="008506FC" w:rsidRDefault="002263C9" w:rsidP="002263C9">
      <w:pPr>
        <w:rPr>
          <w:b/>
        </w:rPr>
      </w:pPr>
      <w:r w:rsidRPr="008506FC">
        <w:rPr>
          <w:b/>
        </w:rPr>
        <w:t>Keywords</w:t>
      </w:r>
    </w:p>
    <w:p w14:paraId="09062D14" w14:textId="4B96A6F1" w:rsidR="00782A36" w:rsidRDefault="003C732D" w:rsidP="0054300D">
      <w:r>
        <w:t>growth-at-risk, s</w:t>
      </w:r>
      <w:r w:rsidRPr="003C732D">
        <w:t>ystemic risk</w:t>
      </w:r>
      <w:r>
        <w:t>, q</w:t>
      </w:r>
      <w:r w:rsidRPr="003C732D">
        <w:t>uantile regressions</w:t>
      </w:r>
      <w:r>
        <w:t>, m</w:t>
      </w:r>
      <w:r w:rsidRPr="003C732D">
        <w:t>acroprudential policy</w:t>
      </w:r>
      <w:r>
        <w:t xml:space="preserve">, </w:t>
      </w:r>
      <w:r w:rsidRPr="003C732D">
        <w:t>policy stance</w:t>
      </w:r>
    </w:p>
    <w:p w14:paraId="00043EC6" w14:textId="77777777" w:rsidR="00C31CEF" w:rsidRPr="00E06FBA" w:rsidRDefault="00C31CEF" w:rsidP="0054300D"/>
    <w:p w14:paraId="61D869FF" w14:textId="6E72765C" w:rsidR="00A6678D" w:rsidRPr="008506FC" w:rsidRDefault="004535A6" w:rsidP="002263C9">
      <w:pPr>
        <w:pStyle w:val="SectionHeading"/>
        <w:rPr>
          <w:rStyle w:val="TabletextChar"/>
          <w:szCs w:val="20"/>
        </w:rPr>
      </w:pPr>
      <w:r w:rsidRPr="008506FC">
        <w:t>Introduction</w:t>
      </w:r>
    </w:p>
    <w:p w14:paraId="563FE0BA" w14:textId="19C53B6F" w:rsidR="003B0677" w:rsidRDefault="000A6C04" w:rsidP="003F3765">
      <w:pPr>
        <w:ind w:firstLine="284"/>
      </w:pPr>
      <w:r>
        <w:t xml:space="preserve">In this paper, we focus on </w:t>
      </w:r>
      <w:r w:rsidR="00813F15" w:rsidRPr="00813F15">
        <w:t>quantifying</w:t>
      </w:r>
      <w:r w:rsidR="00813F15">
        <w:t xml:space="preserve"> systemic risks and </w:t>
      </w:r>
      <w:r>
        <w:t xml:space="preserve">designing </w:t>
      </w:r>
      <w:r w:rsidR="00DA6596" w:rsidRPr="000A6C04">
        <w:t>a policy rule for macroprudential policy</w:t>
      </w:r>
      <w:r w:rsidR="004B7570">
        <w:t xml:space="preserve"> </w:t>
      </w:r>
      <w:r>
        <w:t>for the case of the Armenian financial system.</w:t>
      </w:r>
      <w:r w:rsidR="00D14E81">
        <w:t xml:space="preserve"> </w:t>
      </w:r>
      <w:r w:rsidR="003F3765">
        <w:t>W</w:t>
      </w:r>
      <w:r w:rsidR="003F3765">
        <w:t xml:space="preserve">e </w:t>
      </w:r>
      <w:r w:rsidR="003F3765" w:rsidRPr="00470ED8">
        <w:t>distinguish</w:t>
      </w:r>
      <w:r w:rsidR="003F3765">
        <w:t xml:space="preserve"> </w:t>
      </w:r>
      <w:r w:rsidR="003F3765">
        <w:t xml:space="preserve">between two types of </w:t>
      </w:r>
      <w:r w:rsidR="003F3765">
        <w:t>systemic risks</w:t>
      </w:r>
      <w:r w:rsidR="003F3765">
        <w:t xml:space="preserve">, </w:t>
      </w:r>
      <w:r w:rsidR="003F3765" w:rsidRPr="00470ED8">
        <w:t>financial vulnerability</w:t>
      </w:r>
      <w:r w:rsidR="003F3765">
        <w:t xml:space="preserve"> and </w:t>
      </w:r>
      <w:r w:rsidR="003F3765" w:rsidRPr="00470ED8">
        <w:t>financial stress</w:t>
      </w:r>
      <w:r w:rsidR="003F3765">
        <w:t xml:space="preserve">. </w:t>
      </w:r>
      <w:r w:rsidR="00813F15">
        <w:t>To measure the effects of</w:t>
      </w:r>
      <w:r w:rsidR="00813F15">
        <w:t xml:space="preserve"> </w:t>
      </w:r>
      <w:r w:rsidR="003F3765" w:rsidRPr="00470ED8">
        <w:t>financial vulnerability</w:t>
      </w:r>
      <w:r w:rsidR="003F3765">
        <w:t xml:space="preserve"> </w:t>
      </w:r>
      <w:r w:rsidR="00813F15">
        <w:t xml:space="preserve">the </w:t>
      </w:r>
      <w:r w:rsidR="00813F15" w:rsidRPr="00813F15">
        <w:t>financial cycle index</w:t>
      </w:r>
      <w:r w:rsidR="00813F15">
        <w:t xml:space="preserve"> (FCyI)</w:t>
      </w:r>
      <w:r w:rsidR="002E746E">
        <w:t xml:space="preserve"> </w:t>
      </w:r>
      <w:sdt>
        <w:sdtPr>
          <w:id w:val="-1150128943"/>
          <w:citation/>
        </w:sdtPr>
        <w:sdtContent>
          <w:r w:rsidR="002E746E">
            <w:fldChar w:fldCharType="begin"/>
          </w:r>
          <w:r w:rsidR="002E746E">
            <w:instrText xml:space="preserve"> CITATION Hol12 \l 1033 </w:instrText>
          </w:r>
          <w:r w:rsidR="002E746E">
            <w:fldChar w:fldCharType="separate"/>
          </w:r>
          <w:r w:rsidR="002E746E">
            <w:rPr>
              <w:noProof/>
            </w:rPr>
            <w:t>(Holló, Kremer, &amp; Lo Duca, 2012)</w:t>
          </w:r>
          <w:r w:rsidR="002E746E">
            <w:fldChar w:fldCharType="end"/>
          </w:r>
        </w:sdtContent>
      </w:sdt>
      <w:sdt>
        <w:sdtPr>
          <w:id w:val="1875962122"/>
          <w:citation/>
        </w:sdtPr>
        <w:sdtContent>
          <w:r w:rsidR="002E746E">
            <w:fldChar w:fldCharType="begin"/>
          </w:r>
          <w:r w:rsidR="002E746E">
            <w:instrText xml:space="preserve"> CITATION Pla14 \l 1033 </w:instrText>
          </w:r>
          <w:r w:rsidR="002E746E">
            <w:fldChar w:fldCharType="separate"/>
          </w:r>
          <w:r w:rsidR="002E746E">
            <w:rPr>
              <w:noProof/>
            </w:rPr>
            <w:t xml:space="preserve"> (Plašil, Seidler, Hlaváč, &amp; Konečný, 2014)</w:t>
          </w:r>
          <w:r w:rsidR="002E746E">
            <w:fldChar w:fldCharType="end"/>
          </w:r>
        </w:sdtContent>
      </w:sdt>
      <w:r w:rsidR="003F3765">
        <w:t xml:space="preserve"> is used.</w:t>
      </w:r>
      <w:r w:rsidR="00813F15">
        <w:t xml:space="preserve"> </w:t>
      </w:r>
      <w:r w:rsidR="003F3765">
        <w:t xml:space="preserve">While, to </w:t>
      </w:r>
      <w:r w:rsidR="003F3765">
        <w:t>measure</w:t>
      </w:r>
      <w:r w:rsidR="003F3765">
        <w:t xml:space="preserve"> </w:t>
      </w:r>
      <w:r w:rsidR="003F3765" w:rsidRPr="00470ED8">
        <w:t>financial stress</w:t>
      </w:r>
      <w:r w:rsidR="003F3765">
        <w:t xml:space="preserve">, we use </w:t>
      </w:r>
      <w:r w:rsidR="00813F15">
        <w:t xml:space="preserve">the </w:t>
      </w:r>
      <w:r w:rsidR="00813F15" w:rsidRPr="00813F15">
        <w:t>financial conditions index</w:t>
      </w:r>
      <w:r w:rsidR="00813F15">
        <w:t xml:space="preserve"> (FCI)</w:t>
      </w:r>
      <w:r w:rsidR="002E746E">
        <w:t xml:space="preserve"> </w:t>
      </w:r>
      <w:sdt>
        <w:sdtPr>
          <w:id w:val="-1233158311"/>
          <w:citation/>
        </w:sdtPr>
        <w:sdtContent>
          <w:r w:rsidR="002E746E">
            <w:fldChar w:fldCharType="begin"/>
          </w:r>
          <w:r w:rsidR="002E746E">
            <w:instrText xml:space="preserve"> CITATION Koo14 \l 1033 </w:instrText>
          </w:r>
          <w:r w:rsidR="002E746E">
            <w:fldChar w:fldCharType="separate"/>
          </w:r>
          <w:r w:rsidR="002E746E">
            <w:rPr>
              <w:noProof/>
            </w:rPr>
            <w:t>(Koop &amp; Korobilis, 2014)</w:t>
          </w:r>
          <w:r w:rsidR="002E746E">
            <w:fldChar w:fldCharType="end"/>
          </w:r>
        </w:sdtContent>
      </w:sdt>
      <w:r w:rsidR="002E746E">
        <w:t xml:space="preserve">. </w:t>
      </w:r>
      <w:r w:rsidR="003F3765">
        <w:t>Finally, to</w:t>
      </w:r>
      <w:r w:rsidR="00EC2F47">
        <w:t xml:space="preserve"> estimate the effects of </w:t>
      </w:r>
      <w:r w:rsidR="00EC2F47" w:rsidRPr="000A6C04">
        <w:t>macroprudential policy</w:t>
      </w:r>
      <w:r w:rsidR="004F420A">
        <w:t>,</w:t>
      </w:r>
      <w:r w:rsidR="00EC2F47">
        <w:t xml:space="preserve"> the current </w:t>
      </w:r>
      <w:r w:rsidR="00EC2F47" w:rsidRPr="00EC2F47">
        <w:t>literature</w:t>
      </w:r>
      <w:r w:rsidR="00EC2F47">
        <w:t xml:space="preserve"> </w:t>
      </w:r>
      <w:sdt>
        <w:sdtPr>
          <w:id w:val="-1880778647"/>
          <w:citation/>
        </w:sdtPr>
        <w:sdtContent>
          <w:r w:rsidR="00EC2F47">
            <w:fldChar w:fldCharType="begin"/>
          </w:r>
          <w:r w:rsidR="00EC2F47">
            <w:instrText xml:space="preserve"> CITATION Alam19 \l 1033 </w:instrText>
          </w:r>
          <w:r w:rsidR="00EC2F47">
            <w:fldChar w:fldCharType="separate"/>
          </w:r>
          <w:r w:rsidR="00B97B98">
            <w:rPr>
              <w:noProof/>
            </w:rPr>
            <w:t>(Alam, et al., 2019)</w:t>
          </w:r>
          <w:r w:rsidR="00EC2F47">
            <w:fldChar w:fldCharType="end"/>
          </w:r>
        </w:sdtContent>
      </w:sdt>
      <w:r w:rsidR="00EC2F47">
        <w:t xml:space="preserve"> </w:t>
      </w:r>
      <w:sdt>
        <w:sdtPr>
          <w:id w:val="-1067107470"/>
          <w:citation/>
        </w:sdtPr>
        <w:sdtContent>
          <w:r w:rsidR="00EC2F47">
            <w:fldChar w:fldCharType="begin"/>
          </w:r>
          <w:r w:rsidR="00EC2F47">
            <w:instrText xml:space="preserve"> CITATION Galan \l 1033 </w:instrText>
          </w:r>
          <w:r w:rsidR="00EC2F47">
            <w:fldChar w:fldCharType="separate"/>
          </w:r>
          <w:r w:rsidR="00B97B98">
            <w:rPr>
              <w:noProof/>
            </w:rPr>
            <w:t>(Galán, 2020)</w:t>
          </w:r>
          <w:r w:rsidR="00EC2F47">
            <w:fldChar w:fldCharType="end"/>
          </w:r>
        </w:sdtContent>
      </w:sdt>
      <w:r w:rsidR="00EC2F47">
        <w:t xml:space="preserve"> </w:t>
      </w:r>
      <w:r w:rsidR="00EC2F47" w:rsidRPr="00EC2F47">
        <w:t>opts to construct</w:t>
      </w:r>
      <w:r w:rsidR="00EC2F47">
        <w:t>ing a</w:t>
      </w:r>
      <w:r w:rsidR="00F93478">
        <w:t xml:space="preserve"> </w:t>
      </w:r>
      <w:r w:rsidR="00F93478" w:rsidRPr="000A6C04">
        <w:t>macroprudential policy</w:t>
      </w:r>
      <w:r w:rsidR="00F93478">
        <w:t xml:space="preserve"> </w:t>
      </w:r>
      <w:r w:rsidR="00F93478">
        <w:t>index</w:t>
      </w:r>
      <w:r w:rsidR="00F93478">
        <w:t xml:space="preserve"> (MPI) </w:t>
      </w:r>
      <w:r w:rsidR="00EC2F47">
        <w:t xml:space="preserve">given </w:t>
      </w:r>
      <w:r w:rsidR="004F420A">
        <w:t xml:space="preserve">the history and the macroprudential </w:t>
      </w:r>
      <w:r w:rsidR="004F420A" w:rsidRPr="004F420A">
        <w:t>stance</w:t>
      </w:r>
      <w:r w:rsidR="004F420A">
        <w:t xml:space="preserve"> of a country. </w:t>
      </w:r>
      <w:r w:rsidR="004F420A" w:rsidRPr="004F420A">
        <w:t>Unfortunately</w:t>
      </w:r>
      <w:r w:rsidR="004F420A">
        <w:t xml:space="preserve">, like many countries, the data related to </w:t>
      </w:r>
      <w:r w:rsidR="004F420A">
        <w:lastRenderedPageBreak/>
        <w:t>macroprudential policy in Armenian is quite limited</w:t>
      </w:r>
      <w:r w:rsidR="008060C8">
        <w:t xml:space="preserve">. To account for this, we use a two-step approach. First, we estimate a panel quantile regression very close in its logic and spirit to </w:t>
      </w:r>
      <w:proofErr w:type="spellStart"/>
      <w:r w:rsidR="008060C8">
        <w:t>Galán</w:t>
      </w:r>
      <w:proofErr w:type="spellEnd"/>
      <w:r w:rsidR="008060C8">
        <w:t xml:space="preserve"> (2020) and Aikman et al. (2019). Using </w:t>
      </w:r>
      <w:r w:rsidR="001D2611">
        <w:t xml:space="preserve">a </w:t>
      </w:r>
      <w:r w:rsidR="00DB4E49" w:rsidRPr="00DB4E49">
        <w:t xml:space="preserve">quarterly </w:t>
      </w:r>
      <w:r w:rsidR="001D2611">
        <w:t xml:space="preserve">dataset with </w:t>
      </w:r>
      <w:r w:rsidR="008060C8">
        <w:t>4</w:t>
      </w:r>
      <w:r w:rsidR="00813F15">
        <w:t>1</w:t>
      </w:r>
      <w:r w:rsidR="008060C8">
        <w:t xml:space="preserve"> countries and </w:t>
      </w:r>
      <w:r w:rsidR="00813F15">
        <w:t>15</w:t>
      </w:r>
      <w:r w:rsidR="008060C8">
        <w:t xml:space="preserve"> variables</w:t>
      </w:r>
      <w:r w:rsidR="00813F15">
        <w:t xml:space="preserve"> (18 with </w:t>
      </w:r>
      <w:r w:rsidR="00813F15" w:rsidRPr="00813F15">
        <w:t>interaction</w:t>
      </w:r>
      <w:r w:rsidR="00813F15">
        <w:t xml:space="preserve"> </w:t>
      </w:r>
      <w:r w:rsidR="00813F15" w:rsidRPr="00813F15">
        <w:t>effects</w:t>
      </w:r>
      <w:r w:rsidR="00813F15">
        <w:t>)</w:t>
      </w:r>
      <w:r w:rsidR="001D2611">
        <w:t xml:space="preserve"> for the period 1993-2023</w:t>
      </w:r>
      <w:r w:rsidR="008060C8">
        <w:t xml:space="preserve"> we derive </w:t>
      </w:r>
      <w:r w:rsidR="008060C8" w:rsidRPr="008060C8">
        <w:t>robust</w:t>
      </w:r>
      <w:r w:rsidR="008060C8">
        <w:t xml:space="preserve"> results for the effects of macroprudential policy on </w:t>
      </w:r>
      <w:r w:rsidR="004C33E8">
        <w:t xml:space="preserve">the distribution of the </w:t>
      </w:r>
      <w:r w:rsidR="008060C8">
        <w:t xml:space="preserve">output growth. </w:t>
      </w:r>
      <w:r w:rsidR="004B1F17">
        <w:t xml:space="preserve">The reason we focus on the </w:t>
      </w:r>
      <w:r w:rsidR="00765F0E">
        <w:t>g</w:t>
      </w:r>
      <w:r w:rsidR="004B1F17" w:rsidRPr="004B1F17">
        <w:t xml:space="preserve">ross domestic product </w:t>
      </w:r>
      <w:r w:rsidR="004B1F17">
        <w:t xml:space="preserve">(GDP) growth, is because it is closely related to the performance of the financial system and is a good measure for </w:t>
      </w:r>
      <w:r w:rsidR="004B1F17" w:rsidRPr="004B1F17">
        <w:t>quantifying</w:t>
      </w:r>
      <w:r w:rsidR="004B1F17">
        <w:t xml:space="preserve"> the </w:t>
      </w:r>
      <w:r w:rsidR="004B1F17" w:rsidRPr="004B1F17">
        <w:t>vulnerabilities</w:t>
      </w:r>
      <w:r w:rsidR="004B1F17">
        <w:t xml:space="preserve"> and </w:t>
      </w:r>
      <w:r w:rsidR="004B1F17" w:rsidRPr="004B1F17">
        <w:t>potential losses</w:t>
      </w:r>
      <w:r w:rsidR="004B1F17">
        <w:t xml:space="preserve">. </w:t>
      </w:r>
      <w:r w:rsidR="008060C8">
        <w:t>Next, we estimate a</w:t>
      </w:r>
      <w:r w:rsidR="004C33E8">
        <w:t xml:space="preserve"> similar, but</w:t>
      </w:r>
      <w:r w:rsidR="008060C8">
        <w:t xml:space="preserve"> local </w:t>
      </w:r>
      <w:r w:rsidR="004B7570">
        <w:t xml:space="preserve">quantile regression </w:t>
      </w:r>
      <w:r w:rsidR="008060C8">
        <w:t xml:space="preserve">model </w:t>
      </w:r>
      <w:r w:rsidR="004B7570">
        <w:t xml:space="preserve">for Armenia, </w:t>
      </w:r>
      <w:r w:rsidR="00DB4E49">
        <w:t xml:space="preserve">with </w:t>
      </w:r>
      <w:r w:rsidR="002E746E">
        <w:t>10</w:t>
      </w:r>
      <w:r w:rsidR="00DB4E49">
        <w:t xml:space="preserve"> variables</w:t>
      </w:r>
      <w:r w:rsidR="002E746E">
        <w:t xml:space="preserve"> (13 </w:t>
      </w:r>
      <w:r w:rsidR="002E746E">
        <w:t>with</w:t>
      </w:r>
      <w:r w:rsidR="002E746E">
        <w:t xml:space="preserve"> </w:t>
      </w:r>
      <w:r w:rsidR="002E746E" w:rsidRPr="00813F15">
        <w:t>interaction</w:t>
      </w:r>
      <w:r w:rsidR="002E746E">
        <w:t xml:space="preserve"> </w:t>
      </w:r>
      <w:r w:rsidR="002E746E" w:rsidRPr="00813F15">
        <w:t>effects</w:t>
      </w:r>
      <w:r w:rsidR="002E746E">
        <w:t>)</w:t>
      </w:r>
      <w:r w:rsidR="00DB4E49">
        <w:t xml:space="preserve"> for the period 2003-2024 </w:t>
      </w:r>
      <w:r w:rsidR="004B7570">
        <w:t xml:space="preserve">including the limited macroprudential data. Finally, we use the results from the panel model to improve the </w:t>
      </w:r>
      <w:r w:rsidR="004C33E8">
        <w:t>macroprudential policy</w:t>
      </w:r>
      <w:r w:rsidR="00E9479E">
        <w:t xml:space="preserve"> estimates of the local model</w:t>
      </w:r>
      <w:r w:rsidR="004C33E8">
        <w:t>.</w:t>
      </w:r>
    </w:p>
    <w:p w14:paraId="48EFF806" w14:textId="0E0D7E5F" w:rsidR="00C31EB8" w:rsidRDefault="003F3765" w:rsidP="00C31EB8">
      <w:pPr>
        <w:ind w:firstLine="284"/>
      </w:pPr>
      <w:r>
        <w:t xml:space="preserve">It is important to note that the effect of macroprudential policy also depends other economic conditions. </w:t>
      </w:r>
      <w:r w:rsidR="00D1502B">
        <w:t xml:space="preserve">The effectiveness of the policy may vary depending on the current buildup of </w:t>
      </w:r>
      <w:r w:rsidR="00D1502B" w:rsidRPr="00470ED8">
        <w:t>vulnerabilit</w:t>
      </w:r>
      <w:r w:rsidR="00D1502B">
        <w:t>ies (</w:t>
      </w:r>
      <w:r w:rsidR="00D1502B">
        <w:t>position in the financial</w:t>
      </w:r>
      <w:r w:rsidR="00D1502B">
        <w:t xml:space="preserve"> </w:t>
      </w:r>
      <w:r w:rsidR="00D1502B">
        <w:t>cycle</w:t>
      </w:r>
      <w:r w:rsidR="00D1502B">
        <w:t xml:space="preserve">) and the level of </w:t>
      </w:r>
      <w:r w:rsidR="00D1502B" w:rsidRPr="00470ED8">
        <w:t>financial stress</w:t>
      </w:r>
      <w:r w:rsidR="00D1502B">
        <w:t xml:space="preserve"> (before, during and after a </w:t>
      </w:r>
      <w:r w:rsidR="00D1502B" w:rsidRPr="00D1502B">
        <w:t>crisis</w:t>
      </w:r>
      <w:r w:rsidR="00D1502B">
        <w:t>).</w:t>
      </w:r>
      <w:r w:rsidR="00C44C28">
        <w:t xml:space="preserve"> </w:t>
      </w:r>
      <w:r w:rsidR="00BD6E2B">
        <w:t>The</w:t>
      </w:r>
      <w:r>
        <w:t xml:space="preserve"> </w:t>
      </w:r>
      <w:r w:rsidR="00BD6E2B">
        <w:t>FCyI</w:t>
      </w:r>
      <w:r>
        <w:t xml:space="preserve"> is an extension to the </w:t>
      </w:r>
      <w:r w:rsidRPr="007E0A15">
        <w:t>Basel credit-to-GDP</w:t>
      </w:r>
      <w:r>
        <w:t xml:space="preserve"> gap approach</w:t>
      </w:r>
      <w:r w:rsidR="00BD6E2B">
        <w:t xml:space="preserve"> that also includes elements from m</w:t>
      </w:r>
      <w:r w:rsidR="00BD6E2B" w:rsidRPr="00BD6E2B">
        <w:t>ortgage</w:t>
      </w:r>
      <w:r w:rsidR="00BD6E2B">
        <w:t xml:space="preserve"> markets, </w:t>
      </w:r>
      <w:r w:rsidR="00BD6E2B" w:rsidRPr="00BD6E2B">
        <w:t>property prices</w:t>
      </w:r>
      <w:r w:rsidR="00BD6E2B">
        <w:t xml:space="preserve"> and the t</w:t>
      </w:r>
      <w:r w:rsidR="00BD6E2B" w:rsidRPr="00BD6E2B">
        <w:t>rade</w:t>
      </w:r>
      <w:r w:rsidR="00BD6E2B">
        <w:t xml:space="preserve"> </w:t>
      </w:r>
      <w:r w:rsidR="00BD6E2B" w:rsidRPr="00BD6E2B">
        <w:t>deficit</w:t>
      </w:r>
      <w:r>
        <w:t>.</w:t>
      </w:r>
      <w:r w:rsidR="00BD6E2B">
        <w:t xml:space="preserve"> It </w:t>
      </w:r>
      <w:r w:rsidR="00BD6E2B" w:rsidRPr="00BD6E2B">
        <w:t>serve</w:t>
      </w:r>
      <w:r w:rsidR="00BD6E2B">
        <w:t xml:space="preserve">s as a leading indicator for future </w:t>
      </w:r>
      <w:r w:rsidR="00BD6E2B" w:rsidRPr="00BD6E2B">
        <w:t>deteriorations</w:t>
      </w:r>
      <w:r w:rsidR="00BD6E2B">
        <w:t xml:space="preserve"> in GDP growth.</w:t>
      </w:r>
      <w:r w:rsidR="00C44C28">
        <w:t xml:space="preserve"> </w:t>
      </w:r>
      <w:r>
        <w:t>On the other hand</w:t>
      </w:r>
      <w:r w:rsidR="00BD6E2B">
        <w:t>, the FCI</w:t>
      </w:r>
      <w:r>
        <w:t xml:space="preserve"> follow</w:t>
      </w:r>
      <w:r w:rsidR="00BD6E2B">
        <w:t>s</w:t>
      </w:r>
      <w:r>
        <w:t xml:space="preserve"> the methodology </w:t>
      </w:r>
      <w:r w:rsidR="00BD6E2B" w:rsidRPr="00BD6E2B">
        <w:t>proposed</w:t>
      </w:r>
      <w:r w:rsidR="00BD6E2B" w:rsidRPr="00BD6E2B">
        <w:t xml:space="preserve"> </w:t>
      </w:r>
      <w:r w:rsidR="00BD6E2B">
        <w:t xml:space="preserve">by </w:t>
      </w:r>
      <w:r>
        <w:t xml:space="preserve">Gary Koop and </w:t>
      </w:r>
      <w:r w:rsidRPr="00A112AE">
        <w:t xml:space="preserve">Dimitris </w:t>
      </w:r>
      <w:proofErr w:type="spellStart"/>
      <w:r w:rsidRPr="00A112AE">
        <w:t>Korobilis</w:t>
      </w:r>
      <w:proofErr w:type="spellEnd"/>
      <w:r>
        <w:t xml:space="preserve"> (2014). A factor augmented vector autoregressive model with time-varying coefficients and stochastic volatility is used </w:t>
      </w:r>
      <w:r w:rsidR="00BD6E2B">
        <w:t xml:space="preserve">to </w:t>
      </w:r>
      <w:r w:rsidRPr="00A112AE">
        <w:t>aggregate</w:t>
      </w:r>
      <w:r w:rsidR="00C44C28">
        <w:t xml:space="preserve"> the</w:t>
      </w:r>
      <w:r>
        <w:t xml:space="preserve"> </w:t>
      </w:r>
      <w:r w:rsidR="00BD6E2B">
        <w:t>financial variables</w:t>
      </w:r>
      <w:r w:rsidR="00BD6E2B">
        <w:t xml:space="preserve"> into a single</w:t>
      </w:r>
      <w:r>
        <w:t xml:space="preserve"> index. </w:t>
      </w:r>
      <w:r w:rsidR="00C44C28">
        <w:t xml:space="preserve">The index focuses on the interest rate markets, thus reflecting the current and future </w:t>
      </w:r>
      <w:r w:rsidR="00C44C28">
        <w:t xml:space="preserve">expectations </w:t>
      </w:r>
      <w:r w:rsidR="00C44C28">
        <w:t>on</w:t>
      </w:r>
      <w:r w:rsidR="00C44C28">
        <w:t xml:space="preserve"> growth</w:t>
      </w:r>
      <w:r w:rsidR="00C44C28">
        <w:t>.</w:t>
      </w:r>
      <w:r w:rsidR="00F93478">
        <w:t xml:space="preserve"> </w:t>
      </w:r>
      <w:r>
        <w:t>F</w:t>
      </w:r>
      <w:r w:rsidRPr="00470ED8">
        <w:t>inancial vulnerabilit</w:t>
      </w:r>
      <w:r>
        <w:t>ies are risks that are realized during f</w:t>
      </w:r>
      <w:r w:rsidRPr="00470ED8">
        <w:t>inancial stress</w:t>
      </w:r>
      <w:r>
        <w:t xml:space="preserve">, as such, these two </w:t>
      </w:r>
      <w:r w:rsidRPr="00A112AE">
        <w:t>indices</w:t>
      </w:r>
      <w:r>
        <w:t xml:space="preserve"> are </w:t>
      </w:r>
      <w:r w:rsidR="00F93478">
        <w:t xml:space="preserve">also </w:t>
      </w:r>
      <w:r>
        <w:t>tightly related.</w:t>
      </w:r>
      <w:r w:rsidR="00F93478">
        <w:t xml:space="preserve"> </w:t>
      </w:r>
      <w:r>
        <w:t>To account for the relationship</w:t>
      </w:r>
      <w:r w:rsidR="00F93478">
        <w:t>s</w:t>
      </w:r>
      <w:r>
        <w:t xml:space="preserve"> between </w:t>
      </w:r>
      <w:r w:rsidR="00CD1FFA">
        <w:t xml:space="preserve">the </w:t>
      </w:r>
      <w:r w:rsidR="00F93478">
        <w:t>variables</w:t>
      </w:r>
      <w:r>
        <w:t xml:space="preserve">, we also include </w:t>
      </w:r>
      <w:r w:rsidR="00F93478">
        <w:t xml:space="preserve">3 interaction terms in the models. These are the </w:t>
      </w:r>
      <w:r>
        <w:t>product</w:t>
      </w:r>
      <w:r w:rsidR="00F93478">
        <w:t xml:space="preserve"> between FCyI and FCI (both </w:t>
      </w:r>
      <w:r w:rsidR="00F93478" w:rsidRPr="00F93478">
        <w:t>normalized</w:t>
      </w:r>
      <w:r w:rsidR="00F93478">
        <w:t>)</w:t>
      </w:r>
      <w:r>
        <w:t xml:space="preserve">, aka the </w:t>
      </w:r>
      <w:r w:rsidRPr="00EA444F">
        <w:t>crisis index</w:t>
      </w:r>
      <w:r>
        <w:t xml:space="preserve"> (CI)</w:t>
      </w:r>
      <w:r w:rsidR="00F93478">
        <w:t xml:space="preserve">, </w:t>
      </w:r>
      <w:r w:rsidR="00F93478">
        <w:t>the product</w:t>
      </w:r>
      <w:r w:rsidR="00F93478">
        <w:t xml:space="preserve"> between MPI and </w:t>
      </w:r>
      <w:r w:rsidR="00F93478">
        <w:t>FCyI</w:t>
      </w:r>
      <w:r w:rsidR="00F93478">
        <w:t xml:space="preserve"> (</w:t>
      </w:r>
      <w:r w:rsidR="00F93478">
        <w:t>FCyI</w:t>
      </w:r>
      <w:r w:rsidR="00F93478">
        <w:t xml:space="preserve"> </w:t>
      </w:r>
      <w:r w:rsidR="00F93478" w:rsidRPr="00F93478">
        <w:t>normalized</w:t>
      </w:r>
      <w:r w:rsidR="00F93478">
        <w:t>)</w:t>
      </w:r>
      <w:r w:rsidR="00D565D6">
        <w:t xml:space="preserve">, </w:t>
      </w:r>
      <w:r w:rsidR="005E52B8">
        <w:t>the</w:t>
      </w:r>
      <w:r w:rsidR="00E52A61" w:rsidRPr="00E52A61">
        <w:t xml:space="preserve"> </w:t>
      </w:r>
      <w:r w:rsidR="00E52A61">
        <w:t>c</w:t>
      </w:r>
      <w:r w:rsidR="00E52A61">
        <w:t>ycle-</w:t>
      </w:r>
      <w:r w:rsidR="00E52A61">
        <w:t>b</w:t>
      </w:r>
      <w:r w:rsidR="00E52A61">
        <w:t xml:space="preserve">ased </w:t>
      </w:r>
      <w:r w:rsidR="00E52A61">
        <w:t>p</w:t>
      </w:r>
      <w:r w:rsidR="00E52A61">
        <w:t xml:space="preserve">olicy </w:t>
      </w:r>
      <w:r w:rsidR="00E52A61">
        <w:t>a</w:t>
      </w:r>
      <w:r w:rsidR="00E52A61">
        <w:t>djustment</w:t>
      </w:r>
      <w:r w:rsidR="00E52A61">
        <w:t xml:space="preserve"> (</w:t>
      </w:r>
      <w:proofErr w:type="spellStart"/>
      <w:r w:rsidR="00E52A61">
        <w:t>CyBPA</w:t>
      </w:r>
      <w:proofErr w:type="spellEnd"/>
      <w:r w:rsidR="00E52A61">
        <w:t>)</w:t>
      </w:r>
      <w:r w:rsidR="00F93478">
        <w:t xml:space="preserve"> and the </w:t>
      </w:r>
      <w:r w:rsidR="00F93478">
        <w:t>product</w:t>
      </w:r>
      <w:r w:rsidR="00F93478">
        <w:t xml:space="preserve"> </w:t>
      </w:r>
      <w:r w:rsidR="00F93478">
        <w:t>between MPI and FCI</w:t>
      </w:r>
      <w:r w:rsidR="0096450F">
        <w:t xml:space="preserve"> </w:t>
      </w:r>
      <w:r w:rsidR="0096450F">
        <w:t xml:space="preserve">(FCI </w:t>
      </w:r>
      <w:r w:rsidR="0096450F" w:rsidRPr="00F93478">
        <w:t>normalized</w:t>
      </w:r>
      <w:r w:rsidR="0096450F">
        <w:t>)</w:t>
      </w:r>
      <w:r w:rsidR="00E52A61">
        <w:t xml:space="preserve">, the </w:t>
      </w:r>
      <w:r w:rsidR="00E52A61" w:rsidRPr="00813F15">
        <w:t>conditions</w:t>
      </w:r>
      <w:r w:rsidR="00E52A61">
        <w:t>-based policy adjustment</w:t>
      </w:r>
      <w:r w:rsidR="00E52A61">
        <w:t xml:space="preserve"> (</w:t>
      </w:r>
      <w:r w:rsidR="00E52A61">
        <w:t>CBPA</w:t>
      </w:r>
      <w:r w:rsidR="00E52A61">
        <w:t>)</w:t>
      </w:r>
      <w:r w:rsidR="00F93478">
        <w:t>.</w:t>
      </w:r>
    </w:p>
    <w:p w14:paraId="21F42091" w14:textId="103F9332" w:rsidR="00D63A78" w:rsidRDefault="00DB4E49" w:rsidP="00C31EB8">
      <w:pPr>
        <w:ind w:firstLine="284"/>
      </w:pPr>
      <w:r>
        <w:t xml:space="preserve">According to the results, </w:t>
      </w:r>
      <w:r w:rsidR="000A0748">
        <w:t xml:space="preserve">the FCyI has negative effects on the future GDP growth, while its effects on the current growth remain positive. </w:t>
      </w:r>
      <w:r w:rsidR="00D63A78">
        <w:t xml:space="preserve">An increase in FCyI indicates higher </w:t>
      </w:r>
      <w:r w:rsidR="00D63A78" w:rsidRPr="00470ED8">
        <w:t>vulnerabilit</w:t>
      </w:r>
      <w:r w:rsidR="00D63A78">
        <w:t>ies, thus t</w:t>
      </w:r>
      <w:r w:rsidR="00211004">
        <w:t xml:space="preserve">his relationship is best </w:t>
      </w:r>
      <w:r w:rsidR="00211004" w:rsidRPr="00211004">
        <w:t>characterized</w:t>
      </w:r>
      <w:r w:rsidR="00211004">
        <w:t xml:space="preserve"> by</w:t>
      </w:r>
      <w:r w:rsidR="00C31EB8">
        <w:t xml:space="preserve"> a</w:t>
      </w:r>
      <w:r w:rsidR="00211004">
        <w:t xml:space="preserve"> l</w:t>
      </w:r>
      <w:r w:rsidR="00211004" w:rsidRPr="00211004">
        <w:t>everaged bubble</w:t>
      </w:r>
      <w:r w:rsidR="00211004">
        <w:t xml:space="preserve"> </w:t>
      </w:r>
      <w:sdt>
        <w:sdtPr>
          <w:id w:val="-1408912909"/>
          <w:citation/>
        </w:sdtPr>
        <w:sdtContent>
          <w:r w:rsidR="000A0748">
            <w:fldChar w:fldCharType="begin"/>
          </w:r>
          <w:r w:rsidR="000A0748">
            <w:instrText xml:space="preserve"> CITATION Jor15 \l 1033 </w:instrText>
          </w:r>
          <w:r w:rsidR="000A0748">
            <w:fldChar w:fldCharType="separate"/>
          </w:r>
          <w:r w:rsidR="000A0748">
            <w:rPr>
              <w:noProof/>
            </w:rPr>
            <w:t>(Jordà, Schularick, &amp; Taylor, 2015)</w:t>
          </w:r>
          <w:r w:rsidR="000A0748">
            <w:fldChar w:fldCharType="end"/>
          </w:r>
        </w:sdtContent>
      </w:sdt>
      <w:r w:rsidR="00211004">
        <w:t xml:space="preserve">, that may emerge from </w:t>
      </w:r>
      <w:r w:rsidR="00C31EB8">
        <w:t xml:space="preserve">positive </w:t>
      </w:r>
      <w:r w:rsidR="00211004" w:rsidRPr="00211004">
        <w:t>feedback</w:t>
      </w:r>
      <w:r w:rsidR="00211004">
        <w:t xml:space="preserve"> </w:t>
      </w:r>
      <w:r w:rsidR="00C31EB8">
        <w:t xml:space="preserve">loops between </w:t>
      </w:r>
      <w:r w:rsidR="00C31EB8">
        <w:t>credit growth</w:t>
      </w:r>
      <w:r w:rsidR="00C31EB8" w:rsidRPr="00211004">
        <w:t xml:space="preserve"> </w:t>
      </w:r>
      <w:r w:rsidR="00C31EB8">
        <w:t xml:space="preserve">and asset prices, and </w:t>
      </w:r>
      <w:r w:rsidR="00211004" w:rsidRPr="00211004">
        <w:t>upon collapse</w:t>
      </w:r>
      <w:r w:rsidR="00211004">
        <w:t xml:space="preserve"> </w:t>
      </w:r>
      <w:r w:rsidR="00C31EB8">
        <w:t>create a</w:t>
      </w:r>
      <w:r w:rsidR="00211004">
        <w:t xml:space="preserve"> </w:t>
      </w:r>
      <w:r w:rsidR="00211004" w:rsidRPr="00211004">
        <w:t>severe</w:t>
      </w:r>
      <w:r w:rsidR="00211004">
        <w:t xml:space="preserve"> </w:t>
      </w:r>
      <w:r w:rsidR="00211004" w:rsidRPr="00211004">
        <w:t>recession</w:t>
      </w:r>
      <w:r w:rsidR="00211004">
        <w:t xml:space="preserve"> </w:t>
      </w:r>
      <w:r w:rsidR="00C31EB8">
        <w:t>with</w:t>
      </w:r>
      <w:r w:rsidR="00211004">
        <w:t xml:space="preserve"> </w:t>
      </w:r>
      <w:r w:rsidR="00211004" w:rsidRPr="00211004">
        <w:t>slower recover</w:t>
      </w:r>
      <w:r w:rsidR="00C31EB8">
        <w:t>y</w:t>
      </w:r>
      <w:r w:rsidR="00211004">
        <w:t>.</w:t>
      </w:r>
    </w:p>
    <w:p w14:paraId="5D44B5BB" w14:textId="6E67B911" w:rsidR="00F03D8C" w:rsidRDefault="00C31EB8" w:rsidP="00A04BF1">
      <w:pPr>
        <w:ind w:firstLine="284"/>
      </w:pPr>
      <w:r>
        <w:lastRenderedPageBreak/>
        <w:t xml:space="preserve">Meanwhile, </w:t>
      </w:r>
      <w:r w:rsidR="00D63A78">
        <w:t>an</w:t>
      </w:r>
      <w:r>
        <w:t xml:space="preserve"> </w:t>
      </w:r>
      <w:r w:rsidR="00D63A78">
        <w:t xml:space="preserve">increase in </w:t>
      </w:r>
      <w:r>
        <w:t xml:space="preserve">FCI </w:t>
      </w:r>
      <w:r w:rsidR="00D63A78">
        <w:t xml:space="preserve">indicates higher </w:t>
      </w:r>
      <w:r w:rsidR="00D63A78" w:rsidRPr="00470ED8">
        <w:t>financial stress</w:t>
      </w:r>
      <w:r w:rsidR="00D63A78">
        <w:t>. The w</w:t>
      </w:r>
      <w:r w:rsidR="00D63A78" w:rsidRPr="00D63A78">
        <w:t>orsening</w:t>
      </w:r>
      <w:r w:rsidR="00D63A78">
        <w:t xml:space="preserve"> of the financial conditions negatively affects current GDP growth, while its effects on future growth are positive</w:t>
      </w:r>
      <w:r w:rsidR="00626221">
        <w:t xml:space="preserve"> </w:t>
      </w:r>
      <w:r w:rsidR="00BD4343">
        <w:t xml:space="preserve">(yet </w:t>
      </w:r>
      <w:r w:rsidR="00D63A78" w:rsidRPr="00D63A78">
        <w:t>insignificant</w:t>
      </w:r>
      <w:r w:rsidR="00D63A78">
        <w:t xml:space="preserve"> in the local model</w:t>
      </w:r>
      <w:r w:rsidR="00BD4343">
        <w:t>)</w:t>
      </w:r>
      <w:r w:rsidR="00D63A78">
        <w:t xml:space="preserve">. Finally, </w:t>
      </w:r>
      <w:r w:rsidR="00DB4E49">
        <w:t xml:space="preserve">macroprudential policy </w:t>
      </w:r>
      <w:r w:rsidR="00397361">
        <w:t xml:space="preserve">has nonlinear effects on the </w:t>
      </w:r>
      <w:r w:rsidR="003B0677">
        <w:t>short-term output growth distribution</w:t>
      </w:r>
      <w:r w:rsidR="00397361">
        <w:t xml:space="preserve">. The effects </w:t>
      </w:r>
      <w:r w:rsidR="003B0677">
        <w:t xml:space="preserve">are negative </w:t>
      </w:r>
      <w:r w:rsidR="00DB4E49">
        <w:t>on the median of the distribution</w:t>
      </w:r>
      <w:r w:rsidR="00760E83">
        <w:t xml:space="preserve">. For the case of </w:t>
      </w:r>
      <w:r w:rsidR="00760E83" w:rsidRPr="00760E83">
        <w:t>countercyclical capital buffer</w:t>
      </w:r>
      <w:r w:rsidR="00760E83">
        <w:t xml:space="preserve"> (CCyB), a </w:t>
      </w:r>
      <w:r w:rsidR="00760E83" w:rsidRPr="00760E83">
        <w:t>tightening</w:t>
      </w:r>
      <w:r w:rsidR="00760E83">
        <w:t xml:space="preserve"> of </w:t>
      </w:r>
      <w:r w:rsidR="00760E83" w:rsidRPr="00760E83">
        <w:t>macroprudential policy</w:t>
      </w:r>
      <w:r w:rsidR="00760E83">
        <w:t xml:space="preserve"> would imply stricter capital requirements on the banks and a reduction of credit supply. This would be followed by a decrease in consumption and investment, and thus </w:t>
      </w:r>
      <w:r w:rsidR="000E77EE">
        <w:t>negatively affect short-term output growth. Additionally, we find that macroprudential policy has positive effects on the tail of the</w:t>
      </w:r>
      <w:r w:rsidR="003B0677">
        <w:t xml:space="preserve"> </w:t>
      </w:r>
      <w:r w:rsidR="000E77EE">
        <w:t xml:space="preserve">distribution. </w:t>
      </w:r>
      <w:r w:rsidR="00AA414E">
        <w:t xml:space="preserve">Following our example with the CCyB, higher capital increases the </w:t>
      </w:r>
      <w:r w:rsidR="00AA414E" w:rsidRPr="00AA414E">
        <w:t>resilience</w:t>
      </w:r>
      <w:r w:rsidR="00AA414E">
        <w:t xml:space="preserve"> of the banks and reduces potential losses in case of tail event</w:t>
      </w:r>
      <w:r w:rsidR="003B0677">
        <w:t>s</w:t>
      </w:r>
      <w:r w:rsidR="00AA414E">
        <w:t xml:space="preserve">. </w:t>
      </w:r>
      <w:r w:rsidR="00AA414E" w:rsidRPr="00AA414E">
        <w:t>Jiménez</w:t>
      </w:r>
      <w:r w:rsidR="00AA414E">
        <w:t xml:space="preserve"> et al. (20</w:t>
      </w:r>
      <w:r w:rsidR="00397361">
        <w:t xml:space="preserve">17) also find that an </w:t>
      </w:r>
      <w:r w:rsidR="00397361" w:rsidRPr="00397361">
        <w:t>increase in capital buffers</w:t>
      </w:r>
      <w:r w:rsidR="00397361">
        <w:t xml:space="preserve"> </w:t>
      </w:r>
      <w:r w:rsidR="00397361" w:rsidRPr="00397361">
        <w:t xml:space="preserve">extends credit to </w:t>
      </w:r>
      <w:r w:rsidR="003B0677" w:rsidRPr="003B0677">
        <w:t xml:space="preserve">firms </w:t>
      </w:r>
      <w:r w:rsidR="00397361">
        <w:t>and reduces the risk of insolvency.</w:t>
      </w:r>
      <w:r w:rsidR="003B0677">
        <w:t xml:space="preserve"> </w:t>
      </w:r>
      <w:r w:rsidR="00461773">
        <w:t xml:space="preserve">Our results are in line with the literature </w:t>
      </w:r>
      <w:sdt>
        <w:sdtPr>
          <w:id w:val="-1299219390"/>
          <w:citation/>
        </w:sdtPr>
        <w:sdtContent>
          <w:r w:rsidR="00D14E81">
            <w:fldChar w:fldCharType="begin"/>
          </w:r>
          <w:r w:rsidR="00D14E81">
            <w:instrText xml:space="preserve"> CITATION Galan \l 1033 </w:instrText>
          </w:r>
          <w:r w:rsidR="00D14E81">
            <w:fldChar w:fldCharType="separate"/>
          </w:r>
          <w:r w:rsidR="00B97B98">
            <w:rPr>
              <w:noProof/>
            </w:rPr>
            <w:t>(Galán, 2020)</w:t>
          </w:r>
          <w:r w:rsidR="00D14E81">
            <w:fldChar w:fldCharType="end"/>
          </w:r>
        </w:sdtContent>
      </w:sdt>
      <w:r w:rsidR="00D14E81">
        <w:t xml:space="preserve"> and support the theoretical frame where </w:t>
      </w:r>
      <w:r w:rsidR="00B07498">
        <w:t xml:space="preserve">macroprudential policy </w:t>
      </w:r>
      <w:r w:rsidR="00D14E81">
        <w:t xml:space="preserve">is facing a </w:t>
      </w:r>
      <w:r w:rsidR="00D14E81" w:rsidRPr="00D14E81">
        <w:t>trade-off</w:t>
      </w:r>
      <w:r w:rsidR="00D14E81">
        <w:t xml:space="preserve"> between </w:t>
      </w:r>
      <w:r w:rsidR="000A6C04">
        <w:t xml:space="preserve">short-term costs (a decline in </w:t>
      </w:r>
      <w:r w:rsidR="00D14E81">
        <w:t>output</w:t>
      </w:r>
      <w:r w:rsidR="000A6C04">
        <w:t xml:space="preserve">) </w:t>
      </w:r>
      <w:r w:rsidR="00D14E81">
        <w:t>and the</w:t>
      </w:r>
      <w:r w:rsidR="000A6C04">
        <w:t xml:space="preserve"> long-term benefits (reduction of risks captured by the shrinking tail of </w:t>
      </w:r>
      <w:r w:rsidR="00D14E81">
        <w:t>the</w:t>
      </w:r>
      <w:r w:rsidR="000A6C04">
        <w:t xml:space="preserve"> distribution)</w:t>
      </w:r>
      <w:r w:rsidR="00DB050A">
        <w:t>.</w:t>
      </w:r>
    </w:p>
    <w:p w14:paraId="42369FD8" w14:textId="7B8FEE55" w:rsidR="00A037A7" w:rsidRDefault="00BD4343" w:rsidP="00A037A7">
      <w:pPr>
        <w:ind w:firstLine="284"/>
      </w:pPr>
      <w:r>
        <w:t>Using this framework, it is possible to perform conditional forecasts for the median and the tail</w:t>
      </w:r>
      <w:r w:rsidR="00F03D8C">
        <w:t xml:space="preserve"> </w:t>
      </w:r>
      <w:r>
        <w:t xml:space="preserve">of the GDP </w:t>
      </w:r>
      <w:r w:rsidRPr="00BD4343">
        <w:t>distribution</w:t>
      </w:r>
      <w:r>
        <w:t xml:space="preserve">. We also </w:t>
      </w:r>
      <w:r w:rsidRPr="00BD4343">
        <w:t>refer to</w:t>
      </w:r>
      <w:r w:rsidRPr="00BD4343">
        <w:t xml:space="preserve"> </w:t>
      </w:r>
      <w:r>
        <w:t xml:space="preserve">the difference between the </w:t>
      </w:r>
      <w:r>
        <w:t xml:space="preserve">median </w:t>
      </w:r>
      <w:r>
        <w:t xml:space="preserve">and tail as distance-to-tail </w:t>
      </w:r>
      <w:r w:rsidR="00A04BF1">
        <w:t xml:space="preserve">or </w:t>
      </w:r>
      <w:r>
        <w:t>Gap</w:t>
      </w:r>
      <w:r w:rsidR="00F03D8C">
        <w:t xml:space="preserve">. By </w:t>
      </w:r>
      <w:r w:rsidR="00F03D8C" w:rsidRPr="00F03D8C">
        <w:t>tightening</w:t>
      </w:r>
      <w:r w:rsidR="00F03D8C">
        <w:t xml:space="preserve"> the MPI</w:t>
      </w:r>
      <w:r w:rsidR="00A04BF1">
        <w:t xml:space="preserve">, we </w:t>
      </w:r>
      <w:r w:rsidR="00F03D8C">
        <w:t xml:space="preserve">reduce the median, while also </w:t>
      </w:r>
      <w:r w:rsidR="00F03D8C">
        <w:t>reduc</w:t>
      </w:r>
      <w:r w:rsidR="00F03D8C">
        <w:t xml:space="preserve">ing </w:t>
      </w:r>
      <w:r w:rsidR="00CD1FFA">
        <w:t xml:space="preserve">the </w:t>
      </w:r>
      <w:r w:rsidR="00F03D8C">
        <w:t>Gap</w:t>
      </w:r>
      <w:r w:rsidR="00F03D8C">
        <w:t>.</w:t>
      </w:r>
      <w:r w:rsidR="00A04BF1">
        <w:t xml:space="preserve"> </w:t>
      </w:r>
      <w:r w:rsidR="00A037A7">
        <w:t xml:space="preserve">The benefits of this </w:t>
      </w:r>
      <w:r w:rsidR="00A037A7" w:rsidRPr="00D14E81">
        <w:t>trade-off</w:t>
      </w:r>
      <w:r w:rsidR="00A037A7">
        <w:t xml:space="preserve"> for the </w:t>
      </w:r>
      <w:r w:rsidR="00A037A7" w:rsidRPr="00A037A7">
        <w:t>policymaker</w:t>
      </w:r>
      <w:r w:rsidR="00A037A7">
        <w:t xml:space="preserve"> will depend on their definition of </w:t>
      </w:r>
      <w:r w:rsidR="00A037A7" w:rsidRPr="00A037A7">
        <w:t>welfare</w:t>
      </w:r>
      <w:r w:rsidR="00A037A7">
        <w:t>.</w:t>
      </w:r>
    </w:p>
    <w:p w14:paraId="215007B8" w14:textId="77777777" w:rsidR="00BD186F" w:rsidRDefault="00D14E81" w:rsidP="00BD186F">
      <w:pPr>
        <w:ind w:firstLine="284"/>
      </w:pPr>
      <w:r>
        <w:t>F</w:t>
      </w:r>
      <w:r w:rsidR="000A6C04">
        <w:t xml:space="preserve">or designing the policy rule, this paper uses the work of Javier Suarez (2021) as its main reference, while also proposing a novel approach to macroprudential decision-making, the “frontier approach,” inspired by modern portfolio theory. </w:t>
      </w:r>
      <w:r w:rsidR="00264A97">
        <w:t>For the policy rule</w:t>
      </w:r>
      <w:r w:rsidR="00264A97" w:rsidRPr="00264A97">
        <w:t xml:space="preserve"> </w:t>
      </w:r>
      <w:r w:rsidR="00264A97">
        <w:t xml:space="preserve">Suarez (2021) proposes a simple </w:t>
      </w:r>
      <w:r w:rsidR="00D163F7" w:rsidRPr="00D163F7">
        <w:t xml:space="preserve">welfare </w:t>
      </w:r>
      <w:r w:rsidR="00264A97">
        <w:t xml:space="preserve">function derived from micro </w:t>
      </w:r>
      <w:r w:rsidR="00264A97" w:rsidRPr="00264A97">
        <w:t>foundations</w:t>
      </w:r>
      <w:r w:rsidR="00264A97">
        <w:t xml:space="preserve">. We use our </w:t>
      </w:r>
      <w:r w:rsidR="00264A97" w:rsidRPr="00264A97">
        <w:t>empirical</w:t>
      </w:r>
      <w:r w:rsidR="00264A97">
        <w:t xml:space="preserve"> framework alongside this </w:t>
      </w:r>
      <w:r w:rsidR="00264A97" w:rsidRPr="00264A97">
        <w:t>utility</w:t>
      </w:r>
      <w:r w:rsidR="00264A97">
        <w:t xml:space="preserve"> function to </w:t>
      </w:r>
      <w:r w:rsidR="00EA444F" w:rsidRPr="00EA444F">
        <w:t xml:space="preserve">determine </w:t>
      </w:r>
      <w:r w:rsidR="00264A97">
        <w:t>the “</w:t>
      </w:r>
      <w:r w:rsidR="00264A97" w:rsidRPr="00264A97">
        <w:t>optimal policy</w:t>
      </w:r>
      <w:r w:rsidR="00264A97">
        <w:t xml:space="preserve">.” Meanwhile, with the “frontier approach” we use </w:t>
      </w:r>
      <w:r w:rsidR="00264A97" w:rsidRPr="00264A97">
        <w:t>empirical</w:t>
      </w:r>
      <w:r w:rsidR="00264A97">
        <w:t xml:space="preserve"> data to </w:t>
      </w:r>
      <w:r w:rsidR="00264A97" w:rsidRPr="00264A97">
        <w:t>construct</w:t>
      </w:r>
      <w:r w:rsidR="00264A97">
        <w:t xml:space="preserve"> an alternative </w:t>
      </w:r>
      <w:r w:rsidR="00264A97" w:rsidRPr="00264A97">
        <w:t>utility</w:t>
      </w:r>
      <w:r w:rsidR="00264A97">
        <w:t xml:space="preserve"> function, which is then similarly used to arrive at policy </w:t>
      </w:r>
      <w:r w:rsidR="00264A97" w:rsidRPr="00264A97">
        <w:t>recommendations</w:t>
      </w:r>
      <w:r w:rsidR="00264A97">
        <w:t xml:space="preserve">. </w:t>
      </w:r>
      <w:r w:rsidR="000A6C04">
        <w:t>We have performed</w:t>
      </w:r>
      <w:r w:rsidR="00264A97">
        <w:t xml:space="preserve"> this</w:t>
      </w:r>
      <w:r w:rsidR="000A6C04">
        <w:t xml:space="preserve"> analysis with a strong intention to use it in the policymaking procedure while also contributing to the existing research.</w:t>
      </w:r>
    </w:p>
    <w:p w14:paraId="5455B2D7" w14:textId="3BF0FA49" w:rsidR="00B3523E" w:rsidRDefault="00BD186F" w:rsidP="00BD186F">
      <w:pPr>
        <w:ind w:firstLine="284"/>
      </w:pPr>
      <w:r w:rsidRPr="00BD186F">
        <w:t xml:space="preserve">The </w:t>
      </w:r>
      <w:r>
        <w:t xml:space="preserve">rest of the </w:t>
      </w:r>
      <w:r w:rsidRPr="00BD186F">
        <w:t xml:space="preserve">paper has the following structure. We discuss </w:t>
      </w:r>
      <w:r>
        <w:t xml:space="preserve">the use of </w:t>
      </w:r>
      <w:r w:rsidRPr="004F1BA1">
        <w:t>macroprudential policy</w:t>
      </w:r>
      <w:r w:rsidRPr="00BD186F">
        <w:t xml:space="preserve"> </w:t>
      </w:r>
      <w:r>
        <w:t xml:space="preserve">so far worldwide and in Armenia </w:t>
      </w:r>
      <w:r w:rsidRPr="00BD186F">
        <w:t xml:space="preserve">in Section 2. Section </w:t>
      </w:r>
      <w:r>
        <w:t>3</w:t>
      </w:r>
      <w:r w:rsidRPr="00BD186F">
        <w:t xml:space="preserve"> </w:t>
      </w:r>
      <w:r>
        <w:t xml:space="preserve">will </w:t>
      </w:r>
      <w:r w:rsidRPr="00BD186F">
        <w:t xml:space="preserve">introduce </w:t>
      </w:r>
      <w:r>
        <w:t xml:space="preserve">the </w:t>
      </w:r>
      <w:r w:rsidRPr="00BD186F">
        <w:t>methodology</w:t>
      </w:r>
      <w:r w:rsidRPr="00BD186F">
        <w:t xml:space="preserve"> </w:t>
      </w:r>
      <w:r>
        <w:t xml:space="preserve">and </w:t>
      </w:r>
      <w:r w:rsidRPr="00BD186F">
        <w:t>the dat</w:t>
      </w:r>
      <w:r>
        <w:t>a</w:t>
      </w:r>
      <w:r w:rsidRPr="00BD186F">
        <w:t xml:space="preserve">. We discuss and interpret </w:t>
      </w:r>
      <w:r>
        <w:t xml:space="preserve">the quantile regression </w:t>
      </w:r>
      <w:r w:rsidRPr="00BD186F">
        <w:t xml:space="preserve">results in Section </w:t>
      </w:r>
      <w:r>
        <w:t>4</w:t>
      </w:r>
      <w:r w:rsidRPr="00BD186F">
        <w:t xml:space="preserve">. Section </w:t>
      </w:r>
      <w:r>
        <w:t xml:space="preserve">5 </w:t>
      </w:r>
      <w:r w:rsidR="00447621">
        <w:t xml:space="preserve">will </w:t>
      </w:r>
      <w:r w:rsidR="00447621" w:rsidRPr="00447621">
        <w:t>elaborate</w:t>
      </w:r>
      <w:r w:rsidR="00447621">
        <w:t xml:space="preserve"> </w:t>
      </w:r>
      <w:r w:rsidR="00447621" w:rsidRPr="00447621">
        <w:t>further</w:t>
      </w:r>
      <w:r w:rsidR="00447621">
        <w:t xml:space="preserve"> on the optimal policy rule by </w:t>
      </w:r>
      <w:r w:rsidR="00447621" w:rsidRPr="00447621">
        <w:t>examin</w:t>
      </w:r>
      <w:r w:rsidR="00447621">
        <w:t xml:space="preserve">ing a </w:t>
      </w:r>
      <w:r w:rsidR="00447621">
        <w:lastRenderedPageBreak/>
        <w:t xml:space="preserve">practical </w:t>
      </w:r>
      <w:r w:rsidR="00447621" w:rsidRPr="00447621">
        <w:t>decision-making</w:t>
      </w:r>
      <w:r w:rsidR="00447621">
        <w:t xml:space="preserve"> case for 2024 Q1. </w:t>
      </w:r>
      <w:r w:rsidR="00447621" w:rsidRPr="00BD186F">
        <w:t xml:space="preserve">Section </w:t>
      </w:r>
      <w:r w:rsidR="00447621">
        <w:t xml:space="preserve">6 </w:t>
      </w:r>
      <w:r w:rsidR="00447621" w:rsidRPr="00447621">
        <w:t>concludes the paper</w:t>
      </w:r>
      <w:r w:rsidR="00447621">
        <w:t xml:space="preserve"> and considers the </w:t>
      </w:r>
      <w:r w:rsidR="00447621">
        <w:t>implications</w:t>
      </w:r>
      <w:r w:rsidR="00447621">
        <w:t xml:space="preserve"> of the tool for the </w:t>
      </w:r>
      <w:r w:rsidR="00447621">
        <w:t>policymakers</w:t>
      </w:r>
      <w:r w:rsidR="00447621">
        <w:t>.</w:t>
      </w:r>
    </w:p>
    <w:p w14:paraId="3E6C9CE8" w14:textId="4D6B7AF7" w:rsidR="004F1BA1" w:rsidRDefault="004F1BA1" w:rsidP="004F1BA1">
      <w:pPr>
        <w:pStyle w:val="SectionHeading"/>
      </w:pPr>
      <w:r>
        <w:t xml:space="preserve">The use of </w:t>
      </w:r>
      <w:r w:rsidRPr="004F1BA1">
        <w:t>macroprudential policy</w:t>
      </w:r>
    </w:p>
    <w:p w14:paraId="2F5921C9" w14:textId="77777777" w:rsidR="004F1BA1" w:rsidRPr="008506FC" w:rsidRDefault="004F1BA1" w:rsidP="004F1BA1">
      <w:pPr>
        <w:pStyle w:val="SectionHeading"/>
        <w:numPr>
          <w:ilvl w:val="0"/>
          <w:numId w:val="0"/>
        </w:numPr>
        <w:ind w:left="360" w:hanging="360"/>
      </w:pPr>
    </w:p>
    <w:p w14:paraId="036A5AAE" w14:textId="14D0FDB7" w:rsidR="000770C1" w:rsidRDefault="000770C1" w:rsidP="000770C1">
      <w:pPr>
        <w:pStyle w:val="SectionHeading"/>
        <w:numPr>
          <w:ilvl w:val="0"/>
          <w:numId w:val="9"/>
        </w:numPr>
      </w:pPr>
      <w:r>
        <w:t>Methodology</w:t>
      </w:r>
    </w:p>
    <w:p w14:paraId="30A1FFAB" w14:textId="34BEC8CE" w:rsidR="00646075" w:rsidRDefault="00646075" w:rsidP="00646075">
      <w:pPr>
        <w:pStyle w:val="SectionHeading"/>
        <w:numPr>
          <w:ilvl w:val="1"/>
          <w:numId w:val="9"/>
        </w:numPr>
      </w:pPr>
      <w:r>
        <w:t>Panel quantile regression</w:t>
      </w:r>
    </w:p>
    <w:p w14:paraId="774F931E" w14:textId="2F4F35C9" w:rsidR="00646075" w:rsidRDefault="004B1F17" w:rsidP="00765F0E">
      <w:pPr>
        <w:ind w:firstLine="284"/>
      </w:pPr>
      <w:r>
        <w:t xml:space="preserve">As we have discussed before, </w:t>
      </w:r>
      <w:r w:rsidR="00765F0E">
        <w:t xml:space="preserve">macroprudential policy </w:t>
      </w:r>
      <w:r>
        <w:t xml:space="preserve">has different effects on the GDP growth distribution </w:t>
      </w:r>
      <w:r w:rsidR="00087BEC">
        <w:t>(</w:t>
      </w:r>
      <w:r w:rsidR="00087BEC">
        <w:rPr>
          <w:noProof/>
        </w:rPr>
        <w:t>Boar et al., 2017)</w:t>
      </w:r>
      <w:r w:rsidR="00040473">
        <w:rPr>
          <w:noProof/>
        </w:rPr>
        <w:t>.</w:t>
      </w:r>
      <w:r w:rsidR="00765F0E">
        <w:rPr>
          <w:noProof/>
        </w:rPr>
        <w:t xml:space="preserve"> </w:t>
      </w:r>
      <w:r w:rsidR="00040473">
        <w:rPr>
          <w:noProof/>
        </w:rPr>
        <w:t>T</w:t>
      </w:r>
      <w:r w:rsidR="00765F0E">
        <w:rPr>
          <w:noProof/>
        </w:rPr>
        <w:t>o model these n</w:t>
      </w:r>
      <w:r w:rsidR="00765F0E" w:rsidRPr="00765F0E">
        <w:rPr>
          <w:noProof/>
        </w:rPr>
        <w:t>onlinearities</w:t>
      </w:r>
      <w:r w:rsidR="00765F0E">
        <w:rPr>
          <w:noProof/>
        </w:rPr>
        <w:t xml:space="preserve"> we use the </w:t>
      </w:r>
      <w:r w:rsidR="00765F0E" w:rsidRPr="00765F0E">
        <w:rPr>
          <w:noProof/>
        </w:rPr>
        <w:t xml:space="preserve">quantile regression </w:t>
      </w:r>
      <w:r w:rsidR="00765F0E">
        <w:rPr>
          <w:noProof/>
        </w:rPr>
        <w:t xml:space="preserve">framework </w:t>
      </w:r>
      <w:sdt>
        <w:sdtPr>
          <w:rPr>
            <w:noProof/>
          </w:rPr>
          <w:id w:val="-178891202"/>
          <w:citation/>
        </w:sdtPr>
        <w:sdtContent>
          <w:r w:rsidR="00765F0E">
            <w:rPr>
              <w:noProof/>
            </w:rPr>
            <w:fldChar w:fldCharType="begin"/>
          </w:r>
          <w:r w:rsidR="00765F0E">
            <w:rPr>
              <w:noProof/>
            </w:rPr>
            <w:instrText xml:space="preserve"> CITATION Koe78 \l 1033 </w:instrText>
          </w:r>
          <w:r w:rsidR="00765F0E">
            <w:rPr>
              <w:noProof/>
            </w:rPr>
            <w:fldChar w:fldCharType="separate"/>
          </w:r>
          <w:r w:rsidR="00B97B98">
            <w:rPr>
              <w:noProof/>
            </w:rPr>
            <w:t>(Koenker &amp; Bassett, 1978)</w:t>
          </w:r>
          <w:r w:rsidR="00765F0E">
            <w:rPr>
              <w:noProof/>
            </w:rPr>
            <w:fldChar w:fldCharType="end"/>
          </w:r>
        </w:sdtContent>
      </w:sdt>
      <w:r w:rsidR="00765F0E">
        <w:rPr>
          <w:noProof/>
        </w:rPr>
        <w:t xml:space="preserve"> </w:t>
      </w:r>
      <w:r w:rsidR="00040473">
        <w:rPr>
          <w:noProof/>
        </w:rPr>
        <w:t xml:space="preserve">which allows us to </w:t>
      </w:r>
      <w:r w:rsidR="00765F0E">
        <w:rPr>
          <w:noProof/>
        </w:rPr>
        <w:t xml:space="preserve">focus </w:t>
      </w:r>
      <w:r w:rsidR="00040473">
        <w:rPr>
          <w:noProof/>
        </w:rPr>
        <w:t xml:space="preserve">on different conditional </w:t>
      </w:r>
      <w:r w:rsidR="00040473" w:rsidRPr="00765F0E">
        <w:rPr>
          <w:noProof/>
        </w:rPr>
        <w:t>quantile</w:t>
      </w:r>
      <w:r w:rsidR="00040473">
        <w:rPr>
          <w:noProof/>
        </w:rPr>
        <w:t>s of the ditribution and no</w:t>
      </w:r>
      <w:r w:rsidR="00D41CAA">
        <w:rPr>
          <w:noProof/>
        </w:rPr>
        <w:t>t</w:t>
      </w:r>
      <w:r w:rsidR="00040473">
        <w:rPr>
          <w:noProof/>
        </w:rPr>
        <w:t xml:space="preserve"> just the conditional mean. </w:t>
      </w:r>
      <w:r w:rsidR="00D41CAA">
        <w:rPr>
          <w:noProof/>
        </w:rPr>
        <w:t xml:space="preserve">Quantile regression has also become quite popular in forecasting growth-at-risk, which is the expected loss in GDP growth given a a tail event. In fact, it has proven to outperform </w:t>
      </w:r>
      <w:r w:rsidR="00D41CAA" w:rsidRPr="00D41CAA">
        <w:rPr>
          <w:noProof/>
        </w:rPr>
        <w:t xml:space="preserve">GARCH-type </w:t>
      </w:r>
      <w:r w:rsidR="00D41CAA">
        <w:rPr>
          <w:noProof/>
        </w:rPr>
        <w:t xml:space="preserve">models </w:t>
      </w:r>
      <w:sdt>
        <w:sdtPr>
          <w:rPr>
            <w:noProof/>
          </w:rPr>
          <w:id w:val="-1849712911"/>
          <w:citation/>
        </w:sdtPr>
        <w:sdtContent>
          <w:r w:rsidR="00040473">
            <w:rPr>
              <w:noProof/>
            </w:rPr>
            <w:fldChar w:fldCharType="begin"/>
          </w:r>
          <w:r w:rsidR="00040473">
            <w:rPr>
              <w:noProof/>
            </w:rPr>
            <w:instrText xml:space="preserve"> CITATION Kip22 \l 1033 </w:instrText>
          </w:r>
          <w:r w:rsidR="00040473">
            <w:rPr>
              <w:noProof/>
            </w:rPr>
            <w:fldChar w:fldCharType="separate"/>
          </w:r>
          <w:r w:rsidR="00B97B98">
            <w:rPr>
              <w:noProof/>
            </w:rPr>
            <w:t>(Kipriyanov, 2022)</w:t>
          </w:r>
          <w:r w:rsidR="00040473">
            <w:rPr>
              <w:noProof/>
            </w:rPr>
            <w:fldChar w:fldCharType="end"/>
          </w:r>
        </w:sdtContent>
      </w:sdt>
      <w:r w:rsidR="00D41CAA">
        <w:rPr>
          <w:noProof/>
        </w:rPr>
        <w:t xml:space="preserve"> in this task. In a panel framework, </w:t>
      </w:r>
      <w:r w:rsidR="00D41CAA">
        <w:t xml:space="preserve">quantile regression helps to account for heterogeneous covariates, while the </w:t>
      </w:r>
      <w:r w:rsidR="00D41CAA" w:rsidRPr="00D41CAA">
        <w:t>fixed effects</w:t>
      </w:r>
      <w:r w:rsidR="00D41CAA">
        <w:t xml:space="preserve"> consider the unobserved heterogeneity which doesn’t change with respect to time </w:t>
      </w:r>
      <w:sdt>
        <w:sdtPr>
          <w:id w:val="139548121"/>
          <w:citation/>
        </w:sdtPr>
        <w:sdtContent>
          <w:r w:rsidR="00D41CAA">
            <w:fldChar w:fldCharType="begin"/>
          </w:r>
          <w:r w:rsidR="00D41CAA">
            <w:instrText xml:space="preserve"> CITATION Galan \l 1033 </w:instrText>
          </w:r>
          <w:r w:rsidR="00D41CAA">
            <w:fldChar w:fldCharType="separate"/>
          </w:r>
          <w:r w:rsidR="00B97B98">
            <w:rPr>
              <w:noProof/>
            </w:rPr>
            <w:t>(Galán, 2020)</w:t>
          </w:r>
          <w:r w:rsidR="00D41CAA">
            <w:fldChar w:fldCharType="end"/>
          </w:r>
        </w:sdtContent>
      </w:sdt>
      <w:r w:rsidR="00B62631">
        <w:t>. It is important to note that in this framework the fixed effects are subject to change depending on the quantile. For a general case, a panel quantile regression takes the following form:</w:t>
      </w:r>
    </w:p>
    <w:p w14:paraId="194C7171" w14:textId="3D14BCF6" w:rsidR="00B62631" w:rsidRPr="00216396" w:rsidRDefault="00000000" w:rsidP="00765F0E">
      <w:pPr>
        <w:ind w:firstLine="284"/>
        <w:rPr>
          <w:b/>
        </w:rPr>
      </w:pPr>
      <m:oMathPara>
        <m:oMath>
          <m:eqArr>
            <m:eqArrPr>
              <m:maxDist m:val="1"/>
              <m:ctrlPr>
                <w:rPr>
                  <w:rFonts w:ascii="Cambria Math" w:hAnsi="Cambria Math"/>
                  <w:b/>
                  <w:i/>
                </w:rPr>
              </m:ctrlPr>
            </m:eqArrPr>
            <m:e>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i,t+h</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α</m:t>
                  </m:r>
                </m:e>
                <m:sub>
                  <m:r>
                    <m:rPr>
                      <m:sty m:val="bi"/>
                    </m:rPr>
                    <w:rPr>
                      <w:rFonts w:ascii="Cambria Math" w:hAnsi="Cambria Math"/>
                    </w:rPr>
                    <m:t>i,τ</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i,t</m:t>
                  </m:r>
                </m:sub>
              </m:sSub>
              <m:sSub>
                <m:sSubPr>
                  <m:ctrlPr>
                    <w:rPr>
                      <w:rFonts w:ascii="Cambria Math" w:hAnsi="Cambria Math"/>
                      <w:b/>
                      <w:i/>
                    </w:rPr>
                  </m:ctrlPr>
                </m:sSubPr>
                <m:e>
                  <m:r>
                    <m:rPr>
                      <m:sty m:val="bi"/>
                    </m:rPr>
                    <w:rPr>
                      <w:rFonts w:ascii="Cambria Math" w:hAnsi="Cambria Math"/>
                    </w:rPr>
                    <m:t>β</m:t>
                  </m:r>
                </m:e>
                <m:sub>
                  <m:r>
                    <m:rPr>
                      <m:sty m:val="bi"/>
                    </m:rPr>
                    <w:rPr>
                      <w:rFonts w:ascii="Cambria Math" w:hAnsi="Cambria Math"/>
                    </w:rPr>
                    <m:t>τ</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τ,t+h</m:t>
                  </m:r>
                </m:sub>
              </m:sSub>
              <m:r>
                <m:rPr>
                  <m:sty m:val="bi"/>
                </m:rPr>
                <w:rPr>
                  <w:rFonts w:ascii="Cambria Math" w:hAnsi="Cambria Math"/>
                </w:rPr>
                <m:t>#</m:t>
              </m:r>
              <m:d>
                <m:dPr>
                  <m:ctrlPr>
                    <w:rPr>
                      <w:rFonts w:ascii="Cambria Math" w:hAnsi="Cambria Math"/>
                      <w:b/>
                      <w:i/>
                    </w:rPr>
                  </m:ctrlPr>
                </m:dPr>
                <m:e>
                  <m:r>
                    <m:rPr>
                      <m:sty m:val="bi"/>
                    </m:rPr>
                    <w:rPr>
                      <w:rFonts w:ascii="Cambria Math" w:hAnsi="Cambria Math"/>
                    </w:rPr>
                    <m:t>1</m:t>
                  </m:r>
                </m:e>
              </m:d>
            </m:e>
          </m:eqArr>
        </m:oMath>
      </m:oMathPara>
    </w:p>
    <w:p w14:paraId="1A922BF6" w14:textId="099D3E4A" w:rsidR="00216396" w:rsidRPr="00CA3503" w:rsidRDefault="00000000" w:rsidP="00765F0E">
      <w:pPr>
        <w:ind w:firstLine="284"/>
        <w:rPr>
          <w:b/>
        </w:rPr>
      </w:pPr>
      <m:oMathPara>
        <m:oMath>
          <m:eqArr>
            <m:eqArrPr>
              <m:maxDist m:val="1"/>
              <m:ctrlPr>
                <w:rPr>
                  <w:rFonts w:ascii="Cambria Math" w:hAnsi="Cambria Math"/>
                  <w:b/>
                  <w:i/>
                </w:rPr>
              </m:ctrlPr>
            </m:eqArrPr>
            <m:e>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τ,t+h</m:t>
                  </m:r>
                </m:sub>
              </m:sSub>
              <m:r>
                <m:rPr>
                  <m:sty m:val="bi"/>
                </m:rPr>
                <w:rPr>
                  <w:rFonts w:ascii="Cambria Math" w:hAnsi="Cambria Math"/>
                </w:rPr>
                <m:t>=</m:t>
              </m:r>
              <m:nary>
                <m:naryPr>
                  <m:chr m:val="∑"/>
                  <m:limLoc m:val="undOvr"/>
                  <m:ctrlPr>
                    <w:rPr>
                      <w:rFonts w:ascii="Cambria Math" w:hAnsi="Cambria Math"/>
                      <w:b/>
                      <w:i/>
                    </w:rPr>
                  </m:ctrlPr>
                </m:naryPr>
                <m:sub>
                  <m:r>
                    <m:rPr>
                      <m:sty m:val="bi"/>
                    </m:rPr>
                    <w:rPr>
                      <w:rFonts w:ascii="Cambria Math" w:hAnsi="Cambria Math"/>
                    </w:rPr>
                    <m:t>i=1</m:t>
                  </m:r>
                </m:sub>
                <m:sup>
                  <m:r>
                    <m:rPr>
                      <m:sty m:val="bi"/>
                    </m:rPr>
                    <w:rPr>
                      <w:rFonts w:ascii="Cambria Math" w:hAnsi="Cambria Math"/>
                    </w:rPr>
                    <m:t>n</m:t>
                  </m:r>
                </m:sup>
                <m:e>
                  <m:nary>
                    <m:naryPr>
                      <m:chr m:val="∑"/>
                      <m:limLoc m:val="undOvr"/>
                      <m:ctrlPr>
                        <w:rPr>
                          <w:rFonts w:ascii="Cambria Math" w:hAnsi="Cambria Math"/>
                          <w:b/>
                          <w:i/>
                        </w:rPr>
                      </m:ctrlPr>
                    </m:naryPr>
                    <m:sub>
                      <m:r>
                        <m:rPr>
                          <m:sty m:val="bi"/>
                        </m:rPr>
                        <w:rPr>
                          <w:rFonts w:ascii="Cambria Math" w:hAnsi="Cambria Math"/>
                        </w:rPr>
                        <m:t>t=1</m:t>
                      </m:r>
                    </m:sub>
                    <m:sup>
                      <m:r>
                        <m:rPr>
                          <m:sty m:val="bi"/>
                        </m:rPr>
                        <w:rPr>
                          <w:rFonts w:ascii="Cambria Math" w:hAnsi="Cambria Math"/>
                        </w:rPr>
                        <m:t>T-h</m:t>
                      </m:r>
                    </m:sup>
                    <m:e>
                      <m:sSub>
                        <m:sSubPr>
                          <m:ctrlPr>
                            <w:rPr>
                              <w:rFonts w:ascii="Cambria Math" w:hAnsi="Cambria Math"/>
                              <w:b/>
                              <w:i/>
                            </w:rPr>
                          </m:ctrlPr>
                        </m:sSubPr>
                        <m:e>
                          <m:r>
                            <m:rPr>
                              <m:sty m:val="bi"/>
                            </m:rPr>
                            <w:rPr>
                              <w:rFonts w:ascii="Cambria Math" w:hAnsi="Cambria Math"/>
                            </w:rPr>
                            <m:t>ρ</m:t>
                          </m:r>
                        </m:e>
                        <m:sub>
                          <m:r>
                            <m:rPr>
                              <m:sty m:val="bi"/>
                            </m:rPr>
                            <w:rPr>
                              <w:rFonts w:ascii="Cambria Math" w:hAnsi="Cambria Math"/>
                            </w:rPr>
                            <m:t>τ</m:t>
                          </m:r>
                        </m:sub>
                      </m:sSub>
                      <m:d>
                        <m:dPr>
                          <m:begChr m:val="|"/>
                          <m:endChr m:val="|"/>
                          <m:ctrlPr>
                            <w:rPr>
                              <w:rFonts w:ascii="Cambria Math" w:hAnsi="Cambria Math"/>
                              <w:b/>
                              <w:i/>
                            </w:rPr>
                          </m:ctrlPr>
                        </m:dPr>
                        <m:e>
                          <m:sSubSup>
                            <m:sSubSupPr>
                              <m:ctrlPr>
                                <w:rPr>
                                  <w:rFonts w:ascii="Cambria Math" w:hAnsi="Cambria Math"/>
                                  <w:b/>
                                  <w:i/>
                                </w:rPr>
                              </m:ctrlPr>
                            </m:sSubSupPr>
                            <m:e>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i,t+h</m:t>
                                  </m:r>
                                </m:sub>
                              </m:sSub>
                              <m:r>
                                <m:rPr>
                                  <m:sty m:val="bi"/>
                                </m:rPr>
                                <w:rPr>
                                  <w:rFonts w:ascii="Cambria Math" w:hAnsi="Cambria Math"/>
                                </w:rPr>
                                <m:t>-y</m:t>
                              </m:r>
                            </m:e>
                            <m:sub>
                              <m:r>
                                <m:rPr>
                                  <m:sty m:val="bi"/>
                                </m:rPr>
                                <w:rPr>
                                  <w:rFonts w:ascii="Cambria Math" w:hAnsi="Cambria Math"/>
                                </w:rPr>
                                <m:t>i,t+h</m:t>
                              </m:r>
                            </m:sub>
                            <m:sup>
                              <m:r>
                                <m:rPr>
                                  <m:sty m:val="bi"/>
                                </m:rPr>
                                <w:rPr>
                                  <w:rFonts w:ascii="Cambria Math" w:hAnsi="Cambria Math"/>
                                </w:rPr>
                                <m:t>*</m:t>
                              </m:r>
                            </m:sup>
                          </m:sSubSup>
                        </m:e>
                      </m:d>
                    </m:e>
                  </m:nary>
                </m:e>
              </m:nary>
              <m:r>
                <m:rPr>
                  <m:sty m:val="bi"/>
                </m:rPr>
                <w:rPr>
                  <w:rFonts w:ascii="Cambria Math" w:hAnsi="Cambria Math"/>
                </w:rPr>
                <m:t>#</m:t>
              </m:r>
              <m:d>
                <m:dPr>
                  <m:ctrlPr>
                    <w:rPr>
                      <w:rFonts w:ascii="Cambria Math" w:hAnsi="Cambria Math"/>
                      <w:b/>
                      <w:i/>
                    </w:rPr>
                  </m:ctrlPr>
                </m:dPr>
                <m:e>
                  <m:r>
                    <m:rPr>
                      <m:sty m:val="bi"/>
                    </m:rPr>
                    <w:rPr>
                      <w:rFonts w:ascii="Cambria Math" w:hAnsi="Cambria Math"/>
                    </w:rPr>
                    <m:t>2</m:t>
                  </m:r>
                </m:e>
              </m:d>
            </m:e>
          </m:eqArr>
        </m:oMath>
      </m:oMathPara>
    </w:p>
    <w:p w14:paraId="4802208A" w14:textId="72702F55" w:rsidR="00CA3503" w:rsidRPr="00CA3503" w:rsidRDefault="00000000" w:rsidP="00765F0E">
      <w:pPr>
        <w:ind w:firstLine="284"/>
        <w:rPr>
          <w:b/>
        </w:rPr>
      </w:pPr>
      <m:oMathPara>
        <m:oMath>
          <m:eqArr>
            <m:eqArrPr>
              <m:maxDist m:val="1"/>
              <m:ctrlPr>
                <w:rPr>
                  <w:rFonts w:ascii="Cambria Math" w:hAnsi="Cambria Math"/>
                  <w:b/>
                  <w:i/>
                </w:rPr>
              </m:ctrlPr>
            </m:eqArrPr>
            <m:e>
              <m:sSub>
                <m:sSubPr>
                  <m:ctrlPr>
                    <w:rPr>
                      <w:rFonts w:ascii="Cambria Math" w:hAnsi="Cambria Math"/>
                      <w:b/>
                      <w:i/>
                    </w:rPr>
                  </m:ctrlPr>
                </m:sSubPr>
                <m:e>
                  <m:r>
                    <m:rPr>
                      <m:sty m:val="bi"/>
                    </m:rPr>
                    <w:rPr>
                      <w:rFonts w:ascii="Cambria Math" w:hAnsi="Cambria Math"/>
                    </w:rPr>
                    <m:t>ρ</m:t>
                  </m:r>
                </m:e>
                <m:sub>
                  <m:r>
                    <m:rPr>
                      <m:sty m:val="bi"/>
                    </m:rPr>
                    <w:rPr>
                      <w:rFonts w:ascii="Cambria Math" w:hAnsi="Cambria Math"/>
                    </w:rPr>
                    <m:t>τ</m:t>
                  </m:r>
                </m:sub>
              </m:sSub>
              <m:r>
                <m:rPr>
                  <m:sty m:val="bi"/>
                </m:rPr>
                <w:rPr>
                  <w:rFonts w:ascii="Cambria Math" w:hAnsi="Cambria Math"/>
                </w:rPr>
                <m:t>=τ⋅</m:t>
              </m:r>
              <m:sSub>
                <m:sSubPr>
                  <m:ctrlPr>
                    <w:rPr>
                      <w:rFonts w:ascii="Cambria Math" w:hAnsi="Cambria Math"/>
                      <w:b/>
                      <w:i/>
                    </w:rPr>
                  </m:ctrlPr>
                </m:sSubPr>
                <m:e>
                  <m:r>
                    <m:rPr>
                      <m:sty m:val="bi"/>
                    </m:rPr>
                    <w:rPr>
                      <w:rFonts w:ascii="Cambria Math" w:hAnsi="Cambria Math"/>
                    </w:rPr>
                    <m:t>1</m:t>
                  </m:r>
                </m:e>
                <m:sub>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i,t+h</m:t>
                      </m:r>
                    </m:sub>
                  </m:sSub>
                  <m:r>
                    <m:rPr>
                      <m:sty m:val="bi"/>
                    </m:rPr>
                    <w:rPr>
                      <w:rFonts w:ascii="Cambria Math" w:hAnsi="Cambria Math"/>
                    </w:rPr>
                    <m:t>≥</m:t>
                  </m:r>
                  <m:sSubSup>
                    <m:sSubSupPr>
                      <m:ctrlPr>
                        <w:rPr>
                          <w:rFonts w:ascii="Cambria Math" w:hAnsi="Cambria Math"/>
                          <w:b/>
                          <w:i/>
                        </w:rPr>
                      </m:ctrlPr>
                    </m:sSubSupPr>
                    <m:e>
                      <m:r>
                        <m:rPr>
                          <m:sty m:val="bi"/>
                        </m:rPr>
                        <w:rPr>
                          <w:rFonts w:ascii="Cambria Math" w:hAnsi="Cambria Math"/>
                        </w:rPr>
                        <m:t>y</m:t>
                      </m:r>
                    </m:e>
                    <m:sub>
                      <m:r>
                        <m:rPr>
                          <m:sty m:val="bi"/>
                        </m:rPr>
                        <w:rPr>
                          <w:rFonts w:ascii="Cambria Math" w:hAnsi="Cambria Math"/>
                        </w:rPr>
                        <m:t>i,t+h</m:t>
                      </m:r>
                    </m:sub>
                    <m:sup>
                      <m:r>
                        <m:rPr>
                          <m:sty m:val="bi"/>
                        </m:rPr>
                        <w:rPr>
                          <w:rFonts w:ascii="Cambria Math" w:hAnsi="Cambria Math"/>
                        </w:rPr>
                        <m:t>*</m:t>
                      </m:r>
                    </m:sup>
                  </m:sSubSup>
                </m:sub>
              </m:sSub>
              <m:r>
                <m:rPr>
                  <m:sty m:val="bi"/>
                </m:rPr>
                <w:rPr>
                  <w:rFonts w:ascii="Cambria Math" w:hAnsi="Cambria Math"/>
                </w:rPr>
                <m:t>+</m:t>
              </m:r>
              <m:d>
                <m:dPr>
                  <m:ctrlPr>
                    <w:rPr>
                      <w:rFonts w:ascii="Cambria Math" w:hAnsi="Cambria Math"/>
                      <w:b/>
                      <w:i/>
                    </w:rPr>
                  </m:ctrlPr>
                </m:dPr>
                <m:e>
                  <m:r>
                    <m:rPr>
                      <m:sty m:val="bi"/>
                    </m:rPr>
                    <w:rPr>
                      <w:rFonts w:ascii="Cambria Math" w:hAnsi="Cambria Math"/>
                    </w:rPr>
                    <m:t>1-τ</m:t>
                  </m:r>
                </m:e>
              </m:d>
              <m:r>
                <m:rPr>
                  <m:sty m:val="bi"/>
                </m:rPr>
                <w:rPr>
                  <w:rFonts w:ascii="Cambria Math" w:hAnsi="Cambria Math"/>
                </w:rPr>
                <m:t>⋅</m:t>
              </m:r>
              <m:sSub>
                <m:sSubPr>
                  <m:ctrlPr>
                    <w:rPr>
                      <w:rFonts w:ascii="Cambria Math" w:hAnsi="Cambria Math"/>
                      <w:b/>
                      <w:i/>
                    </w:rPr>
                  </m:ctrlPr>
                </m:sSubPr>
                <m:e>
                  <m:r>
                    <m:rPr>
                      <m:sty m:val="bi"/>
                    </m:rPr>
                    <w:rPr>
                      <w:rFonts w:ascii="Cambria Math" w:hAnsi="Cambria Math"/>
                    </w:rPr>
                    <m:t>1</m:t>
                  </m:r>
                </m:e>
                <m:sub>
                  <m:sSub>
                    <m:sSubPr>
                      <m:ctrlPr>
                        <w:rPr>
                          <w:rFonts w:ascii="Cambria Math" w:hAnsi="Cambria Math"/>
                          <w:b/>
                          <w:i/>
                        </w:rPr>
                      </m:ctrlPr>
                    </m:sSubPr>
                    <m:e>
                      <m:r>
                        <m:rPr>
                          <m:sty m:val="bi"/>
                        </m:rPr>
                        <w:rPr>
                          <w:rFonts w:ascii="Cambria Math" w:hAnsi="Cambria Math"/>
                        </w:rPr>
                        <m:t>y</m:t>
                      </m:r>
                    </m:e>
                    <m:sub>
                      <m:r>
                        <m:rPr>
                          <m:sty m:val="bi"/>
                        </m:rPr>
                        <w:rPr>
                          <w:rFonts w:ascii="Cambria Math" w:hAnsi="Cambria Math"/>
                        </w:rPr>
                        <m:t>i,t+h</m:t>
                      </m:r>
                    </m:sub>
                  </m:sSub>
                  <m:r>
                    <m:rPr>
                      <m:sty m:val="bi"/>
                    </m:rPr>
                    <w:rPr>
                      <w:rFonts w:ascii="Cambria Math" w:hAnsi="Cambria Math"/>
                    </w:rPr>
                    <m:t>≤</m:t>
                  </m:r>
                  <m:sSubSup>
                    <m:sSubSupPr>
                      <m:ctrlPr>
                        <w:rPr>
                          <w:rFonts w:ascii="Cambria Math" w:hAnsi="Cambria Math"/>
                          <w:b/>
                          <w:i/>
                        </w:rPr>
                      </m:ctrlPr>
                    </m:sSubSupPr>
                    <m:e>
                      <m:r>
                        <m:rPr>
                          <m:sty m:val="bi"/>
                        </m:rPr>
                        <w:rPr>
                          <w:rFonts w:ascii="Cambria Math" w:hAnsi="Cambria Math"/>
                        </w:rPr>
                        <m:t>y</m:t>
                      </m:r>
                    </m:e>
                    <m:sub>
                      <m:r>
                        <m:rPr>
                          <m:sty m:val="bi"/>
                        </m:rPr>
                        <w:rPr>
                          <w:rFonts w:ascii="Cambria Math" w:hAnsi="Cambria Math"/>
                        </w:rPr>
                        <m:t>i,t+h</m:t>
                      </m:r>
                    </m:sub>
                    <m:sup>
                      <m:r>
                        <m:rPr>
                          <m:sty m:val="bi"/>
                        </m:rPr>
                        <w:rPr>
                          <w:rFonts w:ascii="Cambria Math" w:hAnsi="Cambria Math"/>
                        </w:rPr>
                        <m:t>*</m:t>
                      </m:r>
                    </m:sup>
                  </m:sSubSup>
                </m:sub>
              </m:sSub>
              <m:r>
                <m:rPr>
                  <m:sty m:val="bi"/>
                </m:rPr>
                <w:rPr>
                  <w:rFonts w:ascii="Cambria Math" w:hAnsi="Cambria Math"/>
                </w:rPr>
                <m:t>#</m:t>
              </m:r>
              <m:d>
                <m:dPr>
                  <m:ctrlPr>
                    <w:rPr>
                      <w:rFonts w:ascii="Cambria Math" w:hAnsi="Cambria Math"/>
                      <w:b/>
                      <w:i/>
                    </w:rPr>
                  </m:ctrlPr>
                </m:dPr>
                <m:e>
                  <m:r>
                    <m:rPr>
                      <m:sty m:val="bi"/>
                    </m:rPr>
                    <w:rPr>
                      <w:rFonts w:ascii="Cambria Math" w:hAnsi="Cambria Math"/>
                    </w:rPr>
                    <m:t>3</m:t>
                  </m:r>
                </m:e>
              </m:d>
            </m:e>
          </m:eqArr>
        </m:oMath>
      </m:oMathPara>
    </w:p>
    <w:p w14:paraId="353B3139" w14:textId="0065683B" w:rsidR="00CA3503" w:rsidRPr="00D41CAA" w:rsidRDefault="002326A8" w:rsidP="002326A8">
      <w:r>
        <w:t xml:space="preserve">where, </w:t>
      </w:r>
      <m:oMath>
        <m:sSubSup>
          <m:sSubSupPr>
            <m:ctrlPr>
              <w:rPr>
                <w:rFonts w:ascii="Cambria Math" w:hAnsi="Cambria Math"/>
                <w:i/>
              </w:rPr>
            </m:ctrlPr>
          </m:sSubSupPr>
          <m:e>
            <m:r>
              <w:rPr>
                <w:rFonts w:ascii="Cambria Math" w:hAnsi="Cambria Math"/>
              </w:rPr>
              <m:t>y</m:t>
            </m:r>
          </m:e>
          <m:sub>
            <m:r>
              <w:rPr>
                <w:rFonts w:ascii="Cambria Math" w:hAnsi="Cambria Math"/>
              </w:rPr>
              <m:t>it+h</m:t>
            </m:r>
          </m:sub>
          <m:sup>
            <m:r>
              <w:rPr>
                <w:rFonts w:ascii="Cambria Math" w:hAnsi="Cambria Math"/>
              </w:rPr>
              <m:t>*</m:t>
            </m:r>
          </m:sup>
        </m:sSubSup>
      </m:oMath>
      <w:r>
        <w:t xml:space="preserve"> is the quantile regression estimate, </w:t>
      </w:r>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i,t</m:t>
            </m:r>
          </m:sub>
        </m:sSub>
      </m:oMath>
      <w:r w:rsidRPr="002326A8">
        <w:t xml:space="preserve"> </w:t>
      </w:r>
      <w:r w:rsidR="000C4EE6">
        <w:t xml:space="preserve">is a vector of </w:t>
      </w:r>
      <w:r w:rsidR="000C4EE6" w:rsidRPr="000C4EE6">
        <w:t>exogenous variable</w:t>
      </w:r>
      <w:r w:rsidR="000C4EE6">
        <w:t xml:space="preserve">s, </w:t>
      </w:r>
      <m:oMath>
        <m:sSub>
          <m:sSubPr>
            <m:ctrlPr>
              <w:rPr>
                <w:rFonts w:ascii="Cambria Math" w:hAnsi="Cambria Math"/>
              </w:rPr>
            </m:ctrlPr>
          </m:sSubPr>
          <m:e>
            <m:r>
              <m:rPr>
                <m:sty m:val="bi"/>
              </m:rPr>
              <w:rPr>
                <w:rFonts w:ascii="Cambria Math" w:hAnsi="Cambria Math"/>
              </w:rPr>
              <m:t>α</m:t>
            </m:r>
          </m:e>
          <m:sub>
            <m:r>
              <m:rPr>
                <m:sty m:val="bi"/>
              </m:rPr>
              <w:rPr>
                <w:rFonts w:ascii="Cambria Math" w:hAnsi="Cambria Math"/>
              </w:rPr>
              <m:t>i,τ</m:t>
            </m:r>
          </m:sub>
        </m:sSub>
      </m:oMath>
      <w:r w:rsidR="000C4EE6" w:rsidRPr="000C4EE6">
        <w:t xml:space="preserve"> </w:t>
      </w:r>
      <w:r w:rsidR="000C4EE6">
        <w:t xml:space="preserve">is a vector of fixed effects, </w:t>
      </w:r>
      <m:oMath>
        <m:sSub>
          <m:sSubPr>
            <m:ctrlPr>
              <w:rPr>
                <w:rFonts w:ascii="Cambria Math" w:hAnsi="Cambria Math"/>
              </w:rPr>
            </m:ctrlPr>
          </m:sSubPr>
          <m:e>
            <m:r>
              <m:rPr>
                <m:sty m:val="bi"/>
              </m:rPr>
              <w:rPr>
                <w:rFonts w:ascii="Cambria Math" w:hAnsi="Cambria Math"/>
              </w:rPr>
              <m:t>ρ</m:t>
            </m:r>
          </m:e>
          <m:sub>
            <m:r>
              <m:rPr>
                <m:sty m:val="bi"/>
              </m:rPr>
              <w:rPr>
                <w:rFonts w:ascii="Cambria Math" w:hAnsi="Cambria Math"/>
              </w:rPr>
              <m:t>τ</m:t>
            </m:r>
          </m:sub>
        </m:sSub>
      </m:oMath>
      <w:r w:rsidR="000C4EE6">
        <w:t xml:space="preserve"> are the quantile-based weights</w:t>
      </w:r>
      <w:r w:rsidR="003E43AB">
        <w:t xml:space="preserve">, </w:t>
      </w:r>
      <m:oMath>
        <m:r>
          <m:rPr>
            <m:sty m:val="bi"/>
          </m:rPr>
          <w:rPr>
            <w:rFonts w:ascii="Cambria Math" w:hAnsi="Cambria Math"/>
          </w:rPr>
          <m:t>τ</m:t>
        </m:r>
      </m:oMath>
      <w:r w:rsidR="000C4EE6" w:rsidRPr="000C4EE6">
        <w:t xml:space="preserve"> is the</w:t>
      </w:r>
      <w:r w:rsidR="000C4EE6">
        <w:t xml:space="preserve"> quantile</w:t>
      </w:r>
      <w:r w:rsidR="00C8552E">
        <w:t>,</w:t>
      </w:r>
      <w:r w:rsidR="003E43AB">
        <w:t xml:space="preserve"> </w:t>
      </w:r>
      <w:r w:rsidR="00C8552E">
        <w:t>while</w:t>
      </w:r>
      <w:r w:rsidR="003E43AB">
        <w:t xml:space="preserve"> </w:t>
      </w:r>
      <m:oMath>
        <m:r>
          <m:rPr>
            <m:sty m:val="bi"/>
          </m:rPr>
          <w:rPr>
            <w:rFonts w:ascii="Cambria Math" w:hAnsi="Cambria Math"/>
          </w:rPr>
          <m:t>T</m:t>
        </m:r>
      </m:oMath>
      <w:r w:rsidR="00C8552E" w:rsidRPr="00C8552E">
        <w:t xml:space="preserve"> and </w:t>
      </w:r>
      <m:oMath>
        <m:r>
          <m:rPr>
            <m:sty m:val="bi"/>
          </m:rPr>
          <w:rPr>
            <w:rFonts w:ascii="Cambria Math" w:hAnsi="Cambria Math"/>
          </w:rPr>
          <m:t>n</m:t>
        </m:r>
      </m:oMath>
      <w:r w:rsidR="00C8552E" w:rsidRPr="00C8552E">
        <w:t xml:space="preserve"> are the time dimension and </w:t>
      </w:r>
      <w:r w:rsidR="00C8552E">
        <w:t>the cross-section dimension respectively</w:t>
      </w:r>
      <w:r w:rsidR="000C4EE6">
        <w:t xml:space="preserve">. </w:t>
      </w:r>
      <w:r w:rsidR="004B2FFF">
        <w:t xml:space="preserve">In our case </w:t>
      </w:r>
      <m:oMath>
        <m:r>
          <m:rPr>
            <m:sty m:val="bi"/>
          </m:rPr>
          <w:rPr>
            <w:rFonts w:ascii="Cambria Math" w:hAnsi="Cambria Math"/>
          </w:rPr>
          <m:t>T</m:t>
        </m:r>
        <m:r>
          <m:rPr>
            <m:sty m:val="p"/>
          </m:rPr>
          <w:rPr>
            <w:rFonts w:ascii="Cambria Math" w:hAnsi="Cambria Math"/>
          </w:rPr>
          <m:t>=124</m:t>
        </m:r>
      </m:oMath>
      <w:r w:rsidR="004B2FFF" w:rsidRPr="00C8552E">
        <w:t xml:space="preserve"> </w:t>
      </w:r>
      <w:r w:rsidR="004B2FFF">
        <w:t xml:space="preserve">and </w:t>
      </w:r>
      <m:oMath>
        <m:r>
          <m:rPr>
            <m:sty m:val="bi"/>
          </m:rPr>
          <w:rPr>
            <w:rFonts w:ascii="Cambria Math" w:hAnsi="Cambria Math"/>
          </w:rPr>
          <m:t>n</m:t>
        </m:r>
        <m:r>
          <m:rPr>
            <m:sty m:val="p"/>
          </m:rPr>
          <w:rPr>
            <w:rFonts w:ascii="Cambria Math" w:hAnsi="Cambria Math"/>
          </w:rPr>
          <m:t>=43</m:t>
        </m:r>
      </m:oMath>
      <w:r w:rsidR="004B2FFF">
        <w:t xml:space="preserve">. </w:t>
      </w:r>
      <w:r w:rsidR="000C4EE6">
        <w:t>An important note is that the model use</w:t>
      </w:r>
      <w:r w:rsidR="00601246">
        <w:t>s</w:t>
      </w:r>
      <w:r w:rsidR="000C4EE6">
        <w:t xml:space="preserve"> l</w:t>
      </w:r>
      <w:r w:rsidR="000C4EE6" w:rsidRPr="000C4EE6">
        <w:t xml:space="preserve">east </w:t>
      </w:r>
      <w:r w:rsidR="000C4EE6">
        <w:t>a</w:t>
      </w:r>
      <w:r w:rsidR="000C4EE6" w:rsidRPr="000C4EE6">
        <w:t xml:space="preserve">bsolute </w:t>
      </w:r>
      <w:r w:rsidR="000C4EE6">
        <w:t>d</w:t>
      </w:r>
      <w:r w:rsidR="000C4EE6" w:rsidRPr="000C4EE6">
        <w:t xml:space="preserve">eviation </w:t>
      </w:r>
      <w:r w:rsidR="000C4EE6">
        <w:t xml:space="preserve">(LAD) as its </w:t>
      </w:r>
      <w:r w:rsidR="000C4EE6" w:rsidRPr="000C4EE6">
        <w:t>optimality criterion</w:t>
      </w:r>
      <w:r w:rsidR="000C4EE6">
        <w:t>.</w:t>
      </w:r>
    </w:p>
    <w:p w14:paraId="1C392871" w14:textId="42DBD5E3" w:rsidR="00646075" w:rsidRDefault="00646075" w:rsidP="00646075">
      <w:pPr>
        <w:pStyle w:val="SectionHeading"/>
        <w:numPr>
          <w:ilvl w:val="1"/>
          <w:numId w:val="9"/>
        </w:numPr>
      </w:pPr>
      <w:r>
        <w:lastRenderedPageBreak/>
        <w:t>Financial conditions index</w:t>
      </w:r>
    </w:p>
    <w:p w14:paraId="06A9423B" w14:textId="701AF523" w:rsidR="00646075" w:rsidRPr="00402976" w:rsidRDefault="009566AF" w:rsidP="001C32C5">
      <w:pPr>
        <w:ind w:firstLine="284"/>
      </w:pPr>
      <w:r w:rsidRPr="00402976">
        <w:t>To estimate the FCI we will use a f</w:t>
      </w:r>
      <w:r w:rsidRPr="009566AF">
        <w:t>actor augmented VAR with structural instabilities</w:t>
      </w:r>
      <w:r w:rsidRPr="00402976">
        <w:t xml:space="preserve"> and </w:t>
      </w:r>
      <w:r w:rsidRPr="009566AF">
        <w:t>time-varying coefficients</w:t>
      </w:r>
      <w:r w:rsidR="0000625C" w:rsidRPr="00402976">
        <w:t xml:space="preserve"> (</w:t>
      </w:r>
      <w:r w:rsidR="0000625C" w:rsidRPr="0000625C">
        <w:t>TVP-FAVAR</w:t>
      </w:r>
      <w:r w:rsidR="0000625C" w:rsidRPr="00402976">
        <w:t xml:space="preserve">). The p-lag </w:t>
      </w:r>
      <w:r w:rsidR="0000625C" w:rsidRPr="0000625C">
        <w:t xml:space="preserve">TVP-FAVAR </w:t>
      </w:r>
      <w:sdt>
        <w:sdtPr>
          <w:id w:val="-1748724668"/>
          <w:citation/>
        </w:sdtPr>
        <w:sdtContent>
          <w:r w:rsidR="00E67522">
            <w:fldChar w:fldCharType="begin"/>
          </w:r>
          <w:r w:rsidR="00E67522">
            <w:instrText xml:space="preserve"> CITATION Koo14 \l 1033 </w:instrText>
          </w:r>
          <w:r w:rsidR="00E67522">
            <w:fldChar w:fldCharType="separate"/>
          </w:r>
          <w:r w:rsidR="00B97B98">
            <w:rPr>
              <w:noProof/>
            </w:rPr>
            <w:t>(Koop &amp; Korobilis, 2014)</w:t>
          </w:r>
          <w:r w:rsidR="00E67522">
            <w:fldChar w:fldCharType="end"/>
          </w:r>
        </w:sdtContent>
      </w:sdt>
      <w:r w:rsidR="00E67522">
        <w:t xml:space="preserve"> </w:t>
      </w:r>
      <w:r w:rsidR="0000625C" w:rsidRPr="00402976">
        <w:t>state space model takes the form:</w:t>
      </w:r>
    </w:p>
    <w:p w14:paraId="6419D2A1" w14:textId="0DEBB54C" w:rsidR="0000625C" w:rsidRPr="00106E5C" w:rsidRDefault="00000000" w:rsidP="00402976">
      <m:oMathPara>
        <m:oMath>
          <m:eqArr>
            <m:eqArrPr>
              <m:maxDist m:val="1"/>
              <m:ctrlPr>
                <w:rPr>
                  <w:rFonts w:ascii="Cambria Math" w:hAnsi="Cambria Math"/>
                </w:rPr>
              </m:ctrlPr>
            </m:eqArrPr>
            <m:e>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e>
                    </m:mr>
                    <m:mr>
                      <m:e>
                        <m:sSub>
                          <m:sSubPr>
                            <m:ctrlPr>
                              <w:rPr>
                                <w:rFonts w:ascii="Cambria Math" w:hAnsi="Cambria Math"/>
                              </w:rPr>
                            </m:ctrlPr>
                          </m:sSubPr>
                          <m:e>
                            <m:r>
                              <w:rPr>
                                <w:rFonts w:ascii="Cambria Math" w:hAnsi="Cambria Math"/>
                              </w:rPr>
                              <m:t>x</m:t>
                            </m:r>
                          </m:e>
                          <m:sub>
                            <m:r>
                              <w:rPr>
                                <w:rFonts w:ascii="Cambria Math" w:hAnsi="Cambria Math"/>
                              </w:rPr>
                              <m:t>t</m:t>
                            </m:r>
                          </m:sub>
                        </m:sSub>
                      </m:e>
                    </m:mr>
                  </m:m>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mr>
                    <m:mr>
                      <m:e>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y</m:t>
                            </m:r>
                          </m:sup>
                        </m:sSubSup>
                      </m:e>
                      <m:e>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f</m:t>
                            </m:r>
                          </m:sup>
                        </m:sSubSup>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e>
                    </m:mr>
                    <m:mr>
                      <m:e>
                        <m:sSub>
                          <m:sSubPr>
                            <m:ctrlPr>
                              <w:rPr>
                                <w:rFonts w:ascii="Cambria Math" w:hAnsi="Cambria Math"/>
                              </w:rPr>
                            </m:ctrlPr>
                          </m:sSubPr>
                          <m:e>
                            <m:r>
                              <w:rPr>
                                <w:rFonts w:ascii="Cambria Math" w:hAnsi="Cambria Math"/>
                              </w:rPr>
                              <m:t>f</m:t>
                            </m:r>
                          </m:e>
                          <m:sub>
                            <m:r>
                              <w:rPr>
                                <w:rFonts w:ascii="Cambria Math" w:hAnsi="Cambria Math"/>
                              </w:rPr>
                              <m:t>t</m:t>
                            </m:r>
                          </m:sub>
                        </m:sSub>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sSub>
                          <m:sSubPr>
                            <m:ctrlPr>
                              <w:rPr>
                                <w:rFonts w:ascii="Cambria Math" w:hAnsi="Cambria Math"/>
                              </w:rPr>
                            </m:ctrlPr>
                          </m:sSubPr>
                          <m:e>
                            <m:r>
                              <w:rPr>
                                <w:rFonts w:ascii="Cambria Math" w:hAnsi="Cambria Math"/>
                              </w:rPr>
                              <m:t>v</m:t>
                            </m:r>
                          </m:e>
                          <m:sub>
                            <m:r>
                              <w:rPr>
                                <w:rFonts w:ascii="Cambria Math" w:hAnsi="Cambria Math"/>
                              </w:rPr>
                              <m:t>t</m:t>
                            </m:r>
                          </m:sub>
                        </m:sSub>
                      </m:e>
                    </m:mr>
                  </m:m>
                </m:e>
              </m:d>
              <m:r>
                <m:rPr>
                  <m:sty m:val="p"/>
                </m:rPr>
                <w:rPr>
                  <w:rFonts w:ascii="Cambria Math" w:hAnsi="Cambria Math"/>
                </w:rPr>
                <m:t>#</m:t>
              </m:r>
              <m:d>
                <m:dPr>
                  <m:ctrlPr>
                    <w:rPr>
                      <w:rFonts w:ascii="Cambria Math" w:hAnsi="Cambria Math"/>
                    </w:rPr>
                  </m:ctrlPr>
                </m:dPr>
                <m:e>
                  <m:r>
                    <m:rPr>
                      <m:sty m:val="p"/>
                    </m:rPr>
                    <w:rPr>
                      <w:rFonts w:ascii="Cambria Math" w:hAnsi="Cambria Math"/>
                    </w:rPr>
                    <m:t>4</m:t>
                  </m:r>
                </m:e>
              </m:d>
            </m:e>
          </m:eqArr>
        </m:oMath>
      </m:oMathPara>
    </w:p>
    <w:p w14:paraId="05EB6DCE" w14:textId="44025119" w:rsidR="00402976" w:rsidRPr="00106E5C" w:rsidRDefault="00000000" w:rsidP="00402976">
      <m:oMathPara>
        <m:oMath>
          <m:eqArr>
            <m:eqArrPr>
              <m:maxDist m:val="1"/>
              <m:ctrlPr>
                <w:rPr>
                  <w:rFonts w:ascii="Cambria Math" w:hAnsi="Cambria Math"/>
                </w:rPr>
              </m:ctrlPr>
            </m:eqArrPr>
            <m:e>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e>
                    </m:mr>
                    <m:mr>
                      <m:e>
                        <m:sSub>
                          <m:sSubPr>
                            <m:ctrlPr>
                              <w:rPr>
                                <w:rFonts w:ascii="Cambria Math" w:hAnsi="Cambria Math"/>
                              </w:rPr>
                            </m:ctrlPr>
                          </m:sSubPr>
                          <m:e>
                            <m:r>
                              <w:rPr>
                                <w:rFonts w:ascii="Cambria Math" w:hAnsi="Cambria Math"/>
                              </w:rPr>
                              <m:t>f</m:t>
                            </m:r>
                          </m:e>
                          <m:sub>
                            <m:r>
                              <w:rPr>
                                <w:rFonts w:ascii="Cambria Math" w:hAnsi="Cambria Math"/>
                              </w:rPr>
                              <m:t>t</m:t>
                            </m:r>
                          </m:sub>
                        </m:sSub>
                      </m:e>
                    </m:mr>
                  </m:m>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,1</m:t>
                  </m:r>
                </m:sub>
              </m:sSub>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t-1</m:t>
                            </m:r>
                          </m:sub>
                        </m:sSub>
                      </m:e>
                    </m:mr>
                    <m:mr>
                      <m:e>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-1</m:t>
                            </m:r>
                          </m:sub>
                        </m:sSub>
                      </m:e>
                    </m:mr>
                  </m:m>
                </m:e>
              </m:d>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m:t>
                  </m:r>
                  <m:r>
                    <w:rPr>
                      <w:rFonts w:ascii="Cambria Math" w:hAnsi="Cambria Math"/>
                    </w:rPr>
                    <m:t>p</m:t>
                  </m:r>
                </m:sub>
              </m:sSub>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t-p</m:t>
                            </m:r>
                          </m:sub>
                        </m:sSub>
                      </m:e>
                    </m:mr>
                    <m:mr>
                      <m:e>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p</m:t>
                            </m:r>
                          </m:sub>
                        </m:sSub>
                      </m:e>
                    </m:mr>
                  </m:m>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5</m:t>
                  </m:r>
                </m:e>
              </m:d>
            </m:e>
          </m:eqArr>
        </m:oMath>
      </m:oMathPara>
    </w:p>
    <w:p w14:paraId="27EDF7D6" w14:textId="08CD988D" w:rsidR="00106E5C" w:rsidRDefault="00000000" w:rsidP="00402976">
      <w:pPr>
        <w:rPr>
          <w:i/>
          <w:iCs/>
        </w:rPr>
      </w:pPr>
      <m:oMath>
        <m:eqArr>
          <m:eqArrPr>
            <m:maxDist m:val="1"/>
            <m:ctrlPr>
              <w:rPr>
                <w:rFonts w:ascii="Cambria Math" w:hAnsi="Cambria Math"/>
                <w:i/>
                <w:iCs/>
              </w:rPr>
            </m:ctrlPr>
          </m:eqArrPr>
          <m:e>
            <m:sSub>
              <m:sSubPr>
                <m:ctrlPr>
                  <w:rPr>
                    <w:rFonts w:ascii="Cambria Math" w:hAnsi="Cambria Math"/>
                    <w:i/>
                    <w:iCs/>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λ</m:t>
                </m:r>
              </m:e>
              <m:sub>
                <m:r>
                  <w:rPr>
                    <w:rFonts w:ascii="Cambria Math" w:hAnsi="Cambria Math"/>
                  </w:rPr>
                  <m:t>t-1</m:t>
                </m:r>
              </m:sub>
            </m:sSub>
            <m:r>
              <w:rPr>
                <w:rFonts w:ascii="Cambria Math" w:hAnsi="Cambria Math"/>
              </w:rPr>
              <m:t>+</m:t>
            </m:r>
            <m:sSub>
              <m:sSubPr>
                <m:ctrlPr>
                  <w:rPr>
                    <w:rFonts w:ascii="Cambria Math" w:hAnsi="Cambria Math"/>
                    <w:i/>
                    <w:iCs/>
                  </w:rPr>
                </m:ctrlPr>
              </m:sSubPr>
              <m:e>
                <m:r>
                  <w:rPr>
                    <w:rFonts w:ascii="Cambria Math" w:hAnsi="Cambria Math"/>
                  </w:rPr>
                  <m:t>θ</m:t>
                </m:r>
              </m:e>
              <m:sub>
                <m:r>
                  <w:rPr>
                    <w:rFonts w:ascii="Cambria Math" w:hAnsi="Cambria Math"/>
                  </w:rPr>
                  <m:t>t</m:t>
                </m:r>
              </m:sub>
            </m:sSub>
            <m:r>
              <w:rPr>
                <w:rFonts w:ascii="Cambria Math" w:hAnsi="Cambria Math"/>
              </w:rPr>
              <m:t>#</m:t>
            </m:r>
            <m:d>
              <m:dPr>
                <m:ctrlPr>
                  <w:rPr>
                    <w:rFonts w:ascii="Cambria Math" w:hAnsi="Cambria Math"/>
                    <w:i/>
                    <w:iCs/>
                  </w:rPr>
                </m:ctrlPr>
              </m:dPr>
              <m:e>
                <m:r>
                  <w:rPr>
                    <w:rFonts w:ascii="Cambria Math" w:hAnsi="Cambria Math"/>
                  </w:rPr>
                  <m:t>6</m:t>
                </m:r>
              </m:e>
            </m:d>
          </m:e>
        </m:eqArr>
      </m:oMath>
      <w:r w:rsidR="00106E5C">
        <w:rPr>
          <w:i/>
          <w:iCs/>
        </w:rPr>
        <w:t xml:space="preserve"> </w:t>
      </w:r>
    </w:p>
    <w:p w14:paraId="7D4140E9" w14:textId="5084252C" w:rsidR="00106E5C" w:rsidRDefault="00000000" w:rsidP="00106E5C">
      <w:pPr>
        <w:rPr>
          <w:i/>
          <w:iCs/>
        </w:rPr>
      </w:pPr>
      <m:oMath>
        <m:eqArr>
          <m:eqArrPr>
            <m:maxDist m:val="1"/>
            <m:ctrlPr>
              <w:rPr>
                <w:rFonts w:ascii="Cambria Math" w:hAnsi="Cambria Math"/>
                <w:i/>
                <w:iCs/>
              </w:rPr>
            </m:ctrlPr>
          </m:eqArrPr>
          <m:e>
            <m:sSub>
              <m:sSubPr>
                <m:ctrlPr>
                  <w:rPr>
                    <w:rFonts w:ascii="Cambria Math" w:hAnsi="Cambria Math"/>
                    <w:i/>
                    <w:iCs/>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t-1</m:t>
                </m:r>
              </m:sub>
            </m:sSub>
            <m:r>
              <w:rPr>
                <w:rFonts w:ascii="Cambria Math" w:hAnsi="Cambria Math"/>
              </w:rPr>
              <m:t>+</m:t>
            </m:r>
            <m:sSub>
              <m:sSubPr>
                <m:ctrlPr>
                  <w:rPr>
                    <w:rFonts w:ascii="Cambria Math" w:hAnsi="Cambria Math"/>
                    <w:i/>
                    <w:iCs/>
                  </w:rPr>
                </m:ctrlPr>
              </m:sSubPr>
              <m:e>
                <m:r>
                  <w:rPr>
                    <w:rFonts w:ascii="Cambria Math" w:hAnsi="Cambria Math"/>
                  </w:rPr>
                  <m:t>η</m:t>
                </m:r>
              </m:e>
              <m:sub>
                <m:r>
                  <w:rPr>
                    <w:rFonts w:ascii="Cambria Math" w:hAnsi="Cambria Math"/>
                  </w:rPr>
                  <m:t>t</m:t>
                </m:r>
              </m:sub>
            </m:sSub>
            <m:r>
              <w:rPr>
                <w:rFonts w:ascii="Cambria Math" w:hAnsi="Cambria Math"/>
              </w:rPr>
              <m:t>#</m:t>
            </m:r>
            <m:d>
              <m:dPr>
                <m:ctrlPr>
                  <w:rPr>
                    <w:rFonts w:ascii="Cambria Math" w:hAnsi="Cambria Math"/>
                    <w:i/>
                    <w:iCs/>
                  </w:rPr>
                </m:ctrlPr>
              </m:dPr>
              <m:e>
                <m:r>
                  <w:rPr>
                    <w:rFonts w:ascii="Cambria Math" w:hAnsi="Cambria Math"/>
                  </w:rPr>
                  <m:t>7</m:t>
                </m:r>
              </m:e>
            </m:d>
          </m:e>
        </m:eqArr>
      </m:oMath>
      <w:r w:rsidR="00106E5C">
        <w:rPr>
          <w:i/>
          <w:iCs/>
        </w:rPr>
        <w:t xml:space="preserve"> </w:t>
      </w:r>
    </w:p>
    <w:p w14:paraId="1B6E7408" w14:textId="6AD3D96B" w:rsidR="001C32C5" w:rsidRDefault="00402976" w:rsidP="001B2444">
      <w:pPr>
        <w:ind w:firstLine="284"/>
      </w:pPr>
      <w:r w:rsidRPr="00402976">
        <w:t>where</w:t>
      </w:r>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402976">
        <w:t xml:space="preserve"> is </w:t>
      </w:r>
      <w:r>
        <w:t xml:space="preserve">an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×1</m:t>
        </m:r>
      </m:oMath>
      <w:r>
        <w:t xml:space="preserve"> vector of financial variables, with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=17</m:t>
        </m:r>
      </m:oMath>
      <w:r>
        <w:t xml:space="preserve">. </w:t>
      </w:r>
      <w:r w:rsidR="001B2444">
        <w:t xml:space="preserve">These include interest rate spreads, </w:t>
      </w:r>
      <w:r w:rsidR="001B2444" w:rsidRPr="001B2444">
        <w:t>mortgage</w:t>
      </w:r>
      <w:r w:rsidR="001B2444">
        <w:t xml:space="preserve"> </w:t>
      </w:r>
      <w:r w:rsidR="001B2444" w:rsidRPr="001B2444">
        <w:t>rates</w:t>
      </w:r>
      <w:r w:rsidR="001B2444">
        <w:t xml:space="preserve">, </w:t>
      </w:r>
      <w:r w:rsidR="001B2444" w:rsidRPr="001B2444">
        <w:t>government bond</w:t>
      </w:r>
      <w:r w:rsidR="001B2444">
        <w:t xml:space="preserve"> rates, the </w:t>
      </w:r>
      <w:r w:rsidR="001B2444" w:rsidRPr="001B2444">
        <w:t>level</w:t>
      </w:r>
      <w:r w:rsidR="001B2444">
        <w:t>,</w:t>
      </w:r>
      <w:r w:rsidR="001B2444" w:rsidRPr="001B2444">
        <w:t xml:space="preserve"> slope</w:t>
      </w:r>
      <w:r w:rsidR="001B2444">
        <w:t xml:space="preserve"> and</w:t>
      </w:r>
      <w:r w:rsidR="001B2444" w:rsidRPr="001B2444">
        <w:t xml:space="preserve"> curvature</w:t>
      </w:r>
      <w:r w:rsidR="001B2444">
        <w:t xml:space="preserve"> of the </w:t>
      </w:r>
      <w:r w:rsidR="001B2444" w:rsidRPr="001B2444">
        <w:t>yield curve</w:t>
      </w:r>
      <w:r w:rsidR="001B2444">
        <w:t xml:space="preserve">, the </w:t>
      </w:r>
      <w:r w:rsidR="001B2444" w:rsidRPr="001B2444">
        <w:t>return on equity</w:t>
      </w:r>
      <w:r w:rsidR="001B2444">
        <w:t xml:space="preserve"> (RoE)</w:t>
      </w:r>
      <w:r w:rsidR="001B2444" w:rsidRPr="001B2444">
        <w:t xml:space="preserve"> </w:t>
      </w:r>
      <w:r w:rsidR="001B2444">
        <w:t xml:space="preserve">of banks and so on. </w:t>
      </w:r>
      <w:r>
        <w:t xml:space="preserve">The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402976">
        <w:t xml:space="preserve"> is </w:t>
      </w:r>
      <w:r>
        <w:t xml:space="preserve">an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×1</m:t>
        </m:r>
      </m:oMath>
      <w:r>
        <w:t xml:space="preserve"> vector of </w:t>
      </w:r>
      <w:r w:rsidR="00106E5C">
        <w:t xml:space="preserve">macro variables. In our model we included the </w:t>
      </w:r>
      <w:r w:rsidR="00106E5C" w:rsidRPr="00106E5C">
        <w:t>consumer price index</w:t>
      </w:r>
      <w:r w:rsidR="00106E5C">
        <w:t xml:space="preserve"> (CPI), real GDP growth and the </w:t>
      </w:r>
      <w:r w:rsidR="00106E5C" w:rsidRPr="00106E5C">
        <w:t>monetary policy rate</w:t>
      </w:r>
      <w:r w:rsidR="00106E5C">
        <w:t xml:space="preserve">. In our design matrix </w:t>
      </w: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y</m:t>
            </m:r>
          </m:sup>
        </m:sSubSup>
      </m:oMath>
      <w:r w:rsidR="00106E5C" w:rsidRPr="00106E5C">
        <w:t xml:space="preserve"> is a vector of </w:t>
      </w:r>
      <w:r w:rsidR="00106E5C">
        <w:t xml:space="preserve">regression coefficients, while </w:t>
      </w: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f</m:t>
            </m:r>
          </m:sup>
        </m:sSubSup>
      </m:oMath>
      <w:r w:rsidR="00106E5C" w:rsidRPr="00106E5C">
        <w:t xml:space="preserve"> is a vector of </w:t>
      </w:r>
      <w:r w:rsidR="00106E5C">
        <w:t xml:space="preserve">factor loadings. In the state </w:t>
      </w:r>
      <w:r w:rsidR="00106E5C" w:rsidRPr="00106E5C">
        <w:t>equation</w:t>
      </w:r>
      <w:r w:rsidR="00106E5C">
        <w:t xml:space="preserve"> we have the latent factor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106E5C">
        <w:t xml:space="preserve"> interpreted as the FCI.</w:t>
      </w:r>
      <w:r w:rsidR="00CB280A">
        <w:t xml:space="preserve"> The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CB280A">
        <w:t xml:space="preserve"> is a vector intercepts, while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,p</m:t>
            </m:r>
          </m:sub>
        </m:sSub>
        <m:r>
          <m:rPr>
            <m:sty m:val="p"/>
          </m:rPr>
          <w:rPr>
            <w:rFonts w:ascii="Cambria Math" w:hAnsi="Cambria Math"/>
          </w:rPr>
          <m:t>)</m:t>
        </m:r>
      </m:oMath>
      <w:r w:rsidR="00CB280A">
        <w:t xml:space="preserve"> are </w:t>
      </w:r>
      <w:r w:rsidR="00CB280A" w:rsidRPr="00CB280A">
        <w:t>matrices</w:t>
      </w:r>
      <w:r w:rsidR="00CB280A">
        <w:t xml:space="preserve"> of </w:t>
      </w:r>
      <w:r w:rsidR="00CB280A" w:rsidRPr="00CB280A">
        <w:t>VAR coefficients</w:t>
      </w:r>
      <w:r w:rsidR="00CB280A">
        <w:t>.</w:t>
      </w:r>
      <w:r w:rsidR="00E67522">
        <w:t xml:space="preserve"> We use </w:t>
      </w:r>
      <m:oMath>
        <m:sSub>
          <m:sSubPr>
            <m:ctrlPr>
              <w:rPr>
                <w:rFonts w:ascii="Cambria Math" w:hAnsi="Cambria Math"/>
                <w:i/>
                <w:iCs/>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λ</m:t>
                            </m:r>
                          </m:e>
                          <m:sub>
                            <m:r>
                              <w:rPr>
                                <w:rFonts w:ascii="Cambria Math" w:hAnsi="Cambria Math"/>
                              </w:rPr>
                              <m:t>t</m:t>
                            </m:r>
                          </m:sub>
                          <m:sup>
                            <m:r>
                              <w:rPr>
                                <w:rFonts w:ascii="Cambria Math" w:hAnsi="Cambria Math"/>
                              </w:rPr>
                              <m:t>y</m:t>
                            </m:r>
                          </m:sup>
                        </m:sSubSup>
                      </m:e>
                    </m:d>
                  </m:e>
                  <m:sup>
                    <m:r>
                      <w:rPr>
                        <w:rFonts w:ascii="Cambria Math" w:hAnsi="Cambria Math"/>
                      </w:rPr>
                      <m:t>T</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λ</m:t>
                            </m:r>
                          </m:e>
                          <m:sub>
                            <m:r>
                              <w:rPr>
                                <w:rFonts w:ascii="Cambria Math" w:hAnsi="Cambria Math"/>
                              </w:rPr>
                              <m:t>t</m:t>
                            </m:r>
                          </m:sub>
                          <m:sup>
                            <m:r>
                              <w:rPr>
                                <w:rFonts w:ascii="Cambria Math" w:hAnsi="Cambria Math"/>
                              </w:rPr>
                              <m:t>f</m:t>
                            </m:r>
                          </m:sup>
                        </m:sSubSup>
                      </m:e>
                    </m:d>
                  </m:e>
                  <m:sup>
                    <m:r>
                      <w:rPr>
                        <w:rFonts w:ascii="Cambria Math" w:hAnsi="Cambria Math"/>
                      </w:rPr>
                      <m:t>T</m:t>
                    </m:r>
                  </m:sup>
                </m:sSup>
              </m:e>
            </m:d>
          </m:e>
          <m:sup>
            <m:r>
              <w:rPr>
                <w:rFonts w:ascii="Cambria Math" w:hAnsi="Cambria Math"/>
              </w:rPr>
              <m:t>T</m:t>
            </m:r>
          </m:sup>
        </m:sSup>
      </m:oMath>
      <w:r w:rsidR="00E67522">
        <w:rPr>
          <w:iCs/>
        </w:rPr>
        <w:t xml:space="preserve">and </w:t>
      </w:r>
      <m:oMath>
        <m:sSub>
          <m:sSubPr>
            <m:ctrlPr>
              <w:rPr>
                <w:rFonts w:ascii="Cambria Math" w:hAnsi="Cambria Math"/>
                <w:i/>
                <w:iCs/>
              </w:rPr>
            </m:ctrlPr>
          </m:sSubPr>
          <m:e>
            <m:r>
              <w:rPr>
                <w:rFonts w:ascii="Cambria Math" w:hAnsi="Cambria Math"/>
              </w:rPr>
              <m:t>β</m:t>
            </m:r>
          </m:e>
          <m:sub>
            <m:r>
              <w:rPr>
                <w:rFonts w:ascii="Cambria Math" w:hAnsi="Cambria Math"/>
              </w:rPr>
              <m:t>t</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c</m:t>
                    </m:r>
                  </m:e>
                  <m:sub>
                    <m:r>
                      <w:rPr>
                        <w:rFonts w:ascii="Cambria Math" w:hAnsi="Cambria Math"/>
                      </w:rPr>
                      <m:t>t</m:t>
                    </m:r>
                  </m:sub>
                  <m:sup>
                    <m:r>
                      <w:rPr>
                        <w:rFonts w:ascii="Cambria Math" w:hAnsi="Cambria Math"/>
                      </w:rPr>
                      <m:t>T</m:t>
                    </m:r>
                  </m:sup>
                </m:sSubSup>
                <m:r>
                  <w:rPr>
                    <w:rFonts w:ascii="Cambria Math" w:hAnsi="Cambria Math"/>
                  </w:rPr>
                  <m:t>,vec</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,1</m:t>
                            </m:r>
                          </m:sub>
                        </m:sSub>
                      </m:e>
                    </m:d>
                  </m:e>
                  <m:sup>
                    <m:r>
                      <w:rPr>
                        <w:rFonts w:ascii="Cambria Math" w:hAnsi="Cambria Math"/>
                      </w:rPr>
                      <m:t>T</m:t>
                    </m:r>
                  </m:sup>
                </m:sSup>
                <m:r>
                  <w:rPr>
                    <w:rFonts w:ascii="Cambria Math" w:hAnsi="Cambria Math"/>
                  </w:rPr>
                  <m:t>…ec</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rPr>
                            </m:ctrlPr>
                          </m:sSubPr>
                          <m:e>
                            <m:r>
                              <m:rPr>
                                <m:sty m:val="p"/>
                              </m:rPr>
                              <w:rPr>
                                <w:rFonts w:ascii="Cambria Math" w:hAnsi="Cambria Math"/>
                              </w:rPr>
                              <m:t>Β</m:t>
                            </m:r>
                          </m:e>
                          <m:sub>
                            <m:r>
                              <w:rPr>
                                <w:rFonts w:ascii="Cambria Math" w:hAnsi="Cambria Math"/>
                              </w:rPr>
                              <m:t>t</m:t>
                            </m:r>
                            <m:r>
                              <m:rPr>
                                <m:sty m:val="p"/>
                              </m:rPr>
                              <w:rPr>
                                <w:rFonts w:ascii="Cambria Math" w:hAnsi="Cambria Math"/>
                              </w:rPr>
                              <m:t>,p</m:t>
                            </m:r>
                          </m:sub>
                        </m:sSub>
                      </m:e>
                    </m:d>
                  </m:e>
                  <m:sup>
                    <m:r>
                      <w:rPr>
                        <w:rFonts w:ascii="Cambria Math" w:hAnsi="Cambria Math"/>
                      </w:rPr>
                      <m:t>T</m:t>
                    </m:r>
                  </m:sup>
                </m:sSup>
              </m:e>
            </m:d>
          </m:e>
          <m:sup>
            <m:r>
              <w:rPr>
                <w:rFonts w:ascii="Cambria Math" w:hAnsi="Cambria Math"/>
              </w:rPr>
              <m:t>T</m:t>
            </m:r>
          </m:sup>
        </m:sSup>
      </m:oMath>
      <w:r w:rsidR="00E67522">
        <w:rPr>
          <w:iCs/>
        </w:rPr>
        <w:t xml:space="preserve"> to track the </w:t>
      </w:r>
      <w:r w:rsidR="00E67522" w:rsidRPr="009566AF">
        <w:t>time-varying</w:t>
      </w:r>
      <w:r w:rsidR="00E67522">
        <w:rPr>
          <w:iCs/>
        </w:rPr>
        <w:t xml:space="preserve"> </w:t>
      </w:r>
      <w:r w:rsidR="00E67522" w:rsidRPr="00E67522">
        <w:rPr>
          <w:iCs/>
        </w:rPr>
        <w:t>properties</w:t>
      </w:r>
      <w:r w:rsidR="00E67522">
        <w:rPr>
          <w:iCs/>
        </w:rPr>
        <w:t xml:space="preserve"> of the </w:t>
      </w:r>
      <w:r w:rsidR="00E67522" w:rsidRPr="00E67522">
        <w:rPr>
          <w:iCs/>
        </w:rPr>
        <w:t>parameters</w:t>
      </w:r>
      <w:r w:rsidR="00E67522">
        <w:rPr>
          <w:iCs/>
        </w:rPr>
        <w:t>.</w:t>
      </w:r>
      <w:r w:rsidR="00E67522">
        <w:t xml:space="preserve"> Finally, the error terms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00CB280A">
        <w:t>,</w:t>
      </w:r>
      <w:r w:rsidR="00CB280A" w:rsidRPr="00CB280A">
        <w:t xml:space="preserve"> </w:t>
      </w:r>
      <m:oMath>
        <m:sSub>
          <m:sSubPr>
            <m:ctrlPr>
              <w:rPr>
                <w:rFonts w:ascii="Cambria Math" w:hAnsi="Cambria Math"/>
              </w:rPr>
            </m:ctrlPr>
          </m:sSubPr>
          <m:e>
            <m:r>
              <w:rPr>
                <w:rFonts w:ascii="Cambria Math" w:hAnsi="Cambria Math"/>
              </w:rPr>
              <m:t>ϵ</m:t>
            </m:r>
          </m:e>
          <m:sub>
            <m:r>
              <w:rPr>
                <w:rFonts w:ascii="Cambria Math" w:hAnsi="Cambria Math"/>
              </w:rPr>
              <m:t>t</m:t>
            </m:r>
          </m:sub>
        </m:sSub>
      </m:oMath>
      <w:r w:rsidR="00CB280A" w:rsidRPr="00CB280A">
        <w:t xml:space="preserve">, </w:t>
      </w:r>
      <m:oMath>
        <m:sSub>
          <m:sSubPr>
            <m:ctrlPr>
              <w:rPr>
                <w:rFonts w:ascii="Cambria Math" w:hAnsi="Cambria Math"/>
              </w:rPr>
            </m:ctrlPr>
          </m:sSubPr>
          <m:e>
            <m:r>
              <w:rPr>
                <w:rFonts w:ascii="Cambria Math" w:hAnsi="Cambria Math"/>
              </w:rPr>
              <m:t>θ</m:t>
            </m:r>
          </m:e>
          <m:sub>
            <m:r>
              <w:rPr>
                <w:rFonts w:ascii="Cambria Math" w:hAnsi="Cambria Math"/>
              </w:rPr>
              <m:t>t</m:t>
            </m:r>
          </m:sub>
        </m:sSub>
      </m:oMath>
      <w:r w:rsidR="00CB280A" w:rsidRPr="00CB280A">
        <w:t xml:space="preserve"> and </w:t>
      </w:r>
      <m:oMath>
        <m:sSub>
          <m:sSubPr>
            <m:ctrlPr>
              <w:rPr>
                <w:rFonts w:ascii="Cambria Math" w:hAnsi="Cambria Math"/>
                <w:i/>
                <w:iCs/>
              </w:rPr>
            </m:ctrlPr>
          </m:sSubPr>
          <m:e>
            <m:r>
              <w:rPr>
                <w:rFonts w:ascii="Cambria Math" w:hAnsi="Cambria Math"/>
              </w:rPr>
              <m:t>η</m:t>
            </m:r>
          </m:e>
          <m:sub>
            <m:r>
              <w:rPr>
                <w:rFonts w:ascii="Cambria Math" w:hAnsi="Cambria Math"/>
              </w:rPr>
              <m:t>t</m:t>
            </m:r>
          </m:sub>
        </m:sSub>
      </m:oMath>
      <w:r w:rsidR="00CB280A">
        <w:rPr>
          <w:iCs/>
        </w:rPr>
        <w:t xml:space="preserve"> are </w:t>
      </w:r>
      <w:r w:rsidR="00CB280A">
        <w:t xml:space="preserve">zero-mean gaussian disturbances. Their covariances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CB280A">
        <w:t xml:space="preserv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00CB280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rsidR="00CB280A">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CB280A">
        <w:t xml:space="preserve"> may also change over time.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CB280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rsidR="00CB280A">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CB280A">
        <w:t xml:space="preserve"> </w:t>
      </w:r>
      <w:r w:rsidR="00E67522">
        <w:t>are diagonal, thus the disturbance terms are uncorrelated with each other.</w:t>
      </w:r>
    </w:p>
    <w:p w14:paraId="11E4CDCE" w14:textId="5B72B03D" w:rsidR="001C32C5" w:rsidRDefault="001C32C5" w:rsidP="001C32C5">
      <w:pPr>
        <w:ind w:firstLine="284"/>
      </w:pPr>
      <w:r>
        <w:t xml:space="preserve">To estimate the model a 3-step algorithm is used. First, we initialize the parameters, and estimate the </w:t>
      </w:r>
      <w:r w:rsidRPr="001C32C5">
        <w:t>principal component analysis</w:t>
      </w:r>
      <w:r>
        <w:t xml:space="preserve"> (PCA) based </w:t>
      </w:r>
      <m:oMath>
        <m:sSubSup>
          <m:sSubSupPr>
            <m:ctrlPr>
              <w:rPr>
                <w:rFonts w:ascii="Cambria Math" w:hAnsi="Cambria Math"/>
                <w:i/>
              </w:rPr>
            </m:ctrlPr>
          </m:sSubSupPr>
          <m:e>
            <m:r>
              <w:rPr>
                <w:rFonts w:ascii="Cambria Math" w:hAnsi="Cambria Math"/>
              </w:rPr>
              <m:t>f</m:t>
            </m:r>
            <m:ctrlPr>
              <w:rPr>
                <w:rFonts w:ascii="Cambria Math" w:hAnsi="Cambria Math"/>
                <w:i/>
                <w:iCs/>
              </w:rPr>
            </m:ctrlPr>
          </m:e>
          <m:sub>
            <m:r>
              <w:rPr>
                <w:rFonts w:ascii="Cambria Math" w:hAnsi="Cambria Math"/>
              </w:rPr>
              <m:t>t</m:t>
            </m:r>
            <m:ctrlPr>
              <w:rPr>
                <w:rFonts w:ascii="Cambria Math" w:hAnsi="Cambria Math"/>
                <w:i/>
                <w:iCs/>
              </w:rPr>
            </m:ctrlPr>
          </m:sub>
          <m:sup>
            <m:r>
              <w:rPr>
                <w:rFonts w:ascii="Cambria Math" w:hAnsi="Cambria Math"/>
              </w:rPr>
              <m:t>*</m:t>
            </m:r>
          </m:sup>
        </m:sSubSup>
      </m:oMath>
      <w:r>
        <w:t xml:space="preserve">. Next, we use this </w:t>
      </w:r>
      <m:oMath>
        <m:sSubSup>
          <m:sSubSupPr>
            <m:ctrlPr>
              <w:rPr>
                <w:rFonts w:ascii="Cambria Math" w:hAnsi="Cambria Math"/>
                <w:i/>
              </w:rPr>
            </m:ctrlPr>
          </m:sSubSupPr>
          <m:e>
            <m:r>
              <w:rPr>
                <w:rFonts w:ascii="Cambria Math" w:hAnsi="Cambria Math"/>
              </w:rPr>
              <m:t>f</m:t>
            </m:r>
            <m:ctrlPr>
              <w:rPr>
                <w:rFonts w:ascii="Cambria Math" w:hAnsi="Cambria Math"/>
                <w:i/>
                <w:iCs/>
              </w:rPr>
            </m:ctrlPr>
          </m:e>
          <m:sub>
            <m:r>
              <w:rPr>
                <w:rFonts w:ascii="Cambria Math" w:hAnsi="Cambria Math"/>
              </w:rPr>
              <m:t>t</m:t>
            </m:r>
            <m:ctrlPr>
              <w:rPr>
                <w:rFonts w:ascii="Cambria Math" w:hAnsi="Cambria Math"/>
                <w:i/>
                <w:iCs/>
              </w:rPr>
            </m:ctrlPr>
          </m:sub>
          <m:sup>
            <m:r>
              <w:rPr>
                <w:rFonts w:ascii="Cambria Math" w:hAnsi="Cambria Math"/>
              </w:rPr>
              <m:t>*</m:t>
            </m:r>
          </m:sup>
        </m:sSubSup>
      </m:oMath>
      <w:r>
        <w:t xml:space="preserve"> to obtain our </w:t>
      </w:r>
      <w:r w:rsidRPr="009566AF">
        <w:t>time-varying</w:t>
      </w:r>
      <w:r>
        <w:t xml:space="preserve"> </w:t>
      </w:r>
      <w:r w:rsidRPr="00E67522">
        <w:rPr>
          <w:iCs/>
        </w:rPr>
        <w:t>parameters</w:t>
      </w:r>
      <w:r>
        <w:rPr>
          <w:iCs/>
        </w:rPr>
        <w:t xml:space="preserve">. We then use </w:t>
      </w:r>
      <w:r w:rsidR="00601246">
        <w:rPr>
          <w:iCs/>
        </w:rPr>
        <w:t>the “</w:t>
      </w:r>
      <w:r>
        <w:t>Variance Discounting</w:t>
      </w:r>
      <w:r w:rsidR="00601246">
        <w:t>”</w:t>
      </w:r>
      <w:r w:rsidR="00251F75">
        <w:t xml:space="preserve"> (VD)</w:t>
      </w:r>
      <w:r>
        <w:t xml:space="preserve"> </w:t>
      </w:r>
      <w:r w:rsidR="00251F75">
        <w:t xml:space="preserve">method proposed by the authors </w:t>
      </w:r>
      <w:sdt>
        <w:sdtPr>
          <w:id w:val="-1159526145"/>
          <w:citation/>
        </w:sdtPr>
        <w:sdtContent>
          <w:r w:rsidR="00251F75">
            <w:fldChar w:fldCharType="begin"/>
          </w:r>
          <w:r w:rsidR="00251F75">
            <w:instrText xml:space="preserve"> CITATION Koo14 \l 1033 </w:instrText>
          </w:r>
          <w:r w:rsidR="00251F75">
            <w:fldChar w:fldCharType="separate"/>
          </w:r>
          <w:r w:rsidR="00B97B98">
            <w:rPr>
              <w:noProof/>
            </w:rPr>
            <w:t>(Koop &amp; Korobilis, 2014)</w:t>
          </w:r>
          <w:r w:rsidR="00251F75">
            <w:fldChar w:fldCharType="end"/>
          </w:r>
        </w:sdtContent>
      </w:sdt>
      <w:r>
        <w:t xml:space="preserve"> to estimate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t xml:space="preserve"> and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Using these disturbances, we can then estimate the actual </w:t>
      </w:r>
      <m:oMath>
        <m:sSub>
          <m:sSubPr>
            <m:ctrlPr>
              <w:rPr>
                <w:rFonts w:ascii="Cambria Math" w:hAnsi="Cambria Math"/>
                <w:i/>
                <w:iCs/>
              </w:rPr>
            </m:ctrlPr>
          </m:sSubPr>
          <m:e>
            <m:r>
              <w:rPr>
                <w:rFonts w:ascii="Cambria Math" w:hAnsi="Cambria Math"/>
              </w:rPr>
              <m:t>λ</m:t>
            </m:r>
          </m:e>
          <m:sub>
            <m:r>
              <w:rPr>
                <w:rFonts w:ascii="Cambria Math" w:hAnsi="Cambria Math"/>
              </w:rPr>
              <m:t>t</m:t>
            </m:r>
          </m:sub>
        </m:sSub>
      </m:oMath>
      <w:r>
        <w:rPr>
          <w:iCs/>
        </w:rPr>
        <w:t xml:space="preserve"> and </w:t>
      </w:r>
      <m:oMath>
        <m:sSub>
          <m:sSubPr>
            <m:ctrlPr>
              <w:rPr>
                <w:rFonts w:ascii="Cambria Math" w:hAnsi="Cambria Math"/>
                <w:i/>
                <w:iCs/>
              </w:rPr>
            </m:ctrlPr>
          </m:sSubPr>
          <m:e>
            <m:r>
              <w:rPr>
                <w:rFonts w:ascii="Cambria Math" w:hAnsi="Cambria Math"/>
              </w:rPr>
              <m:t>β</m:t>
            </m:r>
          </m:e>
          <m:sub>
            <m:r>
              <w:rPr>
                <w:rFonts w:ascii="Cambria Math" w:hAnsi="Cambria Math"/>
              </w:rPr>
              <m:t>t</m:t>
            </m:r>
          </m:sub>
        </m:sSub>
      </m:oMath>
      <w:r>
        <w:rPr>
          <w:iCs/>
        </w:rPr>
        <w:t xml:space="preserve"> using Kalman filtering and smoothing (KFS). Finally, we use the </w:t>
      </w:r>
      <w:r w:rsidRPr="009566AF">
        <w:t>time-varying</w:t>
      </w:r>
      <w:r>
        <w:rPr>
          <w:iCs/>
        </w:rPr>
        <w:t xml:space="preserve"> </w:t>
      </w:r>
      <w:r w:rsidRPr="00CB280A">
        <w:t>coefficients</w:t>
      </w:r>
      <w:r>
        <w:t xml:space="preserve"> to generate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t xml:space="preserve"> using KFS.</w:t>
      </w:r>
    </w:p>
    <w:p w14:paraId="719337AD" w14:textId="1890A8B9" w:rsidR="00532EB5" w:rsidRDefault="00532EB5" w:rsidP="00532EB5">
      <w:pPr>
        <w:pStyle w:val="SectionHeading"/>
        <w:numPr>
          <w:ilvl w:val="1"/>
          <w:numId w:val="9"/>
        </w:numPr>
      </w:pPr>
      <w:r w:rsidRPr="00532EB5">
        <w:lastRenderedPageBreak/>
        <w:t>Financial cycle index</w:t>
      </w:r>
    </w:p>
    <w:p w14:paraId="3067C570" w14:textId="5C58A428" w:rsidR="001B2444" w:rsidRDefault="009D0768" w:rsidP="001B2444">
      <w:pPr>
        <w:ind w:firstLine="284"/>
      </w:pPr>
      <w:r>
        <w:t xml:space="preserve">The financial cycle index is an aggregate of different variables related to loan loss. These include credit-to-GDP gap, private and corporate loan flows, real estate prices, and so on. Formally, </w:t>
      </w:r>
      <w:sdt>
        <w:sdtPr>
          <w:id w:val="587652401"/>
          <w:citation/>
        </w:sdtPr>
        <w:sdtContent>
          <w:r w:rsidR="001B2444">
            <w:fldChar w:fldCharType="begin"/>
          </w:r>
          <w:r w:rsidR="001B2444">
            <w:instrText xml:space="preserve"> CITATION Hol12 \l 1033 </w:instrText>
          </w:r>
          <w:r w:rsidR="001B2444">
            <w:fldChar w:fldCharType="separate"/>
          </w:r>
          <w:r w:rsidR="00B97B98">
            <w:rPr>
              <w:noProof/>
            </w:rPr>
            <w:t>(Holló, Kremer, &amp; Lo Duca, 2012)</w:t>
          </w:r>
          <w:r w:rsidR="001B2444">
            <w:fldChar w:fldCharType="end"/>
          </w:r>
        </w:sdtContent>
      </w:sdt>
      <w:r w:rsidR="001B2444">
        <w:t xml:space="preserve"> the aggregation can be expressed as:</w:t>
      </w:r>
    </w:p>
    <w:p w14:paraId="13277AE9" w14:textId="46AE9C14" w:rsidR="001B2444" w:rsidRPr="001B2444" w:rsidRDefault="00000000" w:rsidP="001B2444">
      <w:pPr>
        <w:ind w:firstLine="284"/>
      </w:pPr>
      <m:oMathPara>
        <m:oMath>
          <m:eqArr>
            <m:eqArrPr>
              <m:maxDist m:val="1"/>
              <m:ctrlPr>
                <w:rPr>
                  <w:rFonts w:ascii="Cambria Math" w:hAnsi="Cambria Math"/>
                </w:rPr>
              </m:ctrlPr>
            </m:eqArrPr>
            <m:e>
              <m:r>
                <w:rPr>
                  <w:rFonts w:ascii="Cambria Math" w:hAnsi="Cambria Math"/>
                </w:rPr>
                <m:t>FCy</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e>
                <m:sup>
                  <m:r>
                    <w:rPr>
                      <w:rFonts w:ascii="Cambria Math" w:hAnsi="Cambria Math"/>
                    </w:rPr>
                    <m:t>T</m:t>
                  </m:r>
                </m:sup>
              </m:sSup>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8</m:t>
                  </m:r>
                </m:e>
              </m:d>
            </m:e>
          </m:eqArr>
        </m:oMath>
      </m:oMathPara>
    </w:p>
    <w:p w14:paraId="55F289DD" w14:textId="2F180948" w:rsidR="009519F4" w:rsidRPr="00CB280A" w:rsidRDefault="009519F4" w:rsidP="009519F4">
      <w:pPr>
        <w:ind w:firstLine="284"/>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the vector of </w:t>
      </w:r>
      <w:r w:rsidRPr="009519F4">
        <w:t>exogenous</w:t>
      </w:r>
      <w:r>
        <w:t xml:space="preserve"> indicators at time t and w is a vector showing the relative importance of the values in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The expression </w:t>
      </w:r>
      <m:oMath>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w:r>
        <w:t xml:space="preserve"> is the Hadamard-product between the vectors (</w:t>
      </w:r>
      <w:r w:rsidRPr="009519F4">
        <w:t>element-wise multiplication</w:t>
      </w:r>
      <w:r>
        <w:t xml:space="preserve">). The matrix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contains values of the cross-correlation coefficients for the indicators at time t. The matrix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is estimated recursively using an exponentially weighted moving average (EWMA) process</w:t>
      </w:r>
      <w:r w:rsidR="00E27D1E">
        <w:t xml:space="preserve">, </w:t>
      </w:r>
      <w:r w:rsidR="00E27D1E" w:rsidRPr="00E27D1E">
        <w:t>utilizing</w:t>
      </w:r>
      <w:r w:rsidR="00E27D1E">
        <w:t xml:space="preserve"> the previous variance and covariance values as a base. Finally, the relative weights </w:t>
      </w:r>
      <m:oMath>
        <m:r>
          <w:rPr>
            <w:rFonts w:ascii="Cambria Math" w:hAnsi="Cambria Math"/>
          </w:rPr>
          <m:t>w</m:t>
        </m:r>
      </m:oMath>
      <w:r w:rsidR="00E27D1E">
        <w:t xml:space="preserve"> are determined by running a constrained optimization to find the </w:t>
      </w:r>
      <m:oMath>
        <m:r>
          <w:rPr>
            <w:rFonts w:ascii="Cambria Math" w:hAnsi="Cambria Math"/>
          </w:rPr>
          <m:t>FCy</m:t>
        </m:r>
        <m:sSub>
          <m:sSubPr>
            <m:ctrlPr>
              <w:rPr>
                <w:rFonts w:ascii="Cambria Math" w:hAnsi="Cambria Math"/>
              </w:rPr>
            </m:ctrlPr>
          </m:sSubPr>
          <m:e>
            <m:r>
              <w:rPr>
                <w:rFonts w:ascii="Cambria Math" w:hAnsi="Cambria Math"/>
              </w:rPr>
              <m:t>I</m:t>
            </m:r>
          </m:e>
          <m:sub>
            <m:r>
              <w:rPr>
                <w:rFonts w:ascii="Cambria Math" w:hAnsi="Cambria Math"/>
              </w:rPr>
              <m:t>t</m:t>
            </m:r>
          </m:sub>
        </m:sSub>
      </m:oMath>
      <w:r w:rsidR="00E27D1E">
        <w:t xml:space="preserve"> that provides the best predictions for future loan loss impairments</w:t>
      </w:r>
      <w:r w:rsidR="008C185F">
        <w:t xml:space="preserve"> </w:t>
      </w:r>
      <w:sdt>
        <w:sdtPr>
          <w:id w:val="1518737589"/>
          <w:citation/>
        </w:sdtPr>
        <w:sdtContent>
          <w:r w:rsidR="008C185F">
            <w:fldChar w:fldCharType="begin"/>
          </w:r>
          <w:r w:rsidR="008C185F">
            <w:instrText xml:space="preserve"> CITATION Pla14 \l 1033 </w:instrText>
          </w:r>
          <w:r w:rsidR="008C185F">
            <w:fldChar w:fldCharType="separate"/>
          </w:r>
          <w:r w:rsidR="00B97B98">
            <w:rPr>
              <w:noProof/>
            </w:rPr>
            <w:t>(Plašil, Seidler, Hlaváč, &amp; Konečný, 2014)</w:t>
          </w:r>
          <w:r w:rsidR="008C185F">
            <w:fldChar w:fldCharType="end"/>
          </w:r>
        </w:sdtContent>
      </w:sdt>
      <w:r w:rsidR="00E27D1E">
        <w:t>.</w:t>
      </w:r>
    </w:p>
    <w:p w14:paraId="4808FF5B" w14:textId="0BA54276" w:rsidR="00646075" w:rsidRDefault="001E35CC" w:rsidP="00646075">
      <w:pPr>
        <w:pStyle w:val="SectionHeading"/>
        <w:numPr>
          <w:ilvl w:val="1"/>
          <w:numId w:val="9"/>
        </w:numPr>
      </w:pPr>
      <w:r>
        <w:t>Q</w:t>
      </w:r>
      <w:r w:rsidR="00646075">
        <w:t>uantile regression for Armenia</w:t>
      </w:r>
    </w:p>
    <w:p w14:paraId="2938FAFB" w14:textId="3BEB4196" w:rsidR="00646075" w:rsidRDefault="006C28DF" w:rsidP="00D20F22">
      <w:pPr>
        <w:ind w:firstLine="284"/>
      </w:pPr>
      <w:r>
        <w:t>The baseline quantile regression model for the Armenian economic takes the form:</w:t>
      </w:r>
    </w:p>
    <w:p w14:paraId="0954D15D" w14:textId="750AFE5F" w:rsidR="0012152B" w:rsidRPr="0012152B" w:rsidRDefault="00000000" w:rsidP="006C28DF">
      <m:oMathPara>
        <m:oMath>
          <m:sSub>
            <m:sSubPr>
              <m:ctrlPr>
                <w:rPr>
                  <w:rFonts w:ascii="Cambria Math" w:hAnsi="Cambria Math"/>
                  <w:i/>
                </w:rPr>
              </m:ctrlPr>
            </m:sSubPr>
            <m:e>
              <m:r>
                <w:rPr>
                  <w:rFonts w:ascii="Cambria Math" w:hAnsi="Cambria Math"/>
                </w:rPr>
                <m:t>y</m:t>
              </m:r>
            </m:e>
            <m:sub>
              <m:r>
                <w:rPr>
                  <w:rFonts w:ascii="Cambria Math" w:hAnsi="Cambria Math"/>
                </w:rPr>
                <m:t>t+h</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1,τ</m:t>
              </m:r>
            </m:sub>
          </m:sSub>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2,τ</m:t>
              </m:r>
            </m:sub>
          </m:sSub>
          <m:sSub>
            <m:sSubPr>
              <m:ctrlPr>
                <w:rPr>
                  <w:rFonts w:ascii="Cambria Math" w:hAnsi="Cambria Math"/>
                  <w:i/>
                </w:rPr>
              </m:ctrlPr>
            </m:sSubPr>
            <m:e>
              <m:r>
                <w:rPr>
                  <w:rFonts w:ascii="Cambria Math" w:hAnsi="Cambria Math"/>
                </w:rPr>
                <m:t>FCyI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3,τ</m:t>
              </m:r>
            </m:sub>
          </m:sSub>
          <m:sSub>
            <m:sSubPr>
              <m:ctrlPr>
                <w:rPr>
                  <w:rFonts w:ascii="Cambria Math" w:hAnsi="Cambria Math"/>
                  <w:i/>
                </w:rPr>
              </m:ctrlPr>
            </m:sSubPr>
            <m:e>
              <m:r>
                <w:rPr>
                  <w:rFonts w:ascii="Cambria Math" w:hAnsi="Cambria Math"/>
                </w:rPr>
                <m:t>FCI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4,τ</m:t>
              </m:r>
            </m:sub>
          </m:sSub>
          <m:sSub>
            <m:sSubPr>
              <m:ctrlPr>
                <w:rPr>
                  <w:rFonts w:ascii="Cambria Math" w:hAnsi="Cambria Math"/>
                  <w:i/>
                </w:rPr>
              </m:ctrlPr>
            </m:sSubPr>
            <m:e>
              <m:r>
                <w:rPr>
                  <w:rFonts w:ascii="Cambria Math" w:hAnsi="Cambria Math"/>
                </w:rPr>
                <m:t>CI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5,τ</m:t>
              </m:r>
            </m:sub>
          </m:sSub>
          <m:sSub>
            <m:sSubPr>
              <m:ctrlPr>
                <w:rPr>
                  <w:rFonts w:ascii="Cambria Math" w:hAnsi="Cambria Math"/>
                  <w:i/>
                </w:rPr>
              </m:ctrlPr>
            </m:sSubPr>
            <m:e>
              <m:r>
                <w:rPr>
                  <w:rFonts w:ascii="Cambria Math" w:hAnsi="Cambria Math"/>
                </w:rPr>
                <m:t>MPI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6,τ</m:t>
              </m:r>
            </m:sub>
          </m:sSub>
          <m:sSub>
            <m:sSubPr>
              <m:ctrlPr>
                <w:rPr>
                  <w:rFonts w:ascii="Cambria Math" w:hAnsi="Cambria Math"/>
                  <w:i/>
                </w:rPr>
              </m:ctrlPr>
            </m:sSubPr>
            <m:e>
              <m:r>
                <w:rPr>
                  <w:rFonts w:ascii="Cambria Math" w:hAnsi="Cambria Math"/>
                </w:rPr>
                <m:t>CAR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7,τ</m:t>
              </m:r>
            </m:sub>
          </m:sSub>
          <m:sSub>
            <m:sSubPr>
              <m:ctrlPr>
                <w:rPr>
                  <w:rFonts w:ascii="Cambria Math" w:hAnsi="Cambria Math"/>
                  <w:i/>
                </w:rPr>
              </m:ctrlPr>
            </m:sSubPr>
            <m:e>
              <m:r>
                <w:rPr>
                  <w:rFonts w:ascii="Cambria Math" w:hAnsi="Cambria Math"/>
                </w:rPr>
                <m:t>LR</m:t>
              </m:r>
            </m:e>
            <m:sub>
              <m:r>
                <w:rPr>
                  <w:rFonts w:ascii="Cambria Math" w:hAnsi="Cambria Math"/>
                </w:rPr>
                <m:t>t</m:t>
              </m:r>
            </m:sub>
          </m:sSub>
          <m:r>
            <w:rPr>
              <w:rFonts w:ascii="Cambria Math" w:hAnsi="Cambria Math"/>
            </w:rPr>
            <m:t>+</m:t>
          </m:r>
          <m:r>
            <m:rPr>
              <m:sty m:val="p"/>
            </m:rPr>
            <w:rPr>
              <w:rFonts w:ascii="Cambria Math" w:hAnsi="Cambria Math"/>
            </w:rPr>
            <w:br/>
          </m:r>
        </m:oMath>
        <m:oMath>
          <m:eqArr>
            <m:eqArrPr>
              <m:maxDist m:val="1"/>
              <m:ctrlPr>
                <w:rPr>
                  <w:rFonts w:ascii="Cambria Math" w:hAnsi="Cambria Math"/>
                  <w:i/>
                </w:rPr>
              </m:ctrlPr>
            </m:eqArr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8,τ</m:t>
                  </m:r>
                </m:sub>
              </m:sSub>
              <m:sSub>
                <m:sSubPr>
                  <m:ctrlPr>
                    <w:rPr>
                      <w:rFonts w:ascii="Cambria Math" w:hAnsi="Cambria Math"/>
                      <w:i/>
                    </w:rPr>
                  </m:ctrlPr>
                </m:sSubPr>
                <m:e>
                  <m:r>
                    <w:rPr>
                      <w:rFonts w:ascii="Cambria Math" w:hAnsi="Cambria Math"/>
                    </w:rPr>
                    <m:t>CPI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9,τ</m:t>
                  </m:r>
                </m:sub>
              </m:sSub>
              <m:sSub>
                <m:sSubPr>
                  <m:ctrlPr>
                    <w:rPr>
                      <w:rFonts w:ascii="Cambria Math" w:hAnsi="Cambria Math"/>
                      <w:i/>
                    </w:rPr>
                  </m:ctrlPr>
                </m:sSubPr>
                <m:e>
                  <m:r>
                    <w:rPr>
                      <w:rFonts w:ascii="Cambria Math" w:hAnsi="Cambria Math"/>
                    </w:rPr>
                    <m:t>TB</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10,τ</m:t>
                  </m:r>
                </m:sub>
              </m:sSub>
              <m:sSub>
                <m:sSubPr>
                  <m:ctrlPr>
                    <w:rPr>
                      <w:rFonts w:ascii="Cambria Math" w:hAnsi="Cambria Math"/>
                      <w:i/>
                    </w:rPr>
                  </m:ctrlPr>
                </m:sSubPr>
                <m:e>
                  <m:r>
                    <w:rPr>
                      <w:rFonts w:ascii="Cambria Math" w:hAnsi="Cambria Math"/>
                    </w:rPr>
                    <m:t>CP</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11,τ</m:t>
                  </m:r>
                </m:sub>
              </m:sSub>
              <m:sSub>
                <m:sSubPr>
                  <m:ctrlPr>
                    <w:rPr>
                      <w:rFonts w:ascii="Cambria Math" w:hAnsi="Cambria Math"/>
                      <w:i/>
                    </w:rPr>
                  </m:ctrlPr>
                </m:sSubPr>
                <m:e>
                  <m:r>
                    <w:rPr>
                      <w:rFonts w:ascii="Cambria Math" w:hAnsi="Cambria Math"/>
                    </w:rPr>
                    <m:t>REER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12,τ</m:t>
                  </m:r>
                </m:sub>
              </m:sSub>
              <m:sSub>
                <m:sSubPr>
                  <m:ctrlPr>
                    <w:rPr>
                      <w:rFonts w:ascii="Cambria Math" w:hAnsi="Cambria Math"/>
                      <w:i/>
                    </w:rPr>
                  </m:ctrlPr>
                </m:sSubPr>
                <m:e>
                  <m:r>
                    <w:rPr>
                      <w:rFonts w:ascii="Cambria Math" w:hAnsi="Cambria Math"/>
                    </w:rPr>
                    <m:t>MF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13,τ</m:t>
                  </m:r>
                </m:sub>
              </m:sSub>
              <m:sSub>
                <m:sSubPr>
                  <m:ctrlPr>
                    <w:rPr>
                      <w:rFonts w:ascii="Cambria Math" w:hAnsi="Cambria Math"/>
                      <w:i/>
                    </w:rPr>
                  </m:ctrlPr>
                </m:sSubPr>
                <m:e>
                  <m:r>
                    <w:rPr>
                      <w:rFonts w:ascii="Cambria Math" w:hAnsi="Cambria Math"/>
                    </w:rPr>
                    <m:t>CL</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9</m:t>
                  </m:r>
                </m:e>
              </m:d>
            </m:e>
          </m:eqArr>
        </m:oMath>
      </m:oMathPara>
    </w:p>
    <w:p w14:paraId="2D1F292A" w14:textId="77777777" w:rsidR="00D20F22" w:rsidRDefault="00CE4019" w:rsidP="006C28DF">
      <w:r>
        <w:t xml:space="preserve">In this </w:t>
      </w:r>
      <w:r w:rsidRPr="00CE4019">
        <w:t>specification</w:t>
      </w:r>
      <w:r>
        <w:t xml:space="preserve"> </w:t>
      </w:r>
      <m:oMath>
        <m:sSub>
          <m:sSubPr>
            <m:ctrlPr>
              <w:rPr>
                <w:rFonts w:ascii="Cambria Math" w:hAnsi="Cambria Math"/>
                <w:i/>
              </w:rPr>
            </m:ctrlPr>
          </m:sSubPr>
          <m:e>
            <m:r>
              <w:rPr>
                <w:rFonts w:ascii="Cambria Math" w:hAnsi="Cambria Math"/>
              </w:rPr>
              <m:t>y</m:t>
            </m:r>
          </m:e>
          <m:sub>
            <m:r>
              <w:rPr>
                <w:rFonts w:ascii="Cambria Math" w:hAnsi="Cambria Math"/>
              </w:rPr>
              <m:t>t+h</m:t>
            </m:r>
          </m:sub>
        </m:sSub>
      </m:oMath>
      <w:r w:rsidR="007C0416">
        <w:t xml:space="preserve"> is the annualized average growth rate of real GDP at </w:t>
      </w:r>
      <m:oMath>
        <m:r>
          <w:rPr>
            <w:rFonts w:ascii="Cambria Math" w:hAnsi="Cambria Math"/>
          </w:rPr>
          <m:t>t+h</m:t>
        </m:r>
      </m:oMath>
      <w:r w:rsidR="007C0416">
        <w:t xml:space="preserve"> quarters ahead. The </w:t>
      </w:r>
      <m:oMath>
        <m:sSub>
          <m:sSubPr>
            <m:ctrlPr>
              <w:rPr>
                <w:rFonts w:ascii="Cambria Math" w:hAnsi="Cambria Math"/>
                <w:i/>
              </w:rPr>
            </m:ctrlPr>
          </m:sSubPr>
          <m:e>
            <m:r>
              <w:rPr>
                <w:rFonts w:ascii="Cambria Math" w:hAnsi="Cambria Math"/>
              </w:rPr>
              <m:t>α</m:t>
            </m:r>
          </m:e>
          <m:sub>
            <m:r>
              <w:rPr>
                <w:rFonts w:ascii="Cambria Math" w:hAnsi="Cambria Math"/>
              </w:rPr>
              <m:t>τ</m:t>
            </m:r>
          </m:sub>
        </m:sSub>
      </m:oMath>
      <w:r w:rsidR="007C0416">
        <w:t xml:space="preserve"> is an intercept,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7C0416">
        <w:t xml:space="preserve"> is the </w:t>
      </w:r>
      <w:r w:rsidR="007C0416" w:rsidRPr="007C0416">
        <w:t>autoregressive component</w:t>
      </w:r>
      <w:r w:rsidR="007C0416">
        <w:t xml:space="preserve">, </w:t>
      </w:r>
      <m:oMath>
        <m:sSub>
          <m:sSubPr>
            <m:ctrlPr>
              <w:rPr>
                <w:rFonts w:ascii="Cambria Math" w:hAnsi="Cambria Math"/>
                <w:i/>
              </w:rPr>
            </m:ctrlPr>
          </m:sSubPr>
          <m:e>
            <m:r>
              <w:rPr>
                <w:rFonts w:ascii="Cambria Math" w:hAnsi="Cambria Math"/>
              </w:rPr>
              <m:t>FCyI</m:t>
            </m:r>
          </m:e>
          <m:sub>
            <m:r>
              <w:rPr>
                <w:rFonts w:ascii="Cambria Math" w:hAnsi="Cambria Math"/>
              </w:rPr>
              <m:t>t</m:t>
            </m:r>
          </m:sub>
        </m:sSub>
      </m:oMath>
      <w:r w:rsidR="007C0416">
        <w:t xml:space="preserve"> </w:t>
      </w:r>
      <w:r w:rsidR="009D0768">
        <w:t xml:space="preserve">is the </w:t>
      </w:r>
      <w:r w:rsidR="009D0768" w:rsidRPr="009D0768">
        <w:t>financial cycle index</w:t>
      </w:r>
      <w:r w:rsidR="009D0768">
        <w:t xml:space="preserve">, </w:t>
      </w:r>
      <m:oMath>
        <m:sSub>
          <m:sSubPr>
            <m:ctrlPr>
              <w:rPr>
                <w:rFonts w:ascii="Cambria Math" w:hAnsi="Cambria Math"/>
                <w:i/>
              </w:rPr>
            </m:ctrlPr>
          </m:sSubPr>
          <m:e>
            <m:r>
              <w:rPr>
                <w:rFonts w:ascii="Cambria Math" w:hAnsi="Cambria Math"/>
              </w:rPr>
              <m:t>FCI</m:t>
            </m:r>
          </m:e>
          <m:sub>
            <m:r>
              <w:rPr>
                <w:rFonts w:ascii="Cambria Math" w:hAnsi="Cambria Math"/>
              </w:rPr>
              <m:t>t</m:t>
            </m:r>
          </m:sub>
        </m:sSub>
      </m:oMath>
      <w:r w:rsidR="003A12EA">
        <w:t xml:space="preserve"> is the </w:t>
      </w:r>
      <w:r w:rsidR="003A12EA" w:rsidRPr="009D0768">
        <w:t>financial</w:t>
      </w:r>
      <w:r w:rsidR="003A12EA">
        <w:t xml:space="preserve"> conditions index and </w:t>
      </w:r>
      <m:oMath>
        <m:sSub>
          <m:sSubPr>
            <m:ctrlPr>
              <w:rPr>
                <w:rFonts w:ascii="Cambria Math" w:hAnsi="Cambria Math"/>
                <w:i/>
              </w:rPr>
            </m:ctrlPr>
          </m:sSubPr>
          <m:e>
            <m:r>
              <w:rPr>
                <w:rFonts w:ascii="Cambria Math" w:hAnsi="Cambria Math"/>
              </w:rPr>
              <m:t>CI</m:t>
            </m:r>
          </m:e>
          <m:sub>
            <m:r>
              <w:rPr>
                <w:rFonts w:ascii="Cambria Math" w:hAnsi="Cambria Math"/>
              </w:rPr>
              <m:t>t</m:t>
            </m:r>
          </m:sub>
        </m:sSub>
        <m:r>
          <w:rPr>
            <w:rFonts w:ascii="Cambria Math" w:hAnsi="Cambria Math"/>
          </w:rPr>
          <m:t>=St</m:t>
        </m:r>
        <m:d>
          <m:dPr>
            <m:ctrlPr>
              <w:rPr>
                <w:rFonts w:ascii="Cambria Math" w:hAnsi="Cambria Math"/>
                <w:i/>
              </w:rPr>
            </m:ctrlPr>
          </m:dPr>
          <m:e>
            <m:sSub>
              <m:sSubPr>
                <m:ctrlPr>
                  <w:rPr>
                    <w:rFonts w:ascii="Cambria Math" w:hAnsi="Cambria Math"/>
                    <w:i/>
                  </w:rPr>
                </m:ctrlPr>
              </m:sSubPr>
              <m:e>
                <m:r>
                  <w:rPr>
                    <w:rFonts w:ascii="Cambria Math" w:hAnsi="Cambria Math"/>
                  </w:rPr>
                  <m:t>FCyI</m:t>
                </m:r>
              </m:e>
              <m:sub>
                <m:r>
                  <w:rPr>
                    <w:rFonts w:ascii="Cambria Math" w:hAnsi="Cambria Math"/>
                  </w:rPr>
                  <m:t>t</m:t>
                </m:r>
              </m:sub>
            </m:sSub>
          </m:e>
        </m:d>
        <m:r>
          <w:rPr>
            <w:rFonts w:ascii="Cambria Math" w:hAnsi="Cambria Math"/>
          </w:rPr>
          <m:t>*St(</m:t>
        </m:r>
        <m:sSub>
          <m:sSubPr>
            <m:ctrlPr>
              <w:rPr>
                <w:rFonts w:ascii="Cambria Math" w:hAnsi="Cambria Math"/>
                <w:i/>
              </w:rPr>
            </m:ctrlPr>
          </m:sSubPr>
          <m:e>
            <m:r>
              <w:rPr>
                <w:rFonts w:ascii="Cambria Math" w:hAnsi="Cambria Math"/>
              </w:rPr>
              <m:t>FCI</m:t>
            </m:r>
          </m:e>
          <m:sub>
            <m:r>
              <w:rPr>
                <w:rFonts w:ascii="Cambria Math" w:hAnsi="Cambria Math"/>
              </w:rPr>
              <m:t>t</m:t>
            </m:r>
          </m:sub>
        </m:sSub>
        <m:r>
          <w:rPr>
            <w:rFonts w:ascii="Cambria Math" w:hAnsi="Cambria Math"/>
          </w:rPr>
          <m:t>)</m:t>
        </m:r>
      </m:oMath>
      <w:r w:rsidR="003A12EA">
        <w:t xml:space="preserve"> is the “</w:t>
      </w:r>
      <w:r w:rsidR="003A12EA" w:rsidRPr="003A12EA">
        <w:t>crisis index</w:t>
      </w:r>
      <w:r w:rsidR="003A12EA">
        <w:t xml:space="preserve">,” which is the product between the </w:t>
      </w:r>
      <w:r w:rsidR="003A12EA" w:rsidRPr="003A12EA">
        <w:t>standardized</w:t>
      </w:r>
      <w:r w:rsidR="003A12EA">
        <w:t xml:space="preserve"> (</w:t>
      </w:r>
      <m:oMath>
        <m:r>
          <w:rPr>
            <w:rFonts w:ascii="Cambria Math" w:hAnsi="Cambria Math"/>
          </w:rPr>
          <m:t>N(0,1)</m:t>
        </m:r>
      </m:oMath>
      <w:r w:rsidR="003A12EA">
        <w:t xml:space="preserve">) </w:t>
      </w:r>
      <m:oMath>
        <m:sSub>
          <m:sSubPr>
            <m:ctrlPr>
              <w:rPr>
                <w:rFonts w:ascii="Cambria Math" w:hAnsi="Cambria Math"/>
                <w:i/>
              </w:rPr>
            </m:ctrlPr>
          </m:sSubPr>
          <m:e>
            <m:r>
              <w:rPr>
                <w:rFonts w:ascii="Cambria Math" w:hAnsi="Cambria Math"/>
              </w:rPr>
              <m:t>FCyI</m:t>
            </m:r>
          </m:e>
          <m:sub>
            <m:r>
              <w:rPr>
                <w:rFonts w:ascii="Cambria Math" w:hAnsi="Cambria Math"/>
              </w:rPr>
              <m:t>t</m:t>
            </m:r>
          </m:sub>
        </m:sSub>
      </m:oMath>
      <w:r w:rsidR="003A12EA">
        <w:t xml:space="preserve"> and </w:t>
      </w:r>
      <m:oMath>
        <m:sSub>
          <m:sSubPr>
            <m:ctrlPr>
              <w:rPr>
                <w:rFonts w:ascii="Cambria Math" w:hAnsi="Cambria Math"/>
                <w:i/>
              </w:rPr>
            </m:ctrlPr>
          </m:sSubPr>
          <m:e>
            <m:r>
              <w:rPr>
                <w:rFonts w:ascii="Cambria Math" w:hAnsi="Cambria Math"/>
              </w:rPr>
              <m:t>FCI</m:t>
            </m:r>
          </m:e>
          <m:sub>
            <m:r>
              <w:rPr>
                <w:rFonts w:ascii="Cambria Math" w:hAnsi="Cambria Math"/>
              </w:rPr>
              <m:t>t</m:t>
            </m:r>
          </m:sub>
        </m:sSub>
      </m:oMath>
      <w:r w:rsidR="003A12EA">
        <w:t xml:space="preserve">. </w:t>
      </w:r>
    </w:p>
    <w:p w14:paraId="76BCAA7E" w14:textId="48F654C7" w:rsidR="0012152B" w:rsidRDefault="003A12EA" w:rsidP="00D20F22">
      <w:pPr>
        <w:ind w:firstLine="284"/>
      </w:pPr>
      <w:r>
        <w:t xml:space="preserve">Next, we include the macroprudential policy index </w:t>
      </w:r>
      <m:oMath>
        <m:sSub>
          <m:sSubPr>
            <m:ctrlPr>
              <w:rPr>
                <w:rFonts w:ascii="Cambria Math" w:hAnsi="Cambria Math"/>
                <w:i/>
              </w:rPr>
            </m:ctrlPr>
          </m:sSubPr>
          <m:e>
            <m:r>
              <w:rPr>
                <w:rFonts w:ascii="Cambria Math" w:hAnsi="Cambria Math"/>
              </w:rPr>
              <m:t>MPI</m:t>
            </m:r>
          </m:e>
          <m:sub>
            <m:r>
              <w:rPr>
                <w:rFonts w:ascii="Cambria Math" w:hAnsi="Cambria Math"/>
              </w:rPr>
              <m:t>t</m:t>
            </m:r>
          </m:sub>
        </m:sSub>
      </m:oMath>
      <w:r>
        <w:t xml:space="preserve"> and </w:t>
      </w:r>
      <w:r w:rsidR="006563F6">
        <w:t xml:space="preserve">the 1-year average change in </w:t>
      </w:r>
      <w:r w:rsidRPr="003A12EA">
        <w:t>capital adequacy ratio</w:t>
      </w:r>
      <w:r>
        <w:t xml:space="preserve"> </w:t>
      </w:r>
      <m:oMath>
        <m:sSub>
          <m:sSubPr>
            <m:ctrlPr>
              <w:rPr>
                <w:rFonts w:ascii="Cambria Math" w:hAnsi="Cambria Math"/>
                <w:i/>
              </w:rPr>
            </m:ctrlPr>
          </m:sSubPr>
          <m:e>
            <m:r>
              <w:rPr>
                <w:rFonts w:ascii="Cambria Math" w:hAnsi="Cambria Math"/>
              </w:rPr>
              <m:t>CAR</m:t>
            </m:r>
          </m:e>
          <m:sub>
            <m:r>
              <w:rPr>
                <w:rFonts w:ascii="Cambria Math" w:hAnsi="Cambria Math"/>
              </w:rPr>
              <m:t>t</m:t>
            </m:r>
          </m:sub>
        </m:sSub>
      </m:oMath>
      <w:r>
        <w:t xml:space="preserve">. The MPI is computed </w:t>
      </w:r>
      <w:r w:rsidR="009C72D9">
        <w:t xml:space="preserve">(both for the local and panel models) </w:t>
      </w:r>
      <w:r>
        <w:t xml:space="preserve">using the methodology and the dataset proposed by </w:t>
      </w:r>
      <w:proofErr w:type="spellStart"/>
      <w:r w:rsidRPr="003A12EA">
        <w:t>Alam</w:t>
      </w:r>
      <w:proofErr w:type="spellEnd"/>
      <w:r w:rsidRPr="003A12EA">
        <w:t xml:space="preserve"> et al. (2019)</w:t>
      </w:r>
      <w:r>
        <w:t>.</w:t>
      </w:r>
      <w:r w:rsidR="009C72D9">
        <w:t xml:space="preserve"> The dataset includes 17 categories of macroprudential measures over time. Each t</w:t>
      </w:r>
      <w:r w:rsidR="009C72D9" w:rsidRPr="009C72D9">
        <w:t xml:space="preserve">ightening is </w:t>
      </w:r>
      <w:r w:rsidR="009C72D9">
        <w:t>expressed</w:t>
      </w:r>
      <w:r w:rsidR="009C72D9" w:rsidRPr="009C72D9">
        <w:t xml:space="preserve"> as +1</w:t>
      </w:r>
      <w:r w:rsidR="009C72D9">
        <w:t xml:space="preserve">, while each </w:t>
      </w:r>
      <w:r w:rsidR="009C72D9" w:rsidRPr="009C72D9">
        <w:t>loosening event</w:t>
      </w:r>
      <w:r w:rsidR="009C72D9">
        <w:t xml:space="preserve"> is represented as -1. Finally, </w:t>
      </w:r>
      <w:r w:rsidR="009C72D9" w:rsidRPr="009C72D9">
        <w:t>no or neutral action</w:t>
      </w:r>
      <w:r w:rsidR="009C72D9">
        <w:t>s</w:t>
      </w:r>
      <w:r w:rsidR="009C72D9" w:rsidRPr="009C72D9">
        <w:t xml:space="preserve"> </w:t>
      </w:r>
      <w:r w:rsidR="009C72D9">
        <w:t>are marked as</w:t>
      </w:r>
      <w:r w:rsidR="009C72D9" w:rsidRPr="009C72D9">
        <w:t xml:space="preserve"> </w:t>
      </w:r>
      <w:r w:rsidR="009C72D9">
        <w:t xml:space="preserve">0. </w:t>
      </w:r>
      <w:r w:rsidR="000F7AD3">
        <w:t xml:space="preserve">We define the sum of the 17 dummy categories at time t as </w:t>
      </w:r>
      <m:oMath>
        <m:r>
          <w:rPr>
            <w:rFonts w:ascii="Cambria Math" w:hAnsi="Cambria Math"/>
          </w:rPr>
          <m:t>M</m:t>
        </m:r>
        <m:sSub>
          <m:sSubPr>
            <m:ctrlPr>
              <w:rPr>
                <w:rFonts w:ascii="Cambria Math" w:hAnsi="Cambria Math"/>
                <w:i/>
              </w:rPr>
            </m:ctrlPr>
          </m:sSubPr>
          <m:e>
            <m:r>
              <w:rPr>
                <w:rFonts w:ascii="Cambria Math" w:hAnsi="Cambria Math"/>
              </w:rPr>
              <m:t>P</m:t>
            </m:r>
          </m:e>
          <m:sub>
            <m:r>
              <w:rPr>
                <w:rFonts w:ascii="Cambria Math" w:hAnsi="Cambria Math"/>
              </w:rPr>
              <m:t>t</m:t>
            </m:r>
          </m:sub>
        </m:sSub>
      </m:oMath>
      <w:r w:rsidR="000F7AD3">
        <w:t xml:space="preserve">. We express the MPI as the 4-quarter rolling sum of </w:t>
      </w:r>
      <m:oMath>
        <m:r>
          <w:rPr>
            <w:rFonts w:ascii="Cambria Math" w:hAnsi="Cambria Math"/>
          </w:rPr>
          <m:t>M</m:t>
        </m:r>
        <m:sSub>
          <m:sSubPr>
            <m:ctrlPr>
              <w:rPr>
                <w:rFonts w:ascii="Cambria Math" w:hAnsi="Cambria Math"/>
                <w:i/>
              </w:rPr>
            </m:ctrlPr>
          </m:sSubPr>
          <m:e>
            <m:r>
              <w:rPr>
                <w:rFonts w:ascii="Cambria Math" w:hAnsi="Cambria Math"/>
              </w:rPr>
              <m:t>P</m:t>
            </m:r>
          </m:e>
          <m:sub>
            <m:r>
              <w:rPr>
                <w:rFonts w:ascii="Cambria Math" w:hAnsi="Cambria Math"/>
              </w:rPr>
              <m:t>t</m:t>
            </m:r>
          </m:sub>
        </m:sSub>
      </m:oMath>
      <w:r w:rsidR="000F7AD3">
        <w:t xml:space="preserve"> like so:</w:t>
      </w:r>
    </w:p>
    <w:p w14:paraId="5120D3CC" w14:textId="7DDCA383" w:rsidR="000F7AD3" w:rsidRPr="000F7AD3" w:rsidRDefault="00000000" w:rsidP="006C28DF">
      <m:oMathPara>
        <m:oMath>
          <m:eqArr>
            <m:eqArrPr>
              <m:maxDist m:val="1"/>
              <m:ctrlPr>
                <w:rPr>
                  <w:rFonts w:ascii="Cambria Math" w:hAnsi="Cambria Math"/>
                  <w:i/>
                </w:rPr>
              </m:ctrlPr>
            </m:eqArrPr>
            <m:e>
              <m:r>
                <w:rPr>
                  <w:rFonts w:ascii="Cambria Math" w:hAnsi="Cambria Math"/>
                </w:rPr>
                <m:t>MP</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p=0</m:t>
                  </m:r>
                </m:sub>
                <m:sup>
                  <m:r>
                    <w:rPr>
                      <w:rFonts w:ascii="Cambria Math" w:hAnsi="Cambria Math"/>
                    </w:rPr>
                    <m:t>3</m:t>
                  </m:r>
                </m:sup>
                <m:e>
                  <m:r>
                    <w:rPr>
                      <w:rFonts w:ascii="Cambria Math" w:hAnsi="Cambria Math"/>
                    </w:rPr>
                    <m:t>M</m:t>
                  </m:r>
                  <m:sSub>
                    <m:sSubPr>
                      <m:ctrlPr>
                        <w:rPr>
                          <w:rFonts w:ascii="Cambria Math" w:hAnsi="Cambria Math"/>
                          <w:i/>
                        </w:rPr>
                      </m:ctrlPr>
                    </m:sSubPr>
                    <m:e>
                      <m:r>
                        <w:rPr>
                          <w:rFonts w:ascii="Cambria Math" w:hAnsi="Cambria Math"/>
                        </w:rPr>
                        <m:t>P</m:t>
                      </m:r>
                    </m:e>
                    <m:sub>
                      <m:r>
                        <w:rPr>
                          <w:rFonts w:ascii="Cambria Math" w:hAnsi="Cambria Math"/>
                        </w:rPr>
                        <m:t>t-p</m:t>
                      </m:r>
                    </m:sub>
                  </m:sSub>
                </m:e>
              </m:nary>
              <m:r>
                <w:rPr>
                  <w:rFonts w:ascii="Cambria Math" w:hAnsi="Cambria Math"/>
                </w:rPr>
                <m:t>#</m:t>
              </m:r>
              <m:d>
                <m:dPr>
                  <m:ctrlPr>
                    <w:rPr>
                      <w:rFonts w:ascii="Cambria Math" w:hAnsi="Cambria Math"/>
                      <w:i/>
                    </w:rPr>
                  </m:ctrlPr>
                </m:dPr>
                <m:e>
                  <m:r>
                    <w:rPr>
                      <w:rFonts w:ascii="Cambria Math" w:hAnsi="Cambria Math"/>
                    </w:rPr>
                    <m:t>10</m:t>
                  </m:r>
                </m:e>
              </m:d>
            </m:e>
          </m:eqArr>
        </m:oMath>
      </m:oMathPara>
    </w:p>
    <w:p w14:paraId="126DE871" w14:textId="3138A562" w:rsidR="006563F6" w:rsidRDefault="000F7AD3" w:rsidP="006C28DF">
      <w:r>
        <w:t xml:space="preserve">The rest of the variables in the model are controls. These include the </w:t>
      </w:r>
      <m:oMath>
        <m:sSub>
          <m:sSubPr>
            <m:ctrlPr>
              <w:rPr>
                <w:rFonts w:ascii="Cambria Math" w:hAnsi="Cambria Math"/>
                <w:i/>
              </w:rPr>
            </m:ctrlPr>
          </m:sSubPr>
          <m:e>
            <m:r>
              <w:rPr>
                <w:rFonts w:ascii="Cambria Math" w:hAnsi="Cambria Math"/>
              </w:rPr>
              <m:t>LR</m:t>
            </m:r>
          </m:e>
          <m:sub>
            <m:r>
              <w:rPr>
                <w:rFonts w:ascii="Cambria Math" w:hAnsi="Cambria Math"/>
              </w:rPr>
              <m:t>t</m:t>
            </m:r>
          </m:sub>
        </m:sSub>
      </m:oMath>
      <w:r>
        <w:t xml:space="preserve"> </w:t>
      </w:r>
      <w:r w:rsidR="006563F6">
        <w:t>l</w:t>
      </w:r>
      <w:r w:rsidR="006563F6" w:rsidRPr="006563F6">
        <w:t>iquidity ratio</w:t>
      </w:r>
      <w:r w:rsidR="006563F6">
        <w:t xml:space="preserve"> (</w:t>
      </w:r>
      <w:r w:rsidR="006563F6" w:rsidRPr="006563F6">
        <w:rPr>
          <w:i/>
          <w:iCs/>
        </w:rPr>
        <w:t>HQLA/Assets</w:t>
      </w:r>
      <w:r w:rsidR="006563F6">
        <w:t xml:space="preserve">), </w:t>
      </w:r>
      <m:oMath>
        <m:sSub>
          <m:sSubPr>
            <m:ctrlPr>
              <w:rPr>
                <w:rFonts w:ascii="Cambria Math" w:hAnsi="Cambria Math"/>
                <w:i/>
              </w:rPr>
            </m:ctrlPr>
          </m:sSubPr>
          <m:e>
            <m:r>
              <w:rPr>
                <w:rFonts w:ascii="Cambria Math" w:hAnsi="Cambria Math"/>
              </w:rPr>
              <m:t>CPI</m:t>
            </m:r>
          </m:e>
          <m:sub>
            <m:r>
              <w:rPr>
                <w:rFonts w:ascii="Cambria Math" w:hAnsi="Cambria Math"/>
              </w:rPr>
              <m:t>t</m:t>
            </m:r>
          </m:sub>
        </m:sSub>
      </m:oMath>
      <w:r w:rsidR="006563F6">
        <w:t xml:space="preserve"> </w:t>
      </w:r>
      <w:r w:rsidR="006563F6" w:rsidRPr="006563F6">
        <w:t>1-year average change in</w:t>
      </w:r>
      <w:r w:rsidR="006563F6">
        <w:t xml:space="preserve"> </w:t>
      </w:r>
      <w:r w:rsidR="006563F6" w:rsidRPr="006563F6">
        <w:t>consumer price index</w:t>
      </w:r>
      <w:r w:rsidR="006563F6">
        <w:t xml:space="preserve">, </w:t>
      </w:r>
      <m:oMath>
        <m:sSub>
          <m:sSubPr>
            <m:ctrlPr>
              <w:rPr>
                <w:rFonts w:ascii="Cambria Math" w:hAnsi="Cambria Math"/>
                <w:i/>
              </w:rPr>
            </m:ctrlPr>
          </m:sSubPr>
          <m:e>
            <m:r>
              <w:rPr>
                <w:rFonts w:ascii="Cambria Math" w:hAnsi="Cambria Math"/>
              </w:rPr>
              <m:t>TB</m:t>
            </m:r>
          </m:e>
          <m:sub>
            <m:r>
              <w:rPr>
                <w:rFonts w:ascii="Cambria Math" w:hAnsi="Cambria Math"/>
              </w:rPr>
              <m:t>t</m:t>
            </m:r>
          </m:sub>
        </m:sSub>
      </m:oMath>
      <w:r w:rsidR="006563F6">
        <w:t xml:space="preserve"> t</w:t>
      </w:r>
      <w:r w:rsidR="006563F6" w:rsidRPr="006563F6">
        <w:t>rade balance</w:t>
      </w:r>
      <w:r w:rsidR="006563F6">
        <w:t xml:space="preserve">, </w:t>
      </w:r>
      <m:oMath>
        <m:sSub>
          <m:sSubPr>
            <m:ctrlPr>
              <w:rPr>
                <w:rFonts w:ascii="Cambria Math" w:hAnsi="Cambria Math"/>
                <w:i/>
              </w:rPr>
            </m:ctrlPr>
          </m:sSubPr>
          <m:e>
            <m:r>
              <w:rPr>
                <w:rFonts w:ascii="Cambria Math" w:hAnsi="Cambria Math"/>
              </w:rPr>
              <m:t>CP</m:t>
            </m:r>
          </m:e>
          <m:sub>
            <m:r>
              <w:rPr>
                <w:rFonts w:ascii="Cambria Math" w:hAnsi="Cambria Math"/>
              </w:rPr>
              <m:t>t-1</m:t>
            </m:r>
          </m:sub>
        </m:sSub>
      </m:oMath>
      <w:r w:rsidR="006563F6">
        <w:t xml:space="preserve"> </w:t>
      </w:r>
      <w:r w:rsidR="006563F6" w:rsidRPr="006563F6">
        <w:t xml:space="preserve">1-year </w:t>
      </w:r>
      <w:r w:rsidR="006563F6">
        <w:t xml:space="preserve">lag of the </w:t>
      </w:r>
      <w:r w:rsidR="006563F6" w:rsidRPr="006563F6">
        <w:t>logarithm</w:t>
      </w:r>
      <w:r w:rsidR="006563F6">
        <w:t xml:space="preserve"> of c</w:t>
      </w:r>
      <w:r w:rsidR="006563F6" w:rsidRPr="006563F6">
        <w:t>opper price</w:t>
      </w:r>
      <w:r w:rsidR="006563F6">
        <w:t xml:space="preserve">s, </w:t>
      </w:r>
      <m:oMath>
        <m:sSub>
          <m:sSubPr>
            <m:ctrlPr>
              <w:rPr>
                <w:rFonts w:ascii="Cambria Math" w:hAnsi="Cambria Math"/>
                <w:i/>
              </w:rPr>
            </m:ctrlPr>
          </m:sSubPr>
          <m:e>
            <m:r>
              <w:rPr>
                <w:rFonts w:ascii="Cambria Math" w:hAnsi="Cambria Math"/>
              </w:rPr>
              <m:t>REER</m:t>
            </m:r>
          </m:e>
          <m:sub>
            <m:r>
              <w:rPr>
                <w:rFonts w:ascii="Cambria Math" w:hAnsi="Cambria Math"/>
              </w:rPr>
              <m:t>t</m:t>
            </m:r>
          </m:sub>
        </m:sSub>
      </m:oMath>
      <w:r w:rsidR="00A9272F">
        <w:t xml:space="preserve"> the real effective exchange rate, </w:t>
      </w:r>
      <m:oMath>
        <m:sSub>
          <m:sSubPr>
            <m:ctrlPr>
              <w:rPr>
                <w:rFonts w:ascii="Cambria Math" w:hAnsi="Cambria Math"/>
                <w:i/>
              </w:rPr>
            </m:ctrlPr>
          </m:sSubPr>
          <m:e>
            <m:r>
              <w:rPr>
                <w:rFonts w:ascii="Cambria Math" w:hAnsi="Cambria Math"/>
              </w:rPr>
              <m:t>MF</m:t>
            </m:r>
          </m:e>
          <m:sub>
            <m:r>
              <w:rPr>
                <w:rFonts w:ascii="Cambria Math" w:hAnsi="Cambria Math"/>
              </w:rPr>
              <m:t>t</m:t>
            </m:r>
          </m:sub>
        </m:sSub>
      </m:oMath>
      <w:r w:rsidR="00E14E51">
        <w:t xml:space="preserve"> 3</w:t>
      </w:r>
      <w:r w:rsidR="00E14E51" w:rsidRPr="006563F6">
        <w:t>-year</w:t>
      </w:r>
      <w:r w:rsidR="00E14E51">
        <w:t xml:space="preserve"> </w:t>
      </w:r>
      <w:r w:rsidR="00E14E51" w:rsidRPr="006563F6">
        <w:t>average</w:t>
      </w:r>
      <w:r w:rsidR="00E14E51">
        <w:t xml:space="preserve"> growth of m</w:t>
      </w:r>
      <w:r w:rsidR="00E14E51" w:rsidRPr="00E14E51">
        <w:t>ortgage</w:t>
      </w:r>
      <w:r w:rsidR="00E14E51">
        <w:t xml:space="preserve"> loan flows and </w:t>
      </w:r>
      <m:oMath>
        <m:sSub>
          <m:sSubPr>
            <m:ctrlPr>
              <w:rPr>
                <w:rFonts w:ascii="Cambria Math" w:hAnsi="Cambria Math"/>
                <w:i/>
              </w:rPr>
            </m:ctrlPr>
          </m:sSubPr>
          <m:e>
            <m:r>
              <w:rPr>
                <w:rFonts w:ascii="Cambria Math" w:hAnsi="Cambria Math"/>
              </w:rPr>
              <m:t>CL</m:t>
            </m:r>
          </m:e>
          <m:sub>
            <m:r>
              <w:rPr>
                <w:rFonts w:ascii="Cambria Math" w:hAnsi="Cambria Math"/>
              </w:rPr>
              <m:t>t</m:t>
            </m:r>
          </m:sub>
        </m:sSub>
      </m:oMath>
      <w:r w:rsidR="00E14E51">
        <w:t xml:space="preserve"> 2</w:t>
      </w:r>
      <w:r w:rsidR="00E14E51" w:rsidRPr="006563F6">
        <w:t>-year</w:t>
      </w:r>
      <w:r w:rsidR="00E14E51">
        <w:t xml:space="preserve"> </w:t>
      </w:r>
      <w:r w:rsidR="00E14E51" w:rsidRPr="006563F6">
        <w:t>average</w:t>
      </w:r>
      <w:r w:rsidR="00E14E51">
        <w:t xml:space="preserve"> growth of c</w:t>
      </w:r>
      <w:r w:rsidR="00E14E51" w:rsidRPr="00E14E51">
        <w:t>onstruction loans</w:t>
      </w:r>
      <w:r w:rsidR="00E14E51">
        <w:t>.</w:t>
      </w:r>
    </w:p>
    <w:p w14:paraId="652D77E4" w14:textId="1ACD2854" w:rsidR="00294A14" w:rsidRDefault="00294A14" w:rsidP="00294A14">
      <w:pPr>
        <w:ind w:firstLine="284"/>
      </w:pPr>
      <w:r>
        <w:t>To improve the coefficient for MPI (</w:t>
      </w:r>
      <m:oMath>
        <m:sSub>
          <m:sSubPr>
            <m:ctrlPr>
              <w:rPr>
                <w:rFonts w:ascii="Cambria Math" w:hAnsi="Cambria Math"/>
                <w:i/>
              </w:rPr>
            </m:ctrlPr>
          </m:sSubPr>
          <m:e>
            <m:r>
              <w:rPr>
                <w:rFonts w:ascii="Cambria Math" w:hAnsi="Cambria Math"/>
              </w:rPr>
              <m:t>β</m:t>
            </m:r>
          </m:e>
          <m:sub>
            <m:r>
              <w:rPr>
                <w:rFonts w:ascii="Cambria Math" w:hAnsi="Cambria Math"/>
              </w:rPr>
              <m:t>5,τ</m:t>
            </m:r>
          </m:sub>
        </m:sSub>
      </m:oMath>
      <w:r>
        <w:t xml:space="preserve">) in our local model using the results from the panel estimation, we use a simple </w:t>
      </w:r>
      <w:r w:rsidRPr="00294A14">
        <w:t>weighted averaging</w:t>
      </w:r>
      <w:r>
        <w:t xml:space="preserve"> method:</w:t>
      </w:r>
    </w:p>
    <w:p w14:paraId="0B149475" w14:textId="4A9848C0" w:rsidR="00294A14" w:rsidRPr="00294A14" w:rsidRDefault="00000000" w:rsidP="00294A14">
      <w:pPr>
        <w:ind w:firstLine="284"/>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improved</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w</m:t>
                      </m:r>
                    </m:e>
                    <m:sub>
                      <m:r>
                        <w:rPr>
                          <w:rFonts w:ascii="Cambria Math" w:hAnsi="Cambria Math"/>
                        </w:rPr>
                        <m:t>s</m:t>
                      </m:r>
                    </m:sub>
                  </m:sSub>
                </m:e>
              </m:d>
              <m:sSub>
                <m:sSubPr>
                  <m:ctrlPr>
                    <w:rPr>
                      <w:rFonts w:ascii="Cambria Math" w:hAnsi="Cambria Math"/>
                      <w:i/>
                    </w:rPr>
                  </m:ctrlPr>
                </m:sSubPr>
                <m:e>
                  <m:r>
                    <w:rPr>
                      <w:rFonts w:ascii="Cambria Math" w:hAnsi="Cambria Math"/>
                    </w:rPr>
                    <m:t>c</m:t>
                  </m:r>
                </m:e>
                <m:sub>
                  <m:r>
                    <w:rPr>
                      <w:rFonts w:ascii="Cambria Math" w:hAnsi="Cambria Math"/>
                    </w:rPr>
                    <m:t>local</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sSub>
                <m:sSubPr>
                  <m:ctrlPr>
                    <w:rPr>
                      <w:rFonts w:ascii="Cambria Math" w:hAnsi="Cambria Math"/>
                      <w:i/>
                    </w:rPr>
                  </m:ctrlPr>
                </m:sSubPr>
                <m:e>
                  <m:r>
                    <w:rPr>
                      <w:rFonts w:ascii="Cambria Math" w:hAnsi="Cambria Math"/>
                    </w:rPr>
                    <m:t>c</m:t>
                  </m:r>
                </m:e>
                <m:sub>
                  <m:r>
                    <w:rPr>
                      <w:rFonts w:ascii="Cambria Math" w:hAnsi="Cambria Math"/>
                    </w:rPr>
                    <m:t>panel</m:t>
                  </m:r>
                </m:sub>
              </m:sSub>
              <m:r>
                <w:rPr>
                  <w:rFonts w:ascii="Cambria Math" w:hAnsi="Cambria Math"/>
                </w:rPr>
                <m:t>#</m:t>
              </m:r>
              <m:d>
                <m:dPr>
                  <m:ctrlPr>
                    <w:rPr>
                      <w:rFonts w:ascii="Cambria Math" w:hAnsi="Cambria Math"/>
                      <w:i/>
                    </w:rPr>
                  </m:ctrlPr>
                </m:dPr>
                <m:e>
                  <m:r>
                    <w:rPr>
                      <w:rFonts w:ascii="Cambria Math" w:hAnsi="Cambria Math"/>
                    </w:rPr>
                    <m:t>11</m:t>
                  </m:r>
                </m:e>
              </m:d>
            </m:e>
          </m:eqArr>
        </m:oMath>
      </m:oMathPara>
    </w:p>
    <w:p w14:paraId="46D21F0E" w14:textId="1E0A2E6C" w:rsidR="00294A14" w:rsidRDefault="00294A14" w:rsidP="00294A14">
      <w:pPr>
        <w:ind w:firstLine="284"/>
      </w:pPr>
      <w:r>
        <w:t xml:space="preserve">where, </w:t>
      </w:r>
      <m:oMath>
        <m:sSub>
          <m:sSubPr>
            <m:ctrlPr>
              <w:rPr>
                <w:rFonts w:ascii="Cambria Math" w:hAnsi="Cambria Math"/>
                <w:i/>
              </w:rPr>
            </m:ctrlPr>
          </m:sSubPr>
          <m:e>
            <m:r>
              <w:rPr>
                <w:rFonts w:ascii="Cambria Math" w:hAnsi="Cambria Math"/>
              </w:rPr>
              <m:t>c</m:t>
            </m:r>
          </m:e>
          <m:sub>
            <m:r>
              <w:rPr>
                <w:rFonts w:ascii="Cambria Math" w:hAnsi="Cambria Math"/>
              </w:rPr>
              <m:t>local</m:t>
            </m:r>
          </m:sub>
        </m:sSub>
      </m:oMath>
      <w:r>
        <w:t xml:space="preserve"> and </w:t>
      </w:r>
      <m:oMath>
        <m:sSub>
          <m:sSubPr>
            <m:ctrlPr>
              <w:rPr>
                <w:rFonts w:ascii="Cambria Math" w:hAnsi="Cambria Math"/>
                <w:i/>
              </w:rPr>
            </m:ctrlPr>
          </m:sSubPr>
          <m:e>
            <m:r>
              <w:rPr>
                <w:rFonts w:ascii="Cambria Math" w:hAnsi="Cambria Math"/>
              </w:rPr>
              <m:t>c</m:t>
            </m:r>
          </m:e>
          <m:sub>
            <m:r>
              <w:rPr>
                <w:rFonts w:ascii="Cambria Math" w:hAnsi="Cambria Math"/>
              </w:rPr>
              <m:t>panel</m:t>
            </m:r>
          </m:sub>
        </m:sSub>
      </m:oMath>
      <w:r>
        <w:t xml:space="preserve"> are the respective quantile estimates from the local and panel models. In our paper we use </w:t>
      </w:r>
      <m:oMath>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=0.5</m:t>
        </m:r>
      </m:oMath>
      <w:r>
        <w:t>.</w:t>
      </w:r>
    </w:p>
    <w:p w14:paraId="36AE2922" w14:textId="581C50C9" w:rsidR="000036C9" w:rsidRDefault="00646075" w:rsidP="000036C9">
      <w:pPr>
        <w:pStyle w:val="SectionHeading"/>
        <w:numPr>
          <w:ilvl w:val="1"/>
          <w:numId w:val="9"/>
        </w:numPr>
      </w:pPr>
      <w:r>
        <w:t xml:space="preserve">Suarez </w:t>
      </w:r>
      <w:r w:rsidR="000036C9">
        <w:t>welfare function</w:t>
      </w:r>
    </w:p>
    <w:p w14:paraId="224BD5EC" w14:textId="4D890332" w:rsidR="000036C9" w:rsidRDefault="00B13D81" w:rsidP="00C802B3">
      <w:pPr>
        <w:ind w:firstLine="284"/>
      </w:pPr>
      <w:r>
        <w:t xml:space="preserve">The one of the main advantages of GaR is that it is measured in the same units as GDP growth. This makes the comparison between the two very straightforward. </w:t>
      </w:r>
      <w:r w:rsidR="00C802B3">
        <w:t xml:space="preserve">Yet compared to </w:t>
      </w:r>
      <w:r w:rsidR="00C802B3" w:rsidRPr="00C802B3">
        <w:t>monetary policy</w:t>
      </w:r>
      <w:r w:rsidR="00C802B3">
        <w:t xml:space="preserve">, the macroprudential policy literature still lacks explicit design rules. Javier Suarez (2021) fills this gap by suggesting a </w:t>
      </w:r>
      <w:r w:rsidR="00C802B3" w:rsidRPr="00C802B3">
        <w:t>welfare</w:t>
      </w:r>
      <w:r w:rsidR="00C802B3">
        <w:t xml:space="preserve"> function that “</w:t>
      </w:r>
      <w:r>
        <w:t xml:space="preserve">rewards expected GDP growth and </w:t>
      </w:r>
      <w:r w:rsidR="00C802B3" w:rsidRPr="00C802B3">
        <w:t xml:space="preserve">penalizes </w:t>
      </w:r>
      <w:r>
        <w:t>the gap between expected GDP growth and GaR.</w:t>
      </w:r>
      <w:r w:rsidR="00C802B3">
        <w:t xml:space="preserve">” To derive this </w:t>
      </w:r>
      <w:r w:rsidR="00C802B3" w:rsidRPr="00C802B3">
        <w:t>welfare</w:t>
      </w:r>
      <w:r w:rsidR="00C802B3">
        <w:t xml:space="preserve"> function from micro foundations, the following steps are used.</w:t>
      </w:r>
    </w:p>
    <w:p w14:paraId="1C4C8137" w14:textId="6C7D912E" w:rsidR="00C802B3" w:rsidRDefault="002314ED" w:rsidP="00C802B3">
      <w:pPr>
        <w:ind w:firstLine="284"/>
      </w:pPr>
      <w:r>
        <w:t xml:space="preserve">First, let </w:t>
      </w:r>
      <m:oMath>
        <m:r>
          <w:rPr>
            <w:rFonts w:ascii="Cambria Math" w:hAnsi="Cambria Math"/>
          </w:rPr>
          <m:t>Y</m:t>
        </m:r>
      </m:oMath>
      <w:r>
        <w:t xml:space="preserve"> </w:t>
      </w:r>
      <w:r w:rsidRPr="002314ED">
        <w:t>denote GDP</w:t>
      </w:r>
      <w:r>
        <w:t xml:space="preserve"> and </w:t>
      </w:r>
      <m:oMath>
        <m:r>
          <w:rPr>
            <w:rFonts w:ascii="Cambria Math" w:hAnsi="Cambria Math"/>
          </w:rPr>
          <m:t>y</m:t>
        </m:r>
      </m:oMath>
      <w:r>
        <w:t xml:space="preserve"> the GDP growth rate:</w:t>
      </w:r>
    </w:p>
    <w:p w14:paraId="283792E4" w14:textId="33DDF7D3" w:rsidR="002314ED" w:rsidRDefault="00000000" w:rsidP="00C802B3">
      <w:pPr>
        <w:ind w:firstLine="284"/>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y</m:t>
                  </m:r>
                </m:e>
              </m:d>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d>
                <m:dPr>
                  <m:ctrlPr>
                    <w:rPr>
                      <w:rFonts w:ascii="Cambria Math" w:hAnsi="Cambria Math"/>
                    </w:rPr>
                  </m:ctrlPr>
                </m:dPr>
                <m:e>
                  <m:r>
                    <m:rPr>
                      <m:sty m:val="p"/>
                    </m:rPr>
                    <w:rPr>
                      <w:rFonts w:ascii="Cambria Math" w:hAnsi="Cambria Math"/>
                    </w:rPr>
                    <m:t>12</m:t>
                  </m:r>
                </m:e>
              </m:d>
            </m:e>
          </m:eqArr>
        </m:oMath>
      </m:oMathPara>
    </w:p>
    <w:p w14:paraId="342D6BB0" w14:textId="10F8734F" w:rsidR="00C802B3" w:rsidRDefault="002314ED" w:rsidP="00C54401">
      <w:r>
        <w:t xml:space="preserve">Now let us assume that there is a representative agent with a local coefficient of absolute risk aversion </w:t>
      </w:r>
      <m:oMath>
        <m:r>
          <m:rPr>
            <m:sty m:val="p"/>
          </m:rPr>
          <w:rPr>
            <w:rFonts w:ascii="Cambria Math" w:hAnsi="Cambria Math" w:cs="Cambria Math"/>
          </w:rPr>
          <m:t>λ</m:t>
        </m:r>
        <m:d>
          <m:dPr>
            <m:ctrlPr>
              <w:rPr>
                <w:rFonts w:ascii="Cambria Math" w:hAnsi="Cambria Math"/>
              </w:rPr>
            </m:ctrlPr>
          </m:dPr>
          <m:e>
            <m:sSub>
              <m:sSubPr>
                <m:ctrlPr>
                  <w:rPr>
                    <w:rFonts w:ascii="Cambria Math" w:hAnsi="Cambria Math" w:cs="Cambria Math"/>
                  </w:rPr>
                </m:ctrlPr>
              </m:sSubPr>
              <m:e>
                <m:r>
                  <m:rPr>
                    <m:sty m:val="p"/>
                  </m:rPr>
                  <w:rPr>
                    <w:rFonts w:ascii="Cambria Math" w:hAnsi="Cambria Math" w:cs="Cambria Math"/>
                  </w:rPr>
                  <m:t>Y</m:t>
                </m:r>
                <m:ctrlPr>
                  <w:rPr>
                    <w:rFonts w:ascii="Cambria Math" w:hAnsi="Cambria Math"/>
                  </w:rPr>
                </m:ctrlPr>
              </m:e>
              <m:sub>
                <m:r>
                  <m:rPr>
                    <m:sty m:val="p"/>
                  </m:rPr>
                  <w:rPr>
                    <w:rFonts w:ascii="Cambria Math" w:hAnsi="Cambria Math" w:cs="Cambria Math"/>
                  </w:rPr>
                  <m:t>0</m:t>
                </m:r>
              </m:sub>
            </m:sSub>
          </m:e>
        </m:d>
      </m:oMath>
      <w:r>
        <w:t xml:space="preserve"> at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t xml:space="preserve">. </w:t>
      </w:r>
      <w:r w:rsidR="00860CC1">
        <w:t>Then</w:t>
      </w:r>
      <w:r>
        <w:t xml:space="preserve"> we can express the utility function </w:t>
      </w:r>
      <w:r w:rsidR="00860CC1">
        <w:t xml:space="preserve">as one exhibiting </w:t>
      </w:r>
      <w:r>
        <w:t>constant absolute risk aversion (CARA)</w:t>
      </w:r>
      <w:r w:rsidR="00860CC1">
        <w:t xml:space="preserve"> with </w:t>
      </w:r>
      <m:oMath>
        <m:r>
          <m:rPr>
            <m:sty m:val="p"/>
          </m:rPr>
          <w:rPr>
            <w:rFonts w:ascii="Cambria Math" w:hAnsi="Cambria Math" w:cs="Cambria Math"/>
          </w:rPr>
          <m:t>λ</m:t>
        </m:r>
        <m:d>
          <m:dPr>
            <m:ctrlPr>
              <w:rPr>
                <w:rFonts w:ascii="Cambria Math" w:hAnsi="Cambria Math"/>
              </w:rPr>
            </m:ctrlPr>
          </m:dPr>
          <m:e>
            <m:sSub>
              <m:sSubPr>
                <m:ctrlPr>
                  <w:rPr>
                    <w:rFonts w:ascii="Cambria Math" w:hAnsi="Cambria Math" w:cs="Cambria Math"/>
                  </w:rPr>
                </m:ctrlPr>
              </m:sSubPr>
              <m:e>
                <m:r>
                  <m:rPr>
                    <m:sty m:val="p"/>
                  </m:rPr>
                  <w:rPr>
                    <w:rFonts w:ascii="Cambria Math" w:hAnsi="Cambria Math" w:cs="Cambria Math"/>
                  </w:rPr>
                  <m:t>Y</m:t>
                </m:r>
                <m:ctrlPr>
                  <w:rPr>
                    <w:rFonts w:ascii="Cambria Math" w:hAnsi="Cambria Math"/>
                  </w:rPr>
                </m:ctrlPr>
              </m:e>
              <m:sub>
                <m:r>
                  <m:rPr>
                    <m:sty m:val="p"/>
                  </m:rPr>
                  <w:rPr>
                    <w:rFonts w:ascii="Cambria Math" w:hAnsi="Cambria Math" w:cs="Cambria Math"/>
                  </w:rPr>
                  <m:t>0</m:t>
                </m:r>
              </m:sub>
            </m:sSub>
          </m:e>
        </m:d>
      </m:oMath>
      <w:r w:rsidR="00860CC1">
        <w:t>, so that:</w:t>
      </w:r>
    </w:p>
    <w:p w14:paraId="266C46E0" w14:textId="71D3C752" w:rsidR="00860CC1" w:rsidRDefault="00000000" w:rsidP="00C54401">
      <m:oMathPara>
        <m:oMath>
          <m:eqArr>
            <m:eqArrPr>
              <m:maxDist m:val="1"/>
              <m:ctrlPr>
                <w:rPr>
                  <w:rFonts w:ascii="Cambria Math" w:hAnsi="Cambria Math"/>
                </w:rPr>
              </m:ctrlPr>
            </m:eqArrPr>
            <m:e>
              <m:r>
                <w:rPr>
                  <w:rFonts w:ascii="Cambria Math" w:hAnsi="Cambria Math"/>
                </w:rPr>
                <m:t>U</m:t>
              </m:r>
              <m:d>
                <m:dPr>
                  <m:ctrlPr>
                    <w:rPr>
                      <w:rFonts w:ascii="Cambria Math" w:hAnsi="Cambria Math"/>
                    </w:rPr>
                  </m:ctrlPr>
                </m:dPr>
                <m:e>
                  <m:r>
                    <w:rPr>
                      <w:rFonts w:ascii="Cambria Math" w:hAnsi="Cambria Math"/>
                    </w:rPr>
                    <m:t>Y</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r>
                        <w:rPr>
                          <w:rFonts w:ascii="Cambria Math" w:hAnsi="Cambria Math"/>
                        </w:rPr>
                        <m:t>Y</m:t>
                      </m:r>
                    </m:e>
                  </m:d>
                </m:e>
              </m:func>
              <m:r>
                <m:rPr>
                  <m:sty m:val="p"/>
                </m:rPr>
                <w:rPr>
                  <w:rFonts w:ascii="Cambria Math" w:hAnsi="Cambria Math"/>
                </w:rPr>
                <m:t>#</m:t>
              </m:r>
              <m:d>
                <m:dPr>
                  <m:ctrlPr>
                    <w:rPr>
                      <w:rFonts w:ascii="Cambria Math" w:hAnsi="Cambria Math"/>
                    </w:rPr>
                  </m:ctrlPr>
                </m:dPr>
                <m:e>
                  <m:r>
                    <m:rPr>
                      <m:sty m:val="p"/>
                    </m:rPr>
                    <w:rPr>
                      <w:rFonts w:ascii="Cambria Math" w:hAnsi="Cambria Math"/>
                    </w:rPr>
                    <m:t>13</m:t>
                  </m:r>
                </m:e>
              </m:d>
            </m:e>
          </m:eqArr>
        </m:oMath>
      </m:oMathPara>
    </w:p>
    <w:p w14:paraId="21CAE3E1" w14:textId="33816E0A" w:rsidR="00860CC1" w:rsidRDefault="00860CC1" w:rsidP="00C54401">
      <w:r>
        <w:t xml:space="preserve">If we insert </w:t>
      </w:r>
      <w:r w:rsidRPr="00860CC1">
        <w:t>equation</w:t>
      </w:r>
      <w:r>
        <w:t xml:space="preserve"> (eq.) 11 in eq.12, then perform a monotonic transformation, then we get:</w:t>
      </w:r>
    </w:p>
    <w:p w14:paraId="7089C1FD" w14:textId="622EF6D9" w:rsidR="00860CC1" w:rsidRPr="00D92D6A" w:rsidRDefault="00000000" w:rsidP="00C54401">
      <m:oMathPara>
        <m:oMath>
          <m:eqArr>
            <m:eqArrPr>
              <m:maxDist m:val="1"/>
              <m:ctrlPr>
                <w:rPr>
                  <w:rFonts w:ascii="Cambria Math" w:hAnsi="Cambria Math"/>
                </w:rPr>
              </m:ctrlPr>
            </m:eqArrPr>
            <m:e>
              <m:r>
                <w:rPr>
                  <w:rFonts w:ascii="Cambria Math" w:hAnsi="Cambria Math"/>
                </w:rPr>
                <m:t>u</m:t>
              </m:r>
              <m:d>
                <m:dPr>
                  <m:ctrlPr>
                    <w:rPr>
                      <w:rFonts w:ascii="Cambria Math" w:hAnsi="Cambria Math"/>
                    </w:rPr>
                  </m:ctrlPr>
                </m:dPr>
                <m:e>
                  <m:r>
                    <w:rPr>
                      <w:rFonts w:ascii="Cambria Math" w:hAnsi="Cambria Math"/>
                    </w:rPr>
                    <m:t>y</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sSub>
                        <m:sSubPr>
                          <m:ctrlPr>
                            <w:rPr>
                              <w:rFonts w:ascii="Cambria Math" w:hAnsi="Cambria Math"/>
                            </w:rPr>
                          </m:ctrlPr>
                        </m:sSubPr>
                        <m:e>
                          <m:r>
                            <w:rPr>
                              <w:rFonts w:ascii="Cambria Math" w:hAnsi="Cambria Math"/>
                            </w:rPr>
                            <m:t>Y</m:t>
                          </m:r>
                        </m:e>
                        <m:sub>
                          <m:r>
                            <m:rPr>
                              <m:sty m:val="p"/>
                            </m:rPr>
                            <w:rPr>
                              <w:rFonts w:ascii="Cambria Math" w:hAnsi="Cambria Math"/>
                            </w:rPr>
                            <m:t>0</m:t>
                          </m:r>
                        </m:sub>
                      </m:sSub>
                      <m:r>
                        <w:rPr>
                          <w:rFonts w:ascii="Cambria Math" w:hAnsi="Cambria Math"/>
                        </w:rPr>
                        <m:t>y</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ρ</m:t>
                          </m:r>
                        </m:e>
                        <m:sub>
                          <m:r>
                            <m:rPr>
                              <m:sty m:val="p"/>
                            </m:rPr>
                            <w:rPr>
                              <w:rFonts w:ascii="Cambria Math" w:hAnsi="Cambria Math"/>
                            </w:rPr>
                            <m:t>0</m:t>
                          </m:r>
                        </m:sub>
                      </m:sSub>
                      <m:r>
                        <w:rPr>
                          <w:rFonts w:ascii="Cambria Math" w:hAnsi="Cambria Math"/>
                        </w:rPr>
                        <m:t>y</m:t>
                      </m:r>
                    </m:e>
                  </m:d>
                </m:e>
              </m:func>
              <m:r>
                <m:rPr>
                  <m:sty m:val="p"/>
                </m:rPr>
                <w:rPr>
                  <w:rFonts w:ascii="Cambria Math" w:hAnsi="Cambria Math"/>
                </w:rPr>
                <m:t>#</m:t>
              </m:r>
              <m:d>
                <m:dPr>
                  <m:ctrlPr>
                    <w:rPr>
                      <w:rFonts w:ascii="Cambria Math" w:hAnsi="Cambria Math"/>
                    </w:rPr>
                  </m:ctrlPr>
                </m:dPr>
                <m:e>
                  <m:r>
                    <m:rPr>
                      <m:sty m:val="p"/>
                    </m:rPr>
                    <w:rPr>
                      <w:rFonts w:ascii="Cambria Math" w:hAnsi="Cambria Math"/>
                    </w:rPr>
                    <m:t>1</m:t>
                  </m:r>
                  <m:r>
                    <m:rPr>
                      <m:sty m:val="b"/>
                    </m:rPr>
                    <w:rPr>
                      <w:rFonts w:ascii="Cambria Math" w:hAnsi="Cambria Math"/>
                    </w:rPr>
                    <m:t>4</m:t>
                  </m:r>
                </m:e>
              </m:d>
            </m:e>
          </m:eqArr>
        </m:oMath>
      </m:oMathPara>
    </w:p>
    <w:p w14:paraId="59E6B30F" w14:textId="2DA5C7FC" w:rsidR="00860CC1" w:rsidRPr="00286A29" w:rsidRDefault="00860CC1" w:rsidP="00286A29">
      <w:r w:rsidRPr="00286A29">
        <w:lastRenderedPageBreak/>
        <w:t xml:space="preserve">In eq. 13 </w:t>
      </w:r>
      <m:oMath>
        <m:sSub>
          <m:sSubPr>
            <m:ctrlPr>
              <w:rPr>
                <w:rFonts w:ascii="Cambria Math" w:hAnsi="Cambria Math"/>
              </w:rPr>
            </m:ctrlPr>
          </m:sSubPr>
          <m:e>
            <m:r>
              <w:rPr>
                <w:rFonts w:ascii="Cambria Math" w:hAnsi="Cambria Math"/>
              </w:rPr>
              <m:t>ρ</m:t>
            </m:r>
          </m:e>
          <m:sub>
            <m:r>
              <m:rPr>
                <m:sty m:val="p"/>
              </m:rPr>
              <w:rPr>
                <w:rFonts w:ascii="Cambria Math" w:hAnsi="Cambria Math"/>
              </w:rPr>
              <m:t>0</m:t>
            </m:r>
          </m:sub>
        </m:sSub>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0</m:t>
                </m:r>
              </m:sub>
            </m:sSub>
          </m:e>
        </m:d>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00C54401" w:rsidRPr="00286A29">
        <w:t xml:space="preserve"> describes the agent’s coefficient of relative risk aversion at </w:t>
      </w:r>
      <m:oMath>
        <m:sSub>
          <m:sSubPr>
            <m:ctrlPr>
              <w:rPr>
                <w:rFonts w:ascii="Cambria Math" w:hAnsi="Cambria Math"/>
              </w:rPr>
            </m:ctrlPr>
          </m:sSubPr>
          <m:e>
            <m:r>
              <w:rPr>
                <w:rFonts w:ascii="Cambria Math" w:hAnsi="Cambria Math"/>
              </w:rPr>
              <m:t>Y</m:t>
            </m:r>
          </m:e>
          <m:sub>
            <m:r>
              <m:rPr>
                <m:sty m:val="p"/>
              </m:rPr>
              <w:rPr>
                <w:rFonts w:ascii="Cambria Math" w:hAnsi="Cambria Math"/>
              </w:rPr>
              <m:t>0</m:t>
            </m:r>
          </m:sub>
        </m:sSub>
      </m:oMath>
      <w:r w:rsidR="00C54401" w:rsidRPr="00286A29">
        <w:t xml:space="preserve">. If we assume GDP growth is normally distributed, so that </w:t>
      </w:r>
      <m:oMath>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r>
          <m:rPr>
            <m:sty m:val="p"/>
          </m:rPr>
          <w:rPr>
            <w:rFonts w:ascii="Cambria Math" w:hAnsi="Cambria Math"/>
          </w:rPr>
          <m:t>)</m:t>
        </m:r>
      </m:oMath>
      <w:r w:rsidR="00C54401" w:rsidRPr="00286A29">
        <w:t>, then using the known moment functions we can write the agent’s expected utility as:</w:t>
      </w:r>
    </w:p>
    <w:p w14:paraId="7EEC549D" w14:textId="07F54BE7" w:rsidR="001F78AB" w:rsidRPr="00286A29" w:rsidRDefault="00000000" w:rsidP="00286A29">
      <m:oMathPara>
        <m:oMath>
          <m:eqArr>
            <m:eqArrPr>
              <m:maxDist m:val="1"/>
              <m:ctrlPr>
                <w:rPr>
                  <w:rFonts w:ascii="Cambria Math" w:hAnsi="Cambria Math"/>
                </w:rPr>
              </m:ctrlPr>
            </m:eqArrPr>
            <m:e>
              <m:r>
                <w:rPr>
                  <w:rFonts w:ascii="Cambria Math" w:hAnsi="Cambria Math"/>
                </w:rPr>
                <m:t>E</m:t>
              </m:r>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y</m:t>
                      </m:r>
                    </m:e>
                  </m:d>
                </m:e>
              </m:d>
              <m:r>
                <m:rPr>
                  <m:sty m:val="p"/>
                </m:rPr>
                <w:rPr>
                  <w:rFonts w:ascii="Cambria Math" w:hAnsi="Cambria Math"/>
                </w:rPr>
                <m:t>=-</m:t>
              </m:r>
              <m:r>
                <w:rPr>
                  <w:rFonts w:ascii="Cambria Math" w:hAnsi="Cambria Math"/>
                </w:rPr>
                <m:t>E</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ρ</m:t>
                              </m:r>
                            </m:e>
                            <m:sub>
                              <m:r>
                                <m:rPr>
                                  <m:sty m:val="p"/>
                                </m:rPr>
                                <w:rPr>
                                  <w:rFonts w:ascii="Cambria Math" w:hAnsi="Cambria Math"/>
                                </w:rPr>
                                <m:t>0</m:t>
                              </m:r>
                            </m:sub>
                          </m:sSub>
                          <m:r>
                            <w:rPr>
                              <w:rFonts w:ascii="Cambria Math" w:hAnsi="Cambria Math"/>
                            </w:rPr>
                            <m:t>y</m:t>
                          </m:r>
                        </m:e>
                      </m:d>
                    </m:e>
                  </m:func>
                </m:e>
              </m:d>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m:rPr>
                              <m:sty m:val="p"/>
                            </m:rPr>
                            <w:rPr>
                              <w:rFonts w:ascii="Cambria Math" w:hAnsi="Cambria Math"/>
                            </w:rPr>
                            <m:t>-</m:t>
                          </m:r>
                          <m:r>
                            <w:rPr>
                              <w:rFonts w:ascii="Cambria Math" w:hAnsi="Cambria Math"/>
                            </w:rPr>
                            <m:t>ρ</m:t>
                          </m:r>
                        </m:e>
                        <m:sub>
                          <m:r>
                            <m:rPr>
                              <m:sty m:val="p"/>
                            </m:rPr>
                            <w:rPr>
                              <w:rFonts w:ascii="Cambria Math" w:hAnsi="Cambria Math"/>
                            </w:rPr>
                            <m:t>0</m:t>
                          </m:r>
                        </m:sub>
                      </m:sSub>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ρ</m:t>
                          </m:r>
                        </m:e>
                        <m:sub>
                          <m:r>
                            <m:rPr>
                              <m:sty m:val="p"/>
                            </m:rPr>
                            <w:rPr>
                              <w:rFonts w:ascii="Cambria Math" w:hAnsi="Cambria Math"/>
                            </w:rPr>
                            <m:t>0</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e>
                  </m:d>
                </m:e>
              </m:func>
              <m:r>
                <m:rPr>
                  <m:sty m:val="p"/>
                </m:rPr>
                <w:rPr>
                  <w:rFonts w:ascii="Cambria Math" w:hAnsi="Cambria Math"/>
                </w:rPr>
                <m:t>#</m:t>
              </m:r>
              <m:d>
                <m:dPr>
                  <m:ctrlPr>
                    <w:rPr>
                      <w:rFonts w:ascii="Cambria Math" w:hAnsi="Cambria Math"/>
                    </w:rPr>
                  </m:ctrlPr>
                </m:dPr>
                <m:e>
                  <m:r>
                    <m:rPr>
                      <m:sty m:val="p"/>
                    </m:rPr>
                    <w:rPr>
                      <w:rFonts w:ascii="Cambria Math" w:hAnsi="Cambria Math"/>
                    </w:rPr>
                    <m:t>15</m:t>
                  </m:r>
                </m:e>
              </m:d>
            </m:e>
          </m:eqArr>
        </m:oMath>
      </m:oMathPara>
    </w:p>
    <w:p w14:paraId="2FDA2A25" w14:textId="6A8553B9" w:rsidR="00C54401" w:rsidRPr="00286A29" w:rsidRDefault="00286A29" w:rsidP="00286A29">
      <w:r w:rsidRPr="00286A29">
        <w:t>Indirectly eq. 14 can also be described as:</w:t>
      </w:r>
    </w:p>
    <w:p w14:paraId="17E9D95E" w14:textId="4FC7932A" w:rsidR="00286A29" w:rsidRPr="00286A29" w:rsidRDefault="00000000" w:rsidP="00286A29">
      <m:oMathPara>
        <m:oMath>
          <m:eqArr>
            <m:eqArrPr>
              <m:maxDist m:val="1"/>
              <m:ctrlPr>
                <w:rPr>
                  <w:rFonts w:ascii="Cambria Math" w:hAnsi="Cambria Math"/>
                </w:rPr>
              </m:ctrlPr>
            </m:eqArr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m:rPr>
                          <m:sty m:val="p"/>
                        </m:rPr>
                        <w:rPr>
                          <w:rFonts w:ascii="Cambria Math" w:hAnsi="Cambria Math"/>
                        </w:rPr>
                        <m:t>0</m:t>
                      </m:r>
                    </m:sub>
                  </m:sSub>
                </m:num>
                <m:den>
                  <m:r>
                    <m:rPr>
                      <m:sty m:val="p"/>
                    </m:rPr>
                    <w:rPr>
                      <w:rFonts w:ascii="Cambria Math" w:hAnsi="Cambria Math"/>
                    </w:rPr>
                    <m:t>2</m:t>
                  </m:r>
                </m:den>
              </m:f>
              <m:sSubSup>
                <m:sSubSupPr>
                  <m:ctrlPr>
                    <w:rPr>
                      <w:rFonts w:ascii="Cambria Math" w:hAnsi="Cambria Math"/>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r>
                <m:rPr>
                  <m:sty m:val="p"/>
                </m:rPr>
                <w:rPr>
                  <w:rFonts w:ascii="Cambria Math" w:hAnsi="Cambria Math"/>
                </w:rPr>
                <m:t>#</m:t>
              </m:r>
              <m:d>
                <m:dPr>
                  <m:ctrlPr>
                    <w:rPr>
                      <w:rFonts w:ascii="Cambria Math" w:hAnsi="Cambria Math"/>
                    </w:rPr>
                  </m:ctrlPr>
                </m:dPr>
                <m:e>
                  <m:r>
                    <m:rPr>
                      <m:sty m:val="p"/>
                    </m:rPr>
                    <w:rPr>
                      <w:rFonts w:ascii="Cambria Math" w:hAnsi="Cambria Math"/>
                    </w:rPr>
                    <m:t>16</m:t>
                  </m:r>
                </m:e>
              </m:d>
            </m:e>
          </m:eqArr>
        </m:oMath>
      </m:oMathPara>
    </w:p>
    <w:p w14:paraId="564A2E34" w14:textId="6F04A08A" w:rsidR="00286A29" w:rsidRPr="00286A29" w:rsidRDefault="00000000" w:rsidP="00286A29">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num>
                <m:den>
                  <m:sSup>
                    <m:sSupPr>
                      <m:ctrlPr>
                        <w:rPr>
                          <w:rFonts w:ascii="Cambria Math" w:hAnsi="Cambria Math"/>
                        </w:rPr>
                      </m:ctrlPr>
                    </m:sSupPr>
                    <m:e>
                      <m:r>
                        <m:rPr>
                          <m:sty m:val="p"/>
                        </m:rPr>
                        <w:rPr>
                          <w:rFonts w:ascii="Cambria Math" w:hAnsi="Cambria Math"/>
                        </w:rPr>
                        <m:t>Φ</m:t>
                      </m:r>
                    </m:e>
                    <m:sup>
                      <m:r>
                        <m:rPr>
                          <m:sty m:val="p"/>
                        </m:rPr>
                        <w:rPr>
                          <w:rFonts w:ascii="Cambria Math" w:hAnsi="Cambria Math"/>
                        </w:rPr>
                        <m:t>-1</m:t>
                      </m:r>
                    </m:sup>
                  </m:sSup>
                  <m:d>
                    <m:dPr>
                      <m:ctrlPr>
                        <w:rPr>
                          <w:rFonts w:ascii="Cambria Math" w:hAnsi="Cambria Math"/>
                        </w:rPr>
                      </m:ctrlPr>
                    </m:dPr>
                    <m:e>
                      <m:r>
                        <w:rPr>
                          <w:rFonts w:ascii="Cambria Math" w:hAnsi="Cambria Math"/>
                        </w:rPr>
                        <m:t>c</m:t>
                      </m:r>
                    </m:e>
                  </m:d>
                </m:den>
              </m:f>
              <m:r>
                <m:rPr>
                  <m:sty m:val="p"/>
                </m:rPr>
                <w:rPr>
                  <w:rFonts w:ascii="Cambria Math" w:hAnsi="Cambria Math"/>
                </w:rPr>
                <m:t>#</m:t>
              </m:r>
              <m:d>
                <m:dPr>
                  <m:ctrlPr>
                    <w:rPr>
                      <w:rFonts w:ascii="Cambria Math" w:hAnsi="Cambria Math"/>
                    </w:rPr>
                  </m:ctrlPr>
                </m:dPr>
                <m:e>
                  <m:r>
                    <m:rPr>
                      <m:sty m:val="p"/>
                    </m:rPr>
                    <w:rPr>
                      <w:rFonts w:ascii="Cambria Math" w:hAnsi="Cambria Math"/>
                    </w:rPr>
                    <m:t>17</m:t>
                  </m:r>
                </m:e>
              </m:d>
            </m:e>
          </m:eqArr>
        </m:oMath>
      </m:oMathPara>
    </w:p>
    <w:p w14:paraId="5D82507D" w14:textId="19210777" w:rsidR="00286A29" w:rsidRDefault="00000000" w:rsidP="00286A29">
      <m:oMathPara>
        <m:oMath>
          <m:eqArr>
            <m:eqArrPr>
              <m:maxDist m:val="1"/>
              <m:ctrlPr>
                <w:rPr>
                  <w:rFonts w:ascii="Cambria Math" w:hAnsi="Cambria Math"/>
                </w:rPr>
              </m:ctrlPr>
            </m:eqArr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
                <m:fPr>
                  <m:ctrlPr>
                    <w:rPr>
                      <w:rFonts w:ascii="Cambria Math" w:hAnsi="Cambria Math"/>
                    </w:rPr>
                  </m:ctrlPr>
                </m:fPr>
                <m:num>
                  <m:sSub>
                    <m:sSubPr>
                      <m:ctrlPr>
                        <w:rPr>
                          <w:rFonts w:ascii="Cambria Math" w:hAnsi="Cambria Math"/>
                        </w:rPr>
                      </m:ctrlPr>
                    </m:sSubPr>
                    <m:e>
                      <m:r>
                        <w:rPr>
                          <w:rFonts w:ascii="Cambria Math" w:hAnsi="Cambria Math"/>
                        </w:rPr>
                        <m:t>ρ</m:t>
                      </m:r>
                    </m:e>
                    <m:sub>
                      <m:r>
                        <m:rPr>
                          <m:sty m:val="p"/>
                        </m:rPr>
                        <w:rPr>
                          <w:rFonts w:ascii="Cambria Math" w:hAnsi="Cambria Math"/>
                        </w:rPr>
                        <m:t>0</m:t>
                      </m:r>
                    </m:sub>
                  </m:sSub>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Φ</m:t>
                              </m:r>
                            </m:e>
                            <m:sup>
                              <m:r>
                                <m:rPr>
                                  <m:sty m:val="p"/>
                                </m:rPr>
                                <w:rPr>
                                  <w:rFonts w:ascii="Cambria Math" w:hAnsi="Cambria Math"/>
                                </w:rPr>
                                <m:t>-1</m:t>
                              </m:r>
                            </m:sup>
                          </m:sSup>
                          <m:d>
                            <m:dPr>
                              <m:ctrlPr>
                                <w:rPr>
                                  <w:rFonts w:ascii="Cambria Math" w:hAnsi="Cambria Math"/>
                                </w:rPr>
                              </m:ctrlPr>
                            </m:dPr>
                            <m:e>
                              <m:r>
                                <w:rPr>
                                  <w:rFonts w:ascii="Cambria Math" w:hAnsi="Cambria Math"/>
                                </w:rPr>
                                <m:t>c</m:t>
                              </m:r>
                            </m:e>
                          </m:d>
                        </m:e>
                      </m:d>
                    </m:e>
                    <m:sup>
                      <m:r>
                        <m:rPr>
                          <m:sty m:val="p"/>
                        </m:rPr>
                        <w:rPr>
                          <w:rFonts w:ascii="Cambria Math" w:hAnsi="Cambria Math"/>
                        </w:rPr>
                        <m:t>2</m:t>
                      </m:r>
                    </m:sup>
                  </m:sSup>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e>
                  </m:d>
                </m:e>
                <m:sup>
                  <m:r>
                    <m:rPr>
                      <m:sty m:val="p"/>
                    </m:rPr>
                    <w:rPr>
                      <w:rFonts w:ascii="Cambria Math" w:hAnsi="Cambria Math"/>
                    </w:rPr>
                    <m:t>2</m:t>
                  </m:r>
                </m:sup>
              </m:sSup>
              <m:r>
                <m:rPr>
                  <m:sty m:val="p"/>
                </m:rPr>
                <w:rPr>
                  <w:rFonts w:ascii="Cambria Math" w:hAnsi="Cambria Math"/>
                </w:rPr>
                <m:t>#</m:t>
              </m:r>
              <m:d>
                <m:dPr>
                  <m:ctrlPr>
                    <w:rPr>
                      <w:rFonts w:ascii="Cambria Math" w:hAnsi="Cambria Math"/>
                    </w:rPr>
                  </m:ctrlPr>
                </m:dPr>
                <m:e>
                  <m:r>
                    <m:rPr>
                      <m:sty m:val="p"/>
                    </m:rPr>
                    <w:rPr>
                      <w:rFonts w:ascii="Cambria Math" w:hAnsi="Cambria Math"/>
                    </w:rPr>
                    <m:t>18</m:t>
                  </m:r>
                </m:e>
              </m:d>
            </m:e>
          </m:eqArr>
        </m:oMath>
      </m:oMathPara>
    </w:p>
    <w:p w14:paraId="70E0505E" w14:textId="0EC4BB9B" w:rsidR="00763B24" w:rsidRDefault="00344BAB" w:rsidP="00286A29">
      <w:r>
        <w:t xml:space="preserve">Finally, by reordering some terms and assigning </w:t>
      </w:r>
      <m:oMath>
        <m:r>
          <w:rPr>
            <w:rFonts w:ascii="Cambria Math" w:hAnsi="Cambria Math"/>
          </w:rPr>
          <m:t>w</m:t>
        </m:r>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ρ</m:t>
                    </m:r>
                  </m:e>
                  <m:sub>
                    <m:r>
                      <m:rPr>
                        <m:sty m:val="p"/>
                      </m:rPr>
                      <w:rPr>
                        <w:rFonts w:ascii="Cambria Math" w:hAnsi="Cambria Math"/>
                      </w:rPr>
                      <m:t>0</m:t>
                    </m:r>
                  </m:sub>
                </m:sSub>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p"/>
                              </m:rPr>
                              <w:rPr>
                                <w:rFonts w:ascii="Cambria Math" w:hAnsi="Cambria Math"/>
                              </w:rPr>
                              <m:t>Φ</m:t>
                            </m:r>
                          </m:e>
                          <m:sup>
                            <m:r>
                              <m:rPr>
                                <m:sty m:val="p"/>
                              </m:rPr>
                              <w:rPr>
                                <w:rFonts w:ascii="Cambria Math" w:hAnsi="Cambria Math"/>
                              </w:rPr>
                              <m:t>-1</m:t>
                            </m:r>
                          </m:sup>
                        </m:sSup>
                        <m:d>
                          <m:dPr>
                            <m:ctrlPr>
                              <w:rPr>
                                <w:rFonts w:ascii="Cambria Math" w:hAnsi="Cambria Math"/>
                              </w:rPr>
                            </m:ctrlPr>
                          </m:dPr>
                          <m:e>
                            <m:r>
                              <w:rPr>
                                <w:rFonts w:ascii="Cambria Math" w:hAnsi="Cambria Math"/>
                              </w:rPr>
                              <m:t>c</m:t>
                            </m:r>
                          </m:e>
                        </m:d>
                      </m:e>
                    </m:d>
                  </m:e>
                  <m:sup>
                    <m:r>
                      <m:rPr>
                        <m:sty m:val="p"/>
                      </m:rPr>
                      <w:rPr>
                        <w:rFonts w:ascii="Cambria Math" w:hAnsi="Cambria Math"/>
                      </w:rPr>
                      <m:t>2</m:t>
                    </m:r>
                  </m:sup>
                </m:sSup>
              </m:den>
            </m:f>
          </m:e>
        </m:d>
      </m:oMath>
      <w:r>
        <w:t xml:space="preserve">, which we can interpret as the </w:t>
      </w:r>
      <w:r w:rsidRPr="00344BAB">
        <w:t>aversion</w:t>
      </w:r>
      <w:r>
        <w:t xml:space="preserve"> </w:t>
      </w:r>
      <w:r w:rsidRPr="00344BAB">
        <w:t>for financial instability</w:t>
      </w:r>
      <w:r>
        <w:t>, we derive the social welfare function proposed by Suarez:</w:t>
      </w:r>
    </w:p>
    <w:p w14:paraId="2C5DE268" w14:textId="7A1EB1CF" w:rsidR="00344BAB" w:rsidRDefault="00000000" w:rsidP="00286A29">
      <m:oMathPara>
        <m:oMath>
          <m:eqArr>
            <m:eqArrPr>
              <m:maxDist m:val="1"/>
              <m:ctrlPr>
                <w:rPr>
                  <w:rFonts w:ascii="Cambria Math" w:hAnsi="Cambria Math"/>
                </w:rPr>
              </m:ctrlPr>
            </m:eqArr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w</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d>
                </m:e>
                <m:sup>
                  <m:r>
                    <m:rPr>
                      <m:sty m:val="p"/>
                    </m:rPr>
                    <w:rPr>
                      <w:rFonts w:ascii="Cambria Math" w:hAnsi="Cambria Math"/>
                    </w:rPr>
                    <m:t>2</m:t>
                  </m:r>
                </m:sup>
              </m:sSup>
              <m:r>
                <m:rPr>
                  <m:sty m:val="p"/>
                </m:rPr>
                <w:rPr>
                  <w:rFonts w:ascii="Cambria Math" w:hAnsi="Cambria Math"/>
                </w:rPr>
                <m:t>#</m:t>
              </m:r>
              <m:d>
                <m:dPr>
                  <m:ctrlPr>
                    <w:rPr>
                      <w:rFonts w:ascii="Cambria Math" w:hAnsi="Cambria Math"/>
                    </w:rPr>
                  </m:ctrlPr>
                </m:dPr>
                <m:e>
                  <m:r>
                    <m:rPr>
                      <m:sty m:val="p"/>
                    </m:rPr>
                    <w:rPr>
                      <w:rFonts w:ascii="Cambria Math" w:hAnsi="Cambria Math"/>
                    </w:rPr>
                    <m:t>19</m:t>
                  </m:r>
                </m:e>
              </m:d>
            </m:e>
          </m:eqArr>
        </m:oMath>
      </m:oMathPara>
    </w:p>
    <w:p w14:paraId="0659F538" w14:textId="22AA1FD0" w:rsidR="00763B24" w:rsidRPr="00D375EB" w:rsidRDefault="00D375EB" w:rsidP="00286A29">
      <w:r>
        <w:t xml:space="preserve">The limitations of this function are </w:t>
      </w:r>
      <w:r w:rsidRPr="00D375EB">
        <w:t>embedded in it</w:t>
      </w:r>
      <w:r>
        <w:t xml:space="preserve">s assumptions. Since most GDP growth distributions aren’t normally distributed this makes the function sensitive choice of quantile c. Additionally, even if the c is chosen correctly, the value for </w:t>
      </w:r>
      <m:oMath>
        <m:sSub>
          <m:sSubPr>
            <m:ctrlPr>
              <w:rPr>
                <w:rFonts w:ascii="Cambria Math" w:hAnsi="Cambria Math"/>
              </w:rPr>
            </m:ctrlPr>
          </m:sSubPr>
          <m:e>
            <m:r>
              <w:rPr>
                <w:rFonts w:ascii="Cambria Math" w:hAnsi="Cambria Math"/>
              </w:rPr>
              <m:t>ρ</m:t>
            </m:r>
          </m:e>
          <m:sub>
            <m:r>
              <m:rPr>
                <m:sty m:val="p"/>
              </m:rPr>
              <w:rPr>
                <w:rFonts w:ascii="Cambria Math" w:hAnsi="Cambria Math"/>
              </w:rPr>
              <m:t>0</m:t>
            </m:r>
          </m:sub>
        </m:sSub>
      </m:oMath>
      <w:r>
        <w:t xml:space="preserve"> and </w:t>
      </w:r>
      <w:r w:rsidRPr="00D375EB">
        <w:t>consequently</w:t>
      </w:r>
      <w:r>
        <w:t xml:space="preserve"> is up to the policy maker. N</w:t>
      </w:r>
      <w:r w:rsidRPr="00D375EB">
        <w:t>evertheless</w:t>
      </w:r>
      <w:r>
        <w:t xml:space="preserve">, this function can still serve as a good basis for policy recommendations since it offers a means to perform a cost-benefit analysis for the effects of </w:t>
      </w:r>
      <w:r w:rsidRPr="00D375EB">
        <w:t>macroprudential policy</w:t>
      </w:r>
      <w:r>
        <w:t>.</w:t>
      </w:r>
    </w:p>
    <w:p w14:paraId="515418E4" w14:textId="29FEE933" w:rsidR="000036C9" w:rsidRDefault="000036C9" w:rsidP="000036C9">
      <w:pPr>
        <w:pStyle w:val="SectionHeading"/>
        <w:numPr>
          <w:ilvl w:val="1"/>
          <w:numId w:val="9"/>
        </w:numPr>
      </w:pPr>
      <w:r>
        <w:t>Data</w:t>
      </w:r>
    </w:p>
    <w:p w14:paraId="01EEF8E7" w14:textId="5565687C" w:rsidR="005C366F" w:rsidRDefault="00CC70F5" w:rsidP="005C366F">
      <w:pPr>
        <w:ind w:firstLine="284"/>
      </w:pPr>
      <w:r>
        <w:t xml:space="preserve">For the panel model we used a </w:t>
      </w:r>
      <w:r w:rsidRPr="00DB4E49">
        <w:t xml:space="preserve">quarterly </w:t>
      </w:r>
      <w:r>
        <w:t xml:space="preserve">dataset with 43 countries and 21 variables for the period 1993-2023. Most of this data was download from two key </w:t>
      </w:r>
      <w:r w:rsidRPr="00CC70F5">
        <w:t>International Monetary Fund (IMF)</w:t>
      </w:r>
      <w:r>
        <w:t xml:space="preserve"> databases. These are the </w:t>
      </w:r>
      <w:r w:rsidRPr="00CC70F5">
        <w:t>international financial statistics</w:t>
      </w:r>
      <w:r>
        <w:t xml:space="preserve"> (IFS) and the f</w:t>
      </w:r>
      <w:r w:rsidRPr="00CC70F5">
        <w:t xml:space="preserve">inancial </w:t>
      </w:r>
      <w:r>
        <w:t>s</w:t>
      </w:r>
      <w:r w:rsidRPr="00CC70F5">
        <w:t xml:space="preserve">oundness </w:t>
      </w:r>
      <w:r>
        <w:t>i</w:t>
      </w:r>
      <w:r w:rsidRPr="00CC70F5">
        <w:t>ndicators</w:t>
      </w:r>
      <w:r>
        <w:t xml:space="preserve"> (FSI) (IMF, 2024). </w:t>
      </w:r>
      <w:r w:rsidR="00B97B98">
        <w:t>Additionally, for data related the equity index we used the g</w:t>
      </w:r>
      <w:r w:rsidR="00B97B98" w:rsidRPr="00B97B98">
        <w:t xml:space="preserve">lobal </w:t>
      </w:r>
      <w:r w:rsidR="00B97B98">
        <w:t>e</w:t>
      </w:r>
      <w:r w:rsidR="00B97B98" w:rsidRPr="00B97B98">
        <w:t xml:space="preserve">conomic </w:t>
      </w:r>
      <w:r w:rsidR="00B97B98">
        <w:t>m</w:t>
      </w:r>
      <w:r w:rsidR="00B97B98" w:rsidRPr="00B97B98">
        <w:t>onitor</w:t>
      </w:r>
      <w:r w:rsidR="00B97B98">
        <w:t xml:space="preserve"> (GEM) which is one of the databases (2023) maintained by the </w:t>
      </w:r>
      <w:r w:rsidR="00B97B98" w:rsidRPr="00B97B98">
        <w:lastRenderedPageBreak/>
        <w:t>World Bank</w:t>
      </w:r>
      <w:r w:rsidR="00B97B98">
        <w:t xml:space="preserve"> (WB). </w:t>
      </w:r>
      <w:r w:rsidR="005C366F">
        <w:t xml:space="preserve">Some of the variables related to government bond rates were extracted from individual central bank websites. Finally, the data for the MPI was extracted from the </w:t>
      </w:r>
      <w:r w:rsidR="005C366F" w:rsidRPr="005C366F">
        <w:t>iMaPP</w:t>
      </w:r>
      <w:r w:rsidR="005C366F">
        <w:t xml:space="preserve"> database </w:t>
      </w:r>
      <w:sdt>
        <w:sdtPr>
          <w:id w:val="865639156"/>
          <w:citation/>
        </w:sdtPr>
        <w:sdtContent>
          <w:r w:rsidR="005C366F">
            <w:fldChar w:fldCharType="begin"/>
          </w:r>
          <w:r w:rsidR="005C366F">
            <w:instrText xml:space="preserve"> CITATION Alam19 \l 1033 </w:instrText>
          </w:r>
          <w:r w:rsidR="005C366F">
            <w:fldChar w:fldCharType="separate"/>
          </w:r>
          <w:r w:rsidR="005C366F">
            <w:rPr>
              <w:noProof/>
            </w:rPr>
            <w:t>(Alam, et al., 2019)</w:t>
          </w:r>
          <w:r w:rsidR="005C366F">
            <w:fldChar w:fldCharType="end"/>
          </w:r>
        </w:sdtContent>
      </w:sdt>
      <w:r w:rsidR="005C366F">
        <w:t>.</w:t>
      </w:r>
    </w:p>
    <w:p w14:paraId="3C6725C9" w14:textId="5666CFAD" w:rsidR="00CC70F5" w:rsidRDefault="00083E46" w:rsidP="00433499">
      <w:pPr>
        <w:ind w:firstLine="284"/>
      </w:pPr>
      <w:r>
        <w:t xml:space="preserve">The </w:t>
      </w:r>
      <w:r w:rsidR="00433499">
        <w:t xml:space="preserve">Armenian model effectively utilized 38 variables (without counting the derived </w:t>
      </w:r>
      <w:r w:rsidR="00433499" w:rsidRPr="00433499">
        <w:t>indices</w:t>
      </w:r>
      <w:r w:rsidR="00433499">
        <w:t xml:space="preserve">) for the period 2003-2024. The FCI required 17 interest rate related variables, FCyI was constructed using 12 credit related variables, while the final model included 11 </w:t>
      </w:r>
      <w:r w:rsidR="00433499" w:rsidRPr="00433499">
        <w:t xml:space="preserve">exogenous </w:t>
      </w:r>
      <w:r w:rsidR="00433499">
        <w:t xml:space="preserve">indicators (including the two </w:t>
      </w:r>
      <w:r w:rsidR="00433499" w:rsidRPr="00433499">
        <w:t>indices</w:t>
      </w:r>
      <w:r w:rsidR="00433499">
        <w:t xml:space="preserve">). All of the data for the local model were collected from the </w:t>
      </w:r>
      <w:r w:rsidR="00433499" w:rsidRPr="00433499">
        <w:t xml:space="preserve">central bank of </w:t>
      </w:r>
      <w:r w:rsidR="00433499">
        <w:t>Armenia (CBA).</w:t>
      </w:r>
    </w:p>
    <w:p w14:paraId="3E751907" w14:textId="611A675F" w:rsidR="001D439C" w:rsidRDefault="004F1BA1" w:rsidP="001D439C">
      <w:pPr>
        <w:pStyle w:val="SectionHeading"/>
        <w:numPr>
          <w:ilvl w:val="0"/>
          <w:numId w:val="9"/>
        </w:numPr>
      </w:pPr>
      <w:r>
        <w:t>Results</w:t>
      </w:r>
    </w:p>
    <w:p w14:paraId="7A4EDFB9" w14:textId="4CFC8F70" w:rsidR="001E35CC" w:rsidRDefault="001E35CC" w:rsidP="000036C9">
      <w:pPr>
        <w:pStyle w:val="SectionHeading"/>
        <w:numPr>
          <w:ilvl w:val="1"/>
          <w:numId w:val="9"/>
        </w:numPr>
      </w:pPr>
      <w:r w:rsidRPr="001E35CC">
        <w:t>financial vulnerabilities</w:t>
      </w:r>
      <w:r>
        <w:t xml:space="preserve"> and stress</w:t>
      </w:r>
    </w:p>
    <w:p w14:paraId="1017930F" w14:textId="3E6142CE" w:rsidR="001D439C" w:rsidRDefault="008557EC" w:rsidP="00926024">
      <w:pPr>
        <w:ind w:firstLine="284"/>
      </w:pPr>
      <w:r>
        <w:t xml:space="preserve">One of the </w:t>
      </w:r>
      <w:proofErr w:type="gramStart"/>
      <w:r>
        <w:t>primary</w:t>
      </w:r>
      <w:proofErr w:type="gramEnd"/>
      <w:r>
        <w:t xml:space="preserve"> aims of macroprudential policy is to improve the </w:t>
      </w:r>
      <w:r w:rsidRPr="008557EC">
        <w:t>resilience</w:t>
      </w:r>
      <w:r>
        <w:t xml:space="preserve"> of the financial system, or in other words</w:t>
      </w:r>
      <w:r w:rsidR="00926024">
        <w:t>,</w:t>
      </w:r>
      <w:r>
        <w:t xml:space="preserve"> to reduce the negative </w:t>
      </w:r>
      <w:r w:rsidR="00926024">
        <w:t xml:space="preserve">impact of </w:t>
      </w:r>
      <w:r w:rsidR="00926024" w:rsidRPr="00926024">
        <w:t>crises</w:t>
      </w:r>
      <w:r w:rsidR="00926024">
        <w:t xml:space="preserve"> on economic growth. No crisis is the same, but during a crisis the financial to system has the potential to </w:t>
      </w:r>
      <w:r w:rsidR="00926024" w:rsidRPr="00926024">
        <w:t>amplify</w:t>
      </w:r>
      <w:r w:rsidR="00926024">
        <w:t xml:space="preserve"> these shocks. The extent of this </w:t>
      </w:r>
      <w:r w:rsidR="00926024" w:rsidRPr="00926024">
        <w:t>amplification</w:t>
      </w:r>
      <w:r w:rsidR="00926024">
        <w:t xml:space="preserve"> will depend on the existing </w:t>
      </w:r>
      <w:r w:rsidR="00926024" w:rsidRPr="00926024">
        <w:t>vulnerabilities</w:t>
      </w:r>
      <w:r w:rsidR="00926024">
        <w:t xml:space="preserve"> in the system. </w:t>
      </w:r>
      <w:r>
        <w:t xml:space="preserve">In </w:t>
      </w:r>
      <w:r>
        <w:fldChar w:fldCharType="begin"/>
      </w:r>
      <w:r>
        <w:instrText xml:space="preserve"> REF _Ref169637532 \h </w:instrText>
      </w:r>
      <w:r>
        <w:fldChar w:fldCharType="separate"/>
      </w:r>
      <w:r>
        <w:t xml:space="preserve">Figure </w:t>
      </w:r>
      <w:r>
        <w:rPr>
          <w:noProof/>
        </w:rPr>
        <w:t>1</w:t>
      </w:r>
      <w:r>
        <w:fldChar w:fldCharType="end"/>
      </w:r>
      <w:r>
        <w:t xml:space="preserve">, we plot FCyI, FCI and real GDP growth. </w:t>
      </w:r>
      <w:r w:rsidR="008D0B34">
        <w:t>The key takeaway from this plot is that FCyI and FCI react different</w:t>
      </w:r>
      <w:r w:rsidR="00117AD6">
        <w:t>ly</w:t>
      </w:r>
      <w:r w:rsidR="008D0B34">
        <w:t xml:space="preserve"> depending on the type of the shock. During the 2007-2009 financial crisis we observe the </w:t>
      </w:r>
      <w:r w:rsidR="008D0B34" w:rsidRPr="008D0B34">
        <w:t>severe</w:t>
      </w:r>
      <w:r w:rsidR="008D0B34">
        <w:t xml:space="preserve"> financial stress first, and then those losses are </w:t>
      </w:r>
      <w:r w:rsidR="008D0B34" w:rsidRPr="008D0B34">
        <w:t>materialized</w:t>
      </w:r>
      <w:r w:rsidR="008D0B34">
        <w:t>.</w:t>
      </w:r>
      <w:r w:rsidR="00117AD6">
        <w:t xml:space="preserve"> A similar pattern can be seen in 2015-2016 when Armenia was affected by the R</w:t>
      </w:r>
      <w:r w:rsidR="00117AD6" w:rsidRPr="00117AD6">
        <w:t>ussia</w:t>
      </w:r>
      <w:r w:rsidR="00117AD6">
        <w:t>n</w:t>
      </w:r>
      <w:r w:rsidR="00117AD6" w:rsidRPr="00117AD6">
        <w:t xml:space="preserve"> oil crisis</w:t>
      </w:r>
      <w:r w:rsidR="00117AD6">
        <w:t>. Meanwhile, during the Covid shock, the GDP reacted first, with the</w:t>
      </w:r>
      <w:r w:rsidR="00117AD6" w:rsidRPr="00117AD6">
        <w:t xml:space="preserve"> </w:t>
      </w:r>
      <w:r w:rsidR="00117AD6" w:rsidRPr="001E35CC">
        <w:t>vulnerabilities</w:t>
      </w:r>
      <w:r w:rsidR="00117AD6">
        <w:t xml:space="preserve"> and financial stress emerging much later.</w:t>
      </w:r>
    </w:p>
    <w:p w14:paraId="64EF70E3" w14:textId="77777777" w:rsidR="001D439C" w:rsidRDefault="002358EE" w:rsidP="001D439C">
      <w:pPr>
        <w:keepNext/>
        <w:spacing w:after="0"/>
      </w:pPr>
      <w:r>
        <w:rPr>
          <w:noProof/>
        </w:rPr>
        <w:drawing>
          <wp:inline distT="0" distB="0" distL="0" distR="0" wp14:anchorId="2AB00BA6" wp14:editId="0BD15FEF">
            <wp:extent cx="5226269" cy="2178729"/>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tretch>
                      <a:fillRect/>
                    </a:stretch>
                  </pic:blipFill>
                  <pic:spPr>
                    <a:xfrm>
                      <a:off x="0" y="0"/>
                      <a:ext cx="5265468" cy="2195070"/>
                    </a:xfrm>
                    <a:prstGeom prst="rect">
                      <a:avLst/>
                    </a:prstGeom>
                  </pic:spPr>
                </pic:pic>
              </a:graphicData>
            </a:graphic>
          </wp:inline>
        </w:drawing>
      </w:r>
    </w:p>
    <w:p w14:paraId="7D01F03F" w14:textId="3C2C407E" w:rsidR="001E35CC" w:rsidRDefault="001D439C" w:rsidP="001D439C">
      <w:pPr>
        <w:pStyle w:val="Caption"/>
        <w:spacing w:before="0" w:line="240" w:lineRule="auto"/>
        <w:jc w:val="both"/>
      </w:pPr>
      <w:bookmarkStart w:id="0" w:name="_Ref169637532"/>
      <w:bookmarkStart w:id="1" w:name="_Ref169637322"/>
      <w:r>
        <w:t xml:space="preserve">Figure </w:t>
      </w:r>
      <w:r>
        <w:fldChar w:fldCharType="begin"/>
      </w:r>
      <w:r>
        <w:instrText xml:space="preserve"> SEQ Figure \* ARABIC </w:instrText>
      </w:r>
      <w:r>
        <w:fldChar w:fldCharType="separate"/>
      </w:r>
      <w:r w:rsidR="001C4294">
        <w:rPr>
          <w:noProof/>
        </w:rPr>
        <w:t>1</w:t>
      </w:r>
      <w:r>
        <w:fldChar w:fldCharType="end"/>
      </w:r>
      <w:bookmarkEnd w:id="0"/>
      <w:r w:rsidR="008A04EC">
        <w:t>.</w:t>
      </w:r>
      <w:r>
        <w:t xml:space="preserve"> the </w:t>
      </w:r>
      <w:r w:rsidRPr="001D439C">
        <w:t>financial cycle index</w:t>
      </w:r>
      <w:r>
        <w:t xml:space="preserve">, </w:t>
      </w:r>
      <w:r w:rsidRPr="001D439C">
        <w:t>financial</w:t>
      </w:r>
      <w:r>
        <w:t xml:space="preserve"> conditions index and real GDP growth. The FCyI and FCI are normalized to have zero mean and a </w:t>
      </w:r>
      <w:r w:rsidRPr="001D439C">
        <w:t>standard deviation</w:t>
      </w:r>
      <w:r>
        <w:t xml:space="preserve"> of one.</w:t>
      </w:r>
      <w:bookmarkEnd w:id="1"/>
    </w:p>
    <w:p w14:paraId="746E9D36" w14:textId="3462770A" w:rsidR="002358EE" w:rsidRDefault="00305DDF" w:rsidP="00117AD6">
      <w:pPr>
        <w:spacing w:before="240"/>
      </w:pPr>
      <w:r>
        <w:lastRenderedPageBreak/>
        <w:t xml:space="preserve">Macroprudential has also managed to play its role in these events. As we can see from </w:t>
      </w:r>
      <w:r>
        <w:fldChar w:fldCharType="begin"/>
      </w:r>
      <w:r>
        <w:instrText xml:space="preserve"> REF _Ref169639836 \h </w:instrText>
      </w:r>
      <w:r>
        <w:fldChar w:fldCharType="separate"/>
      </w:r>
      <w:r>
        <w:t xml:space="preserve">Figure </w:t>
      </w:r>
      <w:r>
        <w:rPr>
          <w:noProof/>
        </w:rPr>
        <w:t>2</w:t>
      </w:r>
      <w:r>
        <w:fldChar w:fldCharType="end"/>
      </w:r>
      <w:r>
        <w:t xml:space="preserve">, macroprudential policy in Armenia has implemented a lot of </w:t>
      </w:r>
      <w:r w:rsidR="00913DC1" w:rsidRPr="00913DC1">
        <w:t>tightening</w:t>
      </w:r>
      <w:r w:rsidR="00913DC1">
        <w:t xml:space="preserve"> measures after the 2009 crisis. After that, it managed to implement </w:t>
      </w:r>
      <w:r w:rsidR="00913DC1" w:rsidRPr="00913DC1">
        <w:t>loosening policies</w:t>
      </w:r>
      <w:r w:rsidR="00913DC1">
        <w:t xml:space="preserve"> in all three </w:t>
      </w:r>
      <w:r w:rsidR="00913DC1" w:rsidRPr="00913DC1">
        <w:t>proceeding</w:t>
      </w:r>
      <w:r w:rsidR="00913DC1">
        <w:t xml:space="preserve"> </w:t>
      </w:r>
      <w:r w:rsidR="00913DC1" w:rsidRPr="00913DC1">
        <w:t>crises</w:t>
      </w:r>
      <w:r w:rsidR="00913DC1">
        <w:t>.</w:t>
      </w:r>
    </w:p>
    <w:p w14:paraId="1D0A0481" w14:textId="77777777" w:rsidR="004036E7" w:rsidRDefault="004036E7" w:rsidP="004036E7">
      <w:pPr>
        <w:keepNext/>
        <w:spacing w:after="0"/>
      </w:pPr>
      <w:r>
        <w:rPr>
          <w:noProof/>
        </w:rPr>
        <w:drawing>
          <wp:inline distT="0" distB="0" distL="0" distR="0" wp14:anchorId="7E617BA3" wp14:editId="2BE519FE">
            <wp:extent cx="4251658" cy="2049517"/>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stretch>
                      <a:fillRect/>
                    </a:stretch>
                  </pic:blipFill>
                  <pic:spPr>
                    <a:xfrm>
                      <a:off x="0" y="0"/>
                      <a:ext cx="4323684" cy="2084237"/>
                    </a:xfrm>
                    <a:prstGeom prst="rect">
                      <a:avLst/>
                    </a:prstGeom>
                  </pic:spPr>
                </pic:pic>
              </a:graphicData>
            </a:graphic>
          </wp:inline>
        </w:drawing>
      </w:r>
    </w:p>
    <w:p w14:paraId="706B97B1" w14:textId="2AA43164" w:rsidR="004036E7" w:rsidRDefault="004036E7" w:rsidP="004036E7">
      <w:pPr>
        <w:pStyle w:val="Caption"/>
        <w:spacing w:before="0"/>
        <w:jc w:val="both"/>
      </w:pPr>
      <w:bookmarkStart w:id="2" w:name="_Ref169639836"/>
      <w:r>
        <w:t xml:space="preserve">Figure </w:t>
      </w:r>
      <w:r>
        <w:fldChar w:fldCharType="begin"/>
      </w:r>
      <w:r>
        <w:instrText xml:space="preserve"> SEQ Figure \* ARABIC </w:instrText>
      </w:r>
      <w:r>
        <w:fldChar w:fldCharType="separate"/>
      </w:r>
      <w:r w:rsidR="001C4294">
        <w:rPr>
          <w:noProof/>
        </w:rPr>
        <w:t>2</w:t>
      </w:r>
      <w:r>
        <w:fldChar w:fldCharType="end"/>
      </w:r>
      <w:bookmarkEnd w:id="2"/>
      <w:r>
        <w:t xml:space="preserve">. </w:t>
      </w:r>
      <w:r w:rsidRPr="004036E7">
        <w:rPr>
          <w:b w:val="0"/>
          <w:bCs/>
        </w:rPr>
        <w:t>Use of</w:t>
      </w:r>
      <w:r>
        <w:t xml:space="preserve"> </w:t>
      </w:r>
      <w:r w:rsidRPr="004036E7">
        <w:rPr>
          <w:b w:val="0"/>
          <w:bCs/>
        </w:rPr>
        <w:t>macroprudential policy in Armenia</w:t>
      </w:r>
    </w:p>
    <w:p w14:paraId="48F1EFE0" w14:textId="5543F3C5" w:rsidR="004036E7" w:rsidRDefault="00913DC1" w:rsidP="004036E7">
      <w:r>
        <w:t xml:space="preserve">In </w:t>
      </w:r>
      <w:r>
        <w:fldChar w:fldCharType="begin"/>
      </w:r>
      <w:r>
        <w:instrText xml:space="preserve"> REF _Ref169640150 \h </w:instrText>
      </w:r>
      <w:r>
        <w:fldChar w:fldCharType="separate"/>
      </w:r>
      <w:r>
        <w:t xml:space="preserve">Figure </w:t>
      </w:r>
      <w:r>
        <w:rPr>
          <w:noProof/>
        </w:rPr>
        <w:t>3</w:t>
      </w:r>
      <w:r>
        <w:fldChar w:fldCharType="end"/>
      </w:r>
      <w:r>
        <w:t xml:space="preserve">, we compare the GDP distribution of Armenia during the </w:t>
      </w:r>
      <w:r w:rsidRPr="00913DC1">
        <w:t>tightening</w:t>
      </w:r>
      <w:r>
        <w:t xml:space="preserve"> and </w:t>
      </w:r>
      <w:r w:rsidRPr="00913DC1">
        <w:t>loosening</w:t>
      </w:r>
      <w:r>
        <w:t xml:space="preserve"> windows to identify on how they could have reshaped the distribution. During </w:t>
      </w:r>
      <w:r w:rsidRPr="00913DC1">
        <w:t>tightening</w:t>
      </w:r>
      <w:r>
        <w:t xml:space="preserve">, we see that the distribution had much more certain, but less </w:t>
      </w:r>
      <w:r w:rsidRPr="00913DC1">
        <w:t>severe</w:t>
      </w:r>
      <w:r>
        <w:t xml:space="preserve"> tails. </w:t>
      </w:r>
      <w:r w:rsidR="008A04EC">
        <w:t xml:space="preserve">Meanwhile, during </w:t>
      </w:r>
      <w:r w:rsidR="008A04EC" w:rsidRPr="00913DC1">
        <w:t>loosening</w:t>
      </w:r>
      <w:r w:rsidR="008A04EC">
        <w:t xml:space="preserve"> periods we observe historically shorter tails and quicker recovery. </w:t>
      </w:r>
    </w:p>
    <w:p w14:paraId="5268BB3E" w14:textId="72FA6405" w:rsidR="004036E7" w:rsidRDefault="004036E7" w:rsidP="004036E7">
      <w:r>
        <w:rPr>
          <w:noProof/>
        </w:rPr>
        <w:drawing>
          <wp:inline distT="0" distB="0" distL="0" distR="0" wp14:anchorId="0ADC1047" wp14:editId="070140EF">
            <wp:extent cx="5323205" cy="15764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5385057" cy="1594806"/>
                    </a:xfrm>
                    <a:prstGeom prst="rect">
                      <a:avLst/>
                    </a:prstGeom>
                  </pic:spPr>
                </pic:pic>
              </a:graphicData>
            </a:graphic>
          </wp:inline>
        </w:drawing>
      </w:r>
    </w:p>
    <w:p w14:paraId="068D53F3" w14:textId="77777777" w:rsidR="004036E7" w:rsidRDefault="004036E7" w:rsidP="004036E7">
      <w:pPr>
        <w:keepNext/>
      </w:pPr>
      <w:r>
        <w:rPr>
          <w:noProof/>
        </w:rPr>
        <w:drawing>
          <wp:inline distT="0" distB="0" distL="0" distR="0" wp14:anchorId="63BF4602" wp14:editId="1C9DFD9C">
            <wp:extent cx="5228134" cy="1555034"/>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stretch>
                      <a:fillRect/>
                    </a:stretch>
                  </pic:blipFill>
                  <pic:spPr>
                    <a:xfrm>
                      <a:off x="0" y="0"/>
                      <a:ext cx="5329695" cy="1585242"/>
                    </a:xfrm>
                    <a:prstGeom prst="rect">
                      <a:avLst/>
                    </a:prstGeom>
                  </pic:spPr>
                </pic:pic>
              </a:graphicData>
            </a:graphic>
          </wp:inline>
        </w:drawing>
      </w:r>
    </w:p>
    <w:p w14:paraId="49AA6738" w14:textId="1D96A553" w:rsidR="004036E7" w:rsidRPr="004036E7" w:rsidRDefault="004036E7" w:rsidP="004036E7">
      <w:pPr>
        <w:pStyle w:val="Caption"/>
        <w:jc w:val="both"/>
        <w:rPr>
          <w:b w:val="0"/>
          <w:bCs/>
        </w:rPr>
      </w:pPr>
      <w:bookmarkStart w:id="3" w:name="_Ref169640150"/>
      <w:r>
        <w:t xml:space="preserve">Figure </w:t>
      </w:r>
      <w:r>
        <w:fldChar w:fldCharType="begin"/>
      </w:r>
      <w:r>
        <w:instrText xml:space="preserve"> SEQ Figure \* ARABIC </w:instrText>
      </w:r>
      <w:r>
        <w:fldChar w:fldCharType="separate"/>
      </w:r>
      <w:r w:rsidR="001C4294">
        <w:rPr>
          <w:noProof/>
        </w:rPr>
        <w:t>3</w:t>
      </w:r>
      <w:r>
        <w:fldChar w:fldCharType="end"/>
      </w:r>
      <w:bookmarkEnd w:id="3"/>
      <w:r>
        <w:t xml:space="preserve">. </w:t>
      </w:r>
      <w:r>
        <w:rPr>
          <w:b w:val="0"/>
          <w:bCs/>
        </w:rPr>
        <w:t xml:space="preserve">GDP growth distribution of Armenia, during the macroprudential policy </w:t>
      </w:r>
      <w:r w:rsidRPr="004036E7">
        <w:rPr>
          <w:b w:val="0"/>
          <w:bCs/>
        </w:rPr>
        <w:t>tightening and loosening</w:t>
      </w:r>
      <w:r>
        <w:rPr>
          <w:b w:val="0"/>
          <w:bCs/>
        </w:rPr>
        <w:t xml:space="preserve"> periods</w:t>
      </w:r>
    </w:p>
    <w:p w14:paraId="3A0B0783" w14:textId="77777777" w:rsidR="004036E7" w:rsidRDefault="004036E7" w:rsidP="004036E7"/>
    <w:p w14:paraId="32C19EB2" w14:textId="4331793A" w:rsidR="004036E7" w:rsidRDefault="008A04EC" w:rsidP="00F52542">
      <w:r>
        <w:t xml:space="preserve">It should be noted that the shorter observed tails in </w:t>
      </w:r>
      <w:r>
        <w:fldChar w:fldCharType="begin"/>
      </w:r>
      <w:r>
        <w:instrText xml:space="preserve"> REF _Ref169640150 \h </w:instrText>
      </w:r>
      <w:r>
        <w:fldChar w:fldCharType="separate"/>
      </w:r>
      <w:r>
        <w:t xml:space="preserve">Figure </w:t>
      </w:r>
      <w:r>
        <w:rPr>
          <w:noProof/>
        </w:rPr>
        <w:t>3</w:t>
      </w:r>
      <w:r>
        <w:fldChar w:fldCharType="end"/>
      </w:r>
      <w:r>
        <w:t xml:space="preserve">, also stem from the fact that macroprudential policy was implemented after 2009 </w:t>
      </w:r>
      <w:r w:rsidRPr="008A04EC">
        <w:t>financial crisis</w:t>
      </w:r>
      <w:r>
        <w:t>.</w:t>
      </w:r>
    </w:p>
    <w:p w14:paraId="32B8F7AA" w14:textId="38B176D0" w:rsidR="001E35CC" w:rsidRDefault="001E35CC" w:rsidP="000036C9">
      <w:pPr>
        <w:pStyle w:val="SectionHeading"/>
        <w:numPr>
          <w:ilvl w:val="1"/>
          <w:numId w:val="9"/>
        </w:numPr>
      </w:pPr>
      <w:r>
        <w:t>Impact on GDP</w:t>
      </w:r>
    </w:p>
    <w:p w14:paraId="0B27DD43" w14:textId="2D005C5C" w:rsidR="00FB786B" w:rsidRDefault="008A04EC" w:rsidP="00FB786B">
      <w:r>
        <w:t>To better understand the effects of macroprudential policy, we estimate the model described in eq. 9.</w:t>
      </w:r>
      <w:r w:rsidR="00520796">
        <w:t xml:space="preserve"> In </w:t>
      </w:r>
      <w:r w:rsidR="00520796">
        <w:fldChar w:fldCharType="begin"/>
      </w:r>
      <w:r w:rsidR="00520796">
        <w:instrText xml:space="preserve"> REF _Ref169641594 \h </w:instrText>
      </w:r>
      <w:r w:rsidR="00520796">
        <w:fldChar w:fldCharType="separate"/>
      </w:r>
      <w:r w:rsidR="00520796">
        <w:t xml:space="preserve">Figure </w:t>
      </w:r>
      <w:r w:rsidR="00520796">
        <w:rPr>
          <w:noProof/>
        </w:rPr>
        <w:t>4</w:t>
      </w:r>
      <w:r w:rsidR="00520796">
        <w:fldChar w:fldCharType="end"/>
      </w:r>
      <w:r w:rsidR="00520796">
        <w:t xml:space="preserve"> we plot the goodness of fit for our quantile regression models across </w:t>
      </w:r>
      <w:r w:rsidR="004754D0">
        <w:t xml:space="preserve">the </w:t>
      </w:r>
      <w:r w:rsidR="00520796">
        <w:t>quantiles and horizons. Horizons 4, 8</w:t>
      </w:r>
      <w:r w:rsidR="00A80B64">
        <w:t xml:space="preserve"> and </w:t>
      </w:r>
      <w:r w:rsidR="00520796">
        <w:t xml:space="preserve">12 are </w:t>
      </w:r>
      <w:r w:rsidR="00520796" w:rsidRPr="00520796">
        <w:t>equivalent</w:t>
      </w:r>
      <w:r w:rsidR="00520796">
        <w:t xml:space="preserve"> to </w:t>
      </w:r>
      <w:r w:rsidR="00520796" w:rsidRPr="00520796">
        <w:t>annualized</w:t>
      </w:r>
      <w:r w:rsidR="00520796">
        <w:t xml:space="preserve"> 1, 2 and 3 </w:t>
      </w:r>
      <w:r w:rsidR="00A80B64">
        <w:t>years</w:t>
      </w:r>
      <w:r w:rsidR="00520796">
        <w:t xml:space="preserve"> ahead GDP growth </w:t>
      </w:r>
      <w:r w:rsidR="00520796" w:rsidRPr="00520796">
        <w:t>estimates</w:t>
      </w:r>
      <w:r w:rsidR="00520796">
        <w:t>.</w:t>
      </w:r>
      <w:r w:rsidR="00A80B64">
        <w:t xml:space="preserve"> From the charts we can observe that the model achieves best results in the lower quantiles of the GDP growth distribution. This outcome is by design since our aim isn’t to perform accurate GDP forecasts, but rather to be able to estimate the GDP distribution in its entirety, with our focus being GaR.</w:t>
      </w:r>
    </w:p>
    <w:p w14:paraId="70C81A7D" w14:textId="77777777" w:rsidR="008A04EC" w:rsidRDefault="00FB786B" w:rsidP="008A04EC">
      <w:pPr>
        <w:keepNext/>
      </w:pPr>
      <w:r>
        <w:rPr>
          <w:noProof/>
        </w:rPr>
        <w:drawing>
          <wp:inline distT="0" distB="0" distL="0" distR="0" wp14:anchorId="2AD917E9" wp14:editId="34AC89B5">
            <wp:extent cx="5479420" cy="16168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a:fillRect/>
                    </a:stretch>
                  </pic:blipFill>
                  <pic:spPr>
                    <a:xfrm>
                      <a:off x="0" y="0"/>
                      <a:ext cx="5541606" cy="1635247"/>
                    </a:xfrm>
                    <a:prstGeom prst="rect">
                      <a:avLst/>
                    </a:prstGeom>
                  </pic:spPr>
                </pic:pic>
              </a:graphicData>
            </a:graphic>
          </wp:inline>
        </w:drawing>
      </w:r>
    </w:p>
    <w:p w14:paraId="2158BCDE" w14:textId="4989922C" w:rsidR="00FB786B" w:rsidRDefault="008A04EC" w:rsidP="008A04EC">
      <w:pPr>
        <w:pStyle w:val="Caption"/>
        <w:jc w:val="both"/>
      </w:pPr>
      <w:bookmarkStart w:id="4" w:name="_Ref169641594"/>
      <w:r>
        <w:t xml:space="preserve">Figure </w:t>
      </w:r>
      <w:r>
        <w:fldChar w:fldCharType="begin"/>
      </w:r>
      <w:r>
        <w:instrText xml:space="preserve"> SEQ Figure \* ARABIC </w:instrText>
      </w:r>
      <w:r>
        <w:fldChar w:fldCharType="separate"/>
      </w:r>
      <w:r w:rsidR="001C4294">
        <w:rPr>
          <w:noProof/>
        </w:rPr>
        <w:t>4</w:t>
      </w:r>
      <w:r>
        <w:fldChar w:fldCharType="end"/>
      </w:r>
      <w:bookmarkEnd w:id="4"/>
      <w:r>
        <w:t xml:space="preserve">. </w:t>
      </w:r>
      <w:r w:rsidR="004754D0">
        <w:t>P</w:t>
      </w:r>
      <w:r w:rsidR="00520796" w:rsidRPr="00520796">
        <w:t>seudo r</w:t>
      </w:r>
      <w:r w:rsidR="00520796">
        <w:t>-</w:t>
      </w:r>
      <w:r w:rsidR="00520796" w:rsidRPr="00520796">
        <w:t>squared</w:t>
      </w:r>
      <w:r w:rsidR="00520796">
        <w:t xml:space="preserve"> for </w:t>
      </w:r>
      <w:r w:rsidR="00520796" w:rsidRPr="00520796">
        <w:t>quantile regression</w:t>
      </w:r>
      <w:r w:rsidR="00520796">
        <w:t xml:space="preserve"> estimates across </w:t>
      </w:r>
      <w:r w:rsidR="00520796" w:rsidRPr="00520796">
        <w:t>quantiles</w:t>
      </w:r>
      <w:r w:rsidR="00520796">
        <w:t xml:space="preserve"> and horizons. OLS </w:t>
      </w:r>
      <w:r w:rsidR="00520796" w:rsidRPr="00520796">
        <w:t>r</w:t>
      </w:r>
      <w:r w:rsidR="00520796">
        <w:t>-</w:t>
      </w:r>
      <w:r w:rsidR="00520796" w:rsidRPr="00520796">
        <w:t>squared</w:t>
      </w:r>
      <w:r w:rsidR="00520796">
        <w:t xml:space="preserve"> displayed as a dashed line. Note: generally, </w:t>
      </w:r>
      <w:r w:rsidR="00520796" w:rsidRPr="00520796">
        <w:t>quantile regression</w:t>
      </w:r>
      <w:r w:rsidR="00520796">
        <w:t xml:space="preserve"> and OLS </w:t>
      </w:r>
      <w:r w:rsidR="00520796" w:rsidRPr="00520796">
        <w:t>r</w:t>
      </w:r>
      <w:r w:rsidR="00520796">
        <w:t>-</w:t>
      </w:r>
      <w:r w:rsidR="00520796" w:rsidRPr="00520796">
        <w:t>squared</w:t>
      </w:r>
      <w:r w:rsidR="00520796">
        <w:t xml:space="preserve"> aren’t comparable. They are here for </w:t>
      </w:r>
      <w:r w:rsidR="00520796" w:rsidRPr="00520796">
        <w:t>convenience</w:t>
      </w:r>
      <w:r w:rsidR="00520796">
        <w:t>.</w:t>
      </w:r>
    </w:p>
    <w:p w14:paraId="132D26FA" w14:textId="12467432" w:rsidR="00730B51" w:rsidRDefault="000A7310" w:rsidP="00730B51">
      <w:pPr>
        <w:spacing w:before="240" w:after="0"/>
        <w:ind w:firstLine="284"/>
      </w:pPr>
      <w:r>
        <w:t xml:space="preserve">In </w:t>
      </w:r>
      <w:r>
        <w:fldChar w:fldCharType="begin"/>
      </w:r>
      <w:r>
        <w:instrText xml:space="preserve"> REF _Ref169642405 \h </w:instrText>
      </w:r>
      <w:r>
        <w:fldChar w:fldCharType="separate"/>
      </w:r>
      <w:r>
        <w:t xml:space="preserve">Figure </w:t>
      </w:r>
      <w:r>
        <w:rPr>
          <w:noProof/>
        </w:rPr>
        <w:t>5</w:t>
      </w:r>
      <w:r>
        <w:fldChar w:fldCharType="end"/>
      </w:r>
      <w:r>
        <w:t xml:space="preserve">, we plot </w:t>
      </w:r>
      <w:r w:rsidR="00D94C7D">
        <w:t xml:space="preserve">the quantile regression estimates for the four key variables in the model. From </w:t>
      </w:r>
      <w:r w:rsidR="00730B51">
        <w:t xml:space="preserve">the </w:t>
      </w:r>
      <w:r w:rsidR="00D94C7D">
        <w:t xml:space="preserve">chats we can observe the heterogeneous effects of MPI. In the short run MPI has positive effect on the tail, and negative effects on the median. The short-run effects of MPI are </w:t>
      </w:r>
      <w:r w:rsidR="00D94C7D" w:rsidRPr="00D94C7D">
        <w:t>insignificant</w:t>
      </w:r>
      <w:r w:rsidR="00D94C7D">
        <w:t xml:space="preserve"> at the 95% </w:t>
      </w:r>
      <w:r w:rsidR="00D94C7D" w:rsidRPr="00D94C7D">
        <w:t>confidence intervals</w:t>
      </w:r>
      <w:r w:rsidR="00D94C7D">
        <w:t xml:space="preserve">, but they are significant at 90%. Meanwhile, at longer horizons MPI displays clear positive effects on both the </w:t>
      </w:r>
      <w:r w:rsidR="00730B51">
        <w:t>median</w:t>
      </w:r>
      <w:r w:rsidR="00D94C7D">
        <w:t xml:space="preserve"> and the </w:t>
      </w:r>
      <w:r w:rsidR="00730B51">
        <w:t xml:space="preserve">tail. </w:t>
      </w:r>
    </w:p>
    <w:p w14:paraId="33E467A0" w14:textId="28ED73CC" w:rsidR="00730B51" w:rsidRDefault="00730B51" w:rsidP="00730B51">
      <w:pPr>
        <w:ind w:firstLine="284"/>
      </w:pPr>
      <w:r>
        <w:t xml:space="preserve">We also observe the heterogeneous effects in FCyI, that said, most of these effects are insignificant in the short run. The FCyI displays negative effects on the GDP distribution the long run. This is in line with the theory of business and financial cycles </w:t>
      </w:r>
      <w:r w:rsidR="0040207D">
        <w:t>where</w:t>
      </w:r>
      <w:r>
        <w:t xml:space="preserve"> a maturity or a peak</w:t>
      </w:r>
      <w:r w:rsidR="00280866">
        <w:t xml:space="preserve"> phase</w:t>
      </w:r>
      <w:r>
        <w:t xml:space="preserve"> is followed by a </w:t>
      </w:r>
      <w:r w:rsidR="0040207D" w:rsidRPr="0040207D">
        <w:t>contraction</w:t>
      </w:r>
      <w:r w:rsidR="0040207D">
        <w:t>.</w:t>
      </w:r>
    </w:p>
    <w:p w14:paraId="57733C74" w14:textId="358830AE" w:rsidR="004F1BA1" w:rsidRDefault="00FB786B" w:rsidP="00264A97">
      <w:r>
        <w:rPr>
          <w:noProof/>
        </w:rPr>
        <w:lastRenderedPageBreak/>
        <w:drawing>
          <wp:inline distT="0" distB="0" distL="0" distR="0" wp14:anchorId="0E13D807" wp14:editId="2B5AC4A4">
            <wp:extent cx="5943600" cy="11677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stretch>
                      <a:fillRect/>
                    </a:stretch>
                  </pic:blipFill>
                  <pic:spPr>
                    <a:xfrm>
                      <a:off x="0" y="0"/>
                      <a:ext cx="5943600" cy="1167765"/>
                    </a:xfrm>
                    <a:prstGeom prst="rect">
                      <a:avLst/>
                    </a:prstGeom>
                  </pic:spPr>
                </pic:pic>
              </a:graphicData>
            </a:graphic>
          </wp:inline>
        </w:drawing>
      </w:r>
    </w:p>
    <w:p w14:paraId="44C05E40" w14:textId="74D1768A" w:rsidR="00FB786B" w:rsidRDefault="00FB786B" w:rsidP="00264A97">
      <w:r>
        <w:rPr>
          <w:noProof/>
        </w:rPr>
        <w:drawing>
          <wp:inline distT="0" distB="0" distL="0" distR="0" wp14:anchorId="5A01D49E" wp14:editId="6D446B33">
            <wp:extent cx="5943600" cy="11639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stretch>
                      <a:fillRect/>
                    </a:stretch>
                  </pic:blipFill>
                  <pic:spPr>
                    <a:xfrm>
                      <a:off x="0" y="0"/>
                      <a:ext cx="5943600" cy="1163955"/>
                    </a:xfrm>
                    <a:prstGeom prst="rect">
                      <a:avLst/>
                    </a:prstGeom>
                  </pic:spPr>
                </pic:pic>
              </a:graphicData>
            </a:graphic>
          </wp:inline>
        </w:drawing>
      </w:r>
    </w:p>
    <w:p w14:paraId="22BD8572" w14:textId="243DD5D7" w:rsidR="00FB786B" w:rsidRDefault="00FB786B" w:rsidP="00264A97">
      <w:r>
        <w:rPr>
          <w:noProof/>
        </w:rPr>
        <w:drawing>
          <wp:inline distT="0" distB="0" distL="0" distR="0" wp14:anchorId="0B3FC085" wp14:editId="0FFAD158">
            <wp:extent cx="5943600" cy="1157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stretch>
                      <a:fillRect/>
                    </a:stretch>
                  </pic:blipFill>
                  <pic:spPr>
                    <a:xfrm>
                      <a:off x="0" y="0"/>
                      <a:ext cx="5943600" cy="1157605"/>
                    </a:xfrm>
                    <a:prstGeom prst="rect">
                      <a:avLst/>
                    </a:prstGeom>
                  </pic:spPr>
                </pic:pic>
              </a:graphicData>
            </a:graphic>
          </wp:inline>
        </w:drawing>
      </w:r>
    </w:p>
    <w:p w14:paraId="0A4BD7BC" w14:textId="77777777" w:rsidR="004754D0" w:rsidRDefault="00FB786B" w:rsidP="004754D0">
      <w:pPr>
        <w:keepNext/>
      </w:pPr>
      <w:r>
        <w:rPr>
          <w:noProof/>
        </w:rPr>
        <w:drawing>
          <wp:inline distT="0" distB="0" distL="0" distR="0" wp14:anchorId="6A28CC34" wp14:editId="48F3F078">
            <wp:extent cx="5943600" cy="11677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stretch>
                      <a:fillRect/>
                    </a:stretch>
                  </pic:blipFill>
                  <pic:spPr>
                    <a:xfrm>
                      <a:off x="0" y="0"/>
                      <a:ext cx="5943600" cy="1167765"/>
                    </a:xfrm>
                    <a:prstGeom prst="rect">
                      <a:avLst/>
                    </a:prstGeom>
                  </pic:spPr>
                </pic:pic>
              </a:graphicData>
            </a:graphic>
          </wp:inline>
        </w:drawing>
      </w:r>
    </w:p>
    <w:p w14:paraId="73416DC6" w14:textId="16F87F96" w:rsidR="00FB786B" w:rsidRDefault="004754D0" w:rsidP="004754D0">
      <w:pPr>
        <w:pStyle w:val="Caption"/>
        <w:jc w:val="both"/>
      </w:pPr>
      <w:bookmarkStart w:id="5" w:name="_Ref169642405"/>
      <w:r>
        <w:t xml:space="preserve">Figure </w:t>
      </w:r>
      <w:r>
        <w:fldChar w:fldCharType="begin"/>
      </w:r>
      <w:r>
        <w:instrText xml:space="preserve"> SEQ Figure \* ARABIC </w:instrText>
      </w:r>
      <w:r>
        <w:fldChar w:fldCharType="separate"/>
      </w:r>
      <w:r w:rsidR="001C4294">
        <w:rPr>
          <w:noProof/>
        </w:rPr>
        <w:t>5</w:t>
      </w:r>
      <w:r>
        <w:fldChar w:fldCharType="end"/>
      </w:r>
      <w:bookmarkEnd w:id="5"/>
      <w:r>
        <w:t xml:space="preserve">. </w:t>
      </w:r>
      <w:r w:rsidRPr="000A7310">
        <w:rPr>
          <w:b w:val="0"/>
          <w:bCs/>
        </w:rPr>
        <w:t>Estimated quantile regression coefficients for horizons 4, 8 and 12. The grey shaded areas represent the 95% confidence intervals. The dashed horizontal line represents the OLS coefficient.</w:t>
      </w:r>
    </w:p>
    <w:p w14:paraId="5EAE5AF8" w14:textId="22E44CCB" w:rsidR="002D1C6C" w:rsidRDefault="00280866" w:rsidP="002D1C6C">
      <w:pPr>
        <w:spacing w:before="240" w:after="0"/>
        <w:ind w:firstLine="284"/>
      </w:pPr>
      <w:r>
        <w:t>The FCI is also insignificant in the short-run and yet shows heterogeneous effects in the long-run. As one might expect financial stress</w:t>
      </w:r>
      <w:r w:rsidR="002D1C6C">
        <w:t xml:space="preserve"> has cyclical properties and thus low stress today indicates a negative effect on</w:t>
      </w:r>
      <w:r>
        <w:t xml:space="preserve"> the median of the GDP growth distribution</w:t>
      </w:r>
      <w:r w:rsidR="002D1C6C">
        <w:t xml:space="preserve"> in the future</w:t>
      </w:r>
      <w:r>
        <w:t>. Interestingly enough, the long run FCI effects on the tail are insignificant. This</w:t>
      </w:r>
      <w:r w:rsidR="002D1C6C">
        <w:t xml:space="preserve"> could</w:t>
      </w:r>
      <w:r>
        <w:t xml:space="preserve"> suggest that the realization of tailed risk</w:t>
      </w:r>
      <w:r w:rsidR="002D1C6C">
        <w:t xml:space="preserve">s don’t </w:t>
      </w:r>
      <w:r w:rsidR="002D1C6C" w:rsidRPr="002D1C6C">
        <w:t xml:space="preserve">necessarily </w:t>
      </w:r>
      <w:r w:rsidR="002D1C6C">
        <w:t xml:space="preserve">determine the </w:t>
      </w:r>
      <w:r w:rsidR="002D1C6C" w:rsidRPr="002D1C6C">
        <w:t>severity</w:t>
      </w:r>
      <w:r w:rsidR="002D1C6C">
        <w:t xml:space="preserve"> of tail events. </w:t>
      </w:r>
    </w:p>
    <w:p w14:paraId="2B62D047" w14:textId="3E25954C" w:rsidR="002D1C6C" w:rsidRDefault="002D1C6C" w:rsidP="00236D65">
      <w:pPr>
        <w:spacing w:before="240"/>
        <w:ind w:firstLine="284"/>
      </w:pPr>
      <w:r>
        <w:lastRenderedPageBreak/>
        <w:t xml:space="preserve">In </w:t>
      </w:r>
      <w:r>
        <w:fldChar w:fldCharType="begin"/>
      </w:r>
      <w:r>
        <w:instrText xml:space="preserve"> REF _Ref169644889 \h </w:instrText>
      </w:r>
      <w:r>
        <w:fldChar w:fldCharType="separate"/>
      </w:r>
      <w:r>
        <w:t xml:space="preserve">Figure </w:t>
      </w:r>
      <w:r>
        <w:rPr>
          <w:noProof/>
        </w:rPr>
        <w:t>6</w:t>
      </w:r>
      <w:r>
        <w:fldChar w:fldCharType="end"/>
      </w:r>
      <w:r>
        <w:t xml:space="preserve">, we present </w:t>
      </w:r>
      <w:r w:rsidR="00A41216">
        <w:t>normalized coefficients for the 4-horizon median and tail quantile regression models. The variables with the strongest effects on the median include the FCyI, FCI, CPI and trade balance. Meanwhile, the variables with the strongest effects on the tail are m</w:t>
      </w:r>
      <w:r w:rsidR="00A41216" w:rsidRPr="00A41216">
        <w:t>ortgage flows</w:t>
      </w:r>
      <w:r w:rsidR="00A41216">
        <w:t>, liquidity ratio, MPI and FCyI.</w:t>
      </w:r>
    </w:p>
    <w:p w14:paraId="2AFE5E71" w14:textId="77777777" w:rsidR="002D1C6C" w:rsidRDefault="00DB55F3" w:rsidP="002D1C6C">
      <w:pPr>
        <w:keepNext/>
      </w:pPr>
      <w:r>
        <w:rPr>
          <w:noProof/>
        </w:rPr>
        <w:drawing>
          <wp:inline distT="0" distB="0" distL="0" distR="0" wp14:anchorId="245E9DAE" wp14:editId="069D8128">
            <wp:extent cx="5943600" cy="30924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stretch>
                      <a:fillRect/>
                    </a:stretch>
                  </pic:blipFill>
                  <pic:spPr>
                    <a:xfrm>
                      <a:off x="0" y="0"/>
                      <a:ext cx="5943600" cy="3092450"/>
                    </a:xfrm>
                    <a:prstGeom prst="rect">
                      <a:avLst/>
                    </a:prstGeom>
                  </pic:spPr>
                </pic:pic>
              </a:graphicData>
            </a:graphic>
          </wp:inline>
        </w:drawing>
      </w:r>
    </w:p>
    <w:p w14:paraId="0595E599" w14:textId="46AA94B6" w:rsidR="00FB786B" w:rsidRPr="001C4294" w:rsidRDefault="002D1C6C" w:rsidP="002D1C6C">
      <w:pPr>
        <w:pStyle w:val="Caption"/>
        <w:jc w:val="both"/>
        <w:rPr>
          <w:b w:val="0"/>
          <w:bCs/>
        </w:rPr>
      </w:pPr>
      <w:bookmarkStart w:id="6" w:name="_Ref169644889"/>
      <w:r>
        <w:t xml:space="preserve">Figure </w:t>
      </w:r>
      <w:r>
        <w:fldChar w:fldCharType="begin"/>
      </w:r>
      <w:r>
        <w:instrText xml:space="preserve"> SEQ Figure \* ARABIC </w:instrText>
      </w:r>
      <w:r>
        <w:fldChar w:fldCharType="separate"/>
      </w:r>
      <w:r w:rsidR="001C4294">
        <w:rPr>
          <w:noProof/>
        </w:rPr>
        <w:t>6</w:t>
      </w:r>
      <w:r>
        <w:fldChar w:fldCharType="end"/>
      </w:r>
      <w:bookmarkEnd w:id="6"/>
      <w:r>
        <w:t xml:space="preserve">. </w:t>
      </w:r>
      <w:r w:rsidRPr="001C4294">
        <w:rPr>
          <w:b w:val="0"/>
          <w:bCs/>
        </w:rPr>
        <w:t>Normalized quantile regression coefficients for horizon 4. In the figure we present the coefficients for quantiles 0.5 (median) and 0.1 (tail).</w:t>
      </w:r>
    </w:p>
    <w:p w14:paraId="35BAB9B6" w14:textId="2398958F" w:rsidR="004F1BA1" w:rsidRDefault="004F1BA1" w:rsidP="001C4294">
      <w:pPr>
        <w:pStyle w:val="SectionHeading"/>
        <w:numPr>
          <w:ilvl w:val="0"/>
          <w:numId w:val="9"/>
        </w:numPr>
        <w:spacing w:before="240"/>
      </w:pPr>
      <w:r>
        <w:t xml:space="preserve">The optimal policy </w:t>
      </w:r>
      <w:proofErr w:type="gramStart"/>
      <w:r>
        <w:t>rul</w:t>
      </w:r>
      <w:r w:rsidR="00264A97">
        <w:t>e</w:t>
      </w:r>
      <w:proofErr w:type="gramEnd"/>
    </w:p>
    <w:p w14:paraId="267857D8" w14:textId="0877069E" w:rsidR="00261E1B" w:rsidRDefault="00C77313" w:rsidP="006D1291">
      <w:pPr>
        <w:ind w:firstLine="284"/>
      </w:pPr>
      <w:r>
        <w:t xml:space="preserve">To showcase the ability of the model for making macroprudential policy recommendations, we perform a 1 year ahead forecast with and without policy interventions. The results for this simulation are presented in </w:t>
      </w:r>
      <w:r>
        <w:fldChar w:fldCharType="begin"/>
      </w:r>
      <w:r>
        <w:instrText xml:space="preserve"> REF _Ref169645934 \h </w:instrText>
      </w:r>
      <w:r>
        <w:fldChar w:fldCharType="separate"/>
      </w:r>
      <w:r>
        <w:t xml:space="preserve">Figure </w:t>
      </w:r>
      <w:r>
        <w:rPr>
          <w:noProof/>
        </w:rPr>
        <w:t>7</w:t>
      </w:r>
      <w:r>
        <w:fldChar w:fldCharType="end"/>
      </w:r>
      <w:r>
        <w:t xml:space="preserve">. </w:t>
      </w:r>
      <w:r w:rsidR="00261E1B">
        <w:t>First,</w:t>
      </w:r>
      <w:r>
        <w:t xml:space="preserve"> we observe that according the forecast, the GDP distribution is going to shift to the right, improving both the median and the tail</w:t>
      </w:r>
      <w:r w:rsidR="00EB0D57">
        <w:t xml:space="preserve">. </w:t>
      </w:r>
      <w:r w:rsidR="00261E1B">
        <w:t xml:space="preserve">The forecast will allow macroprudential policymakers to track the movements of the distribution and act accordingly. For example, if the we observed an increase in the median, but a reduction in the tail due the </w:t>
      </w:r>
      <w:r w:rsidR="00261E1B" w:rsidRPr="00261E1B">
        <w:t>heterogeneous</w:t>
      </w:r>
      <w:r w:rsidR="00261E1B">
        <w:t xml:space="preserve"> effects of the other variables, then </w:t>
      </w:r>
      <w:r w:rsidR="00261E1B" w:rsidRPr="00261E1B">
        <w:t>perhaps</w:t>
      </w:r>
      <w:r w:rsidR="00261E1B">
        <w:t xml:space="preserve"> a stricter policy action would have been recommended.</w:t>
      </w:r>
      <w:r w:rsidR="006D1291">
        <w:t xml:space="preserve"> Finally, the </w:t>
      </w:r>
      <w:r w:rsidR="006D1291" w:rsidRPr="006D1291">
        <w:t>welfare function</w:t>
      </w:r>
      <w:r w:rsidR="006D1291">
        <w:t xml:space="preserve"> proposed by </w:t>
      </w:r>
      <w:r w:rsidR="006D1291" w:rsidRPr="006D1291">
        <w:t>Suarez</w:t>
      </w:r>
      <w:r w:rsidR="006D1291">
        <w:t xml:space="preserve"> will allow </w:t>
      </w:r>
      <w:r w:rsidR="00236D65">
        <w:t>us</w:t>
      </w:r>
      <w:r w:rsidR="006D1291">
        <w:t xml:space="preserve"> to finetune </w:t>
      </w:r>
      <w:r w:rsidR="00236D65">
        <w:t>the</w:t>
      </w:r>
      <w:r w:rsidR="006D1291">
        <w:t xml:space="preserve"> response.</w:t>
      </w:r>
    </w:p>
    <w:p w14:paraId="363CDA9C" w14:textId="77777777" w:rsidR="001C4294" w:rsidRDefault="00DB55F3" w:rsidP="001C4294">
      <w:pPr>
        <w:pStyle w:val="SectionHeading"/>
        <w:numPr>
          <w:ilvl w:val="0"/>
          <w:numId w:val="0"/>
        </w:numPr>
        <w:ind w:left="360" w:hanging="360"/>
      </w:pPr>
      <w:r>
        <w:rPr>
          <w:noProof/>
        </w:rPr>
        <w:lastRenderedPageBreak/>
        <w:drawing>
          <wp:inline distT="0" distB="0" distL="0" distR="0" wp14:anchorId="640E16EF" wp14:editId="4F327553">
            <wp:extent cx="5943600" cy="29508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stretch>
                      <a:fillRect/>
                    </a:stretch>
                  </pic:blipFill>
                  <pic:spPr>
                    <a:xfrm>
                      <a:off x="0" y="0"/>
                      <a:ext cx="5943600" cy="2950845"/>
                    </a:xfrm>
                    <a:prstGeom prst="rect">
                      <a:avLst/>
                    </a:prstGeom>
                  </pic:spPr>
                </pic:pic>
              </a:graphicData>
            </a:graphic>
          </wp:inline>
        </w:drawing>
      </w:r>
    </w:p>
    <w:p w14:paraId="2A41B472" w14:textId="399F0BD0" w:rsidR="004F1BA1" w:rsidRDefault="001C4294" w:rsidP="001C4294">
      <w:pPr>
        <w:pStyle w:val="Caption"/>
        <w:jc w:val="left"/>
      </w:pPr>
      <w:bookmarkStart w:id="7" w:name="_Ref169645934"/>
      <w:r>
        <w:t xml:space="preserve">Figure </w:t>
      </w:r>
      <w:r>
        <w:fldChar w:fldCharType="begin"/>
      </w:r>
      <w:r>
        <w:instrText xml:space="preserve"> SEQ Figure \* ARABIC </w:instrText>
      </w:r>
      <w:r>
        <w:fldChar w:fldCharType="separate"/>
      </w:r>
      <w:r>
        <w:rPr>
          <w:noProof/>
        </w:rPr>
        <w:t>7</w:t>
      </w:r>
      <w:r>
        <w:fldChar w:fldCharType="end"/>
      </w:r>
      <w:bookmarkEnd w:id="7"/>
      <w:r>
        <w:t xml:space="preserve">. </w:t>
      </w:r>
      <w:r w:rsidR="00C6068A">
        <w:t xml:space="preserve">One year ahead GDP distribution forecast and </w:t>
      </w:r>
      <w:r w:rsidR="00C6068A" w:rsidRPr="00C6068A">
        <w:t>optimal policy calibration</w:t>
      </w:r>
      <w:r w:rsidR="0024145B">
        <w:t xml:space="preserve">. Note: to achieve the distribution for the optimal policy case, MPI should increase by 1 (equivalent 0.5 step in CCyB). </w:t>
      </w:r>
      <w:r w:rsidR="00137885" w:rsidRPr="00137885">
        <w:t>Suarez</w:t>
      </w:r>
      <w:r w:rsidR="00137885">
        <w:t xml:space="preserve"> w (</w:t>
      </w:r>
      <w:r w:rsidR="00137885" w:rsidRPr="00137885">
        <w:t>aversion for financial</w:t>
      </w:r>
      <w:r w:rsidR="00137885">
        <w:t xml:space="preserve"> </w:t>
      </w:r>
      <w:r w:rsidR="00137885" w:rsidRPr="00137885">
        <w:t>instability</w:t>
      </w:r>
      <w:r w:rsidR="00137885">
        <w:t>) is assumed to be 0.1.</w:t>
      </w:r>
    </w:p>
    <w:p w14:paraId="5B5D04D5" w14:textId="24AE58B3" w:rsidR="00404682" w:rsidRDefault="00404682" w:rsidP="00C77313">
      <w:pPr>
        <w:pStyle w:val="SectionHeading"/>
        <w:numPr>
          <w:ilvl w:val="0"/>
          <w:numId w:val="9"/>
        </w:numPr>
        <w:spacing w:before="240"/>
      </w:pPr>
      <w:r w:rsidRPr="008506FC">
        <w:t>Conclusion</w:t>
      </w:r>
    </w:p>
    <w:p w14:paraId="6EB0FD6C" w14:textId="2528AE2A" w:rsidR="000D0E76" w:rsidRDefault="000D0E76" w:rsidP="000D0E76">
      <w:pPr>
        <w:spacing w:after="0"/>
        <w:jc w:val="left"/>
      </w:pPr>
      <w:r>
        <w:br w:type="page"/>
      </w:r>
    </w:p>
    <w:sdt>
      <w:sdtPr>
        <w:id w:val="-902362327"/>
        <w:docPartObj>
          <w:docPartGallery w:val="Bibliographies"/>
          <w:docPartUnique/>
        </w:docPartObj>
      </w:sdtPr>
      <w:sdtContent>
        <w:p w14:paraId="25976E07" w14:textId="77777777" w:rsidR="000D0E76" w:rsidRDefault="000D0E76" w:rsidP="000D0E76">
          <w:pPr>
            <w:spacing w:after="0"/>
            <w:jc w:val="left"/>
          </w:pPr>
          <w:r w:rsidRPr="000D0E76">
            <w:rPr>
              <w:b/>
              <w:bCs/>
            </w:rPr>
            <w:t>References</w:t>
          </w:r>
        </w:p>
        <w:sdt>
          <w:sdtPr>
            <w:id w:val="111145805"/>
            <w:bibliography/>
          </w:sdtPr>
          <w:sdtContent>
            <w:p w14:paraId="52FE78A8" w14:textId="77777777" w:rsidR="00B97B98" w:rsidRDefault="000D0E76" w:rsidP="00B97B98">
              <w:pPr>
                <w:pStyle w:val="Bibliography"/>
                <w:ind w:left="720" w:hanging="720"/>
                <w:rPr>
                  <w:noProof/>
                  <w:sz w:val="24"/>
                  <w:szCs w:val="24"/>
                </w:rPr>
              </w:pPr>
              <w:r>
                <w:fldChar w:fldCharType="begin"/>
              </w:r>
              <w:r>
                <w:instrText xml:space="preserve"> BIBLIOGRAPHY </w:instrText>
              </w:r>
              <w:r>
                <w:fldChar w:fldCharType="separate"/>
              </w:r>
              <w:r w:rsidR="00B97B98">
                <w:rPr>
                  <w:noProof/>
                </w:rPr>
                <w:t xml:space="preserve">ESRB. (2018). </w:t>
              </w:r>
              <w:r w:rsidR="00B97B98">
                <w:rPr>
                  <w:i/>
                  <w:iCs/>
                  <w:noProof/>
                </w:rPr>
                <w:t>European Systemic Risk Board A Review of Macroprudential Policy in the EU in 2017.</w:t>
              </w:r>
              <w:r w:rsidR="00B97B98">
                <w:rPr>
                  <w:noProof/>
                </w:rPr>
                <w:t xml:space="preserve"> </w:t>
              </w:r>
            </w:p>
            <w:p w14:paraId="0767A34B" w14:textId="77777777" w:rsidR="00B97B98" w:rsidRDefault="00B97B98" w:rsidP="00B97B98">
              <w:pPr>
                <w:pStyle w:val="Bibliography"/>
                <w:ind w:left="720" w:hanging="720"/>
                <w:rPr>
                  <w:noProof/>
                </w:rPr>
              </w:pPr>
              <w:r>
                <w:rPr>
                  <w:noProof/>
                </w:rPr>
                <w:t xml:space="preserve">Mack, S. (2021). </w:t>
              </w:r>
              <w:r>
                <w:rPr>
                  <w:i/>
                  <w:iCs/>
                  <w:noProof/>
                </w:rPr>
                <w:t>Never waste a good crisis European banking regulation in the pandemic Policy Brief.</w:t>
              </w:r>
              <w:r>
                <w:rPr>
                  <w:noProof/>
                </w:rPr>
                <w:t xml:space="preserve"> Berlin: Hertie School.</w:t>
              </w:r>
            </w:p>
            <w:p w14:paraId="2DF03B0E" w14:textId="77777777" w:rsidR="00B97B98" w:rsidRDefault="00B97B98" w:rsidP="00B97B98">
              <w:pPr>
                <w:pStyle w:val="Bibliography"/>
                <w:ind w:left="720" w:hanging="720"/>
                <w:rPr>
                  <w:noProof/>
                </w:rPr>
              </w:pPr>
              <w:r>
                <w:rPr>
                  <w:noProof/>
                </w:rPr>
                <w:t xml:space="preserve">Schmitz, S., Posch, M., &amp; Strobl, P. (2022). </w:t>
              </w:r>
              <w:r>
                <w:rPr>
                  <w:i/>
                  <w:iCs/>
                  <w:noProof/>
                </w:rPr>
                <w:t>The EU macroprudential review should prioritize removing regulatory overlaps and increasing the flexibility of the CCyB.</w:t>
              </w:r>
              <w:r>
                <w:rPr>
                  <w:noProof/>
                </w:rPr>
                <w:t xml:space="preserve"> Oesterreichische Nationalbank. SUERF.</w:t>
              </w:r>
            </w:p>
            <w:p w14:paraId="74165483" w14:textId="77777777" w:rsidR="00B97B98" w:rsidRDefault="00B97B98" w:rsidP="00B97B98">
              <w:pPr>
                <w:pStyle w:val="Bibliography"/>
                <w:ind w:left="720" w:hanging="720"/>
                <w:rPr>
                  <w:noProof/>
                </w:rPr>
              </w:pPr>
              <w:r>
                <w:rPr>
                  <w:noProof/>
                </w:rPr>
                <w:t xml:space="preserve">Stojkov, K. (2020, September 17). Different Approaches to Implementing a Countercyclical Capital Buffer | Bulletin – September Quarter 2020. </w:t>
              </w:r>
              <w:r>
                <w:rPr>
                  <w:i/>
                  <w:iCs/>
                  <w:noProof/>
                </w:rPr>
                <w:t>Financial Stability Department</w:t>
              </w:r>
              <w:r>
                <w:rPr>
                  <w:noProof/>
                </w:rPr>
                <w:t>.</w:t>
              </w:r>
            </w:p>
            <w:p w14:paraId="17B509EC" w14:textId="77777777" w:rsidR="00B97B98" w:rsidRDefault="00B97B98" w:rsidP="00B97B98">
              <w:pPr>
                <w:pStyle w:val="Bibliography"/>
                <w:ind w:left="720" w:hanging="720"/>
                <w:rPr>
                  <w:noProof/>
                </w:rPr>
              </w:pPr>
              <w:r>
                <w:rPr>
                  <w:noProof/>
                </w:rPr>
                <w:t xml:space="preserve">Galán, J. (2020, November). The benefits are at the tail: Uncovering the impact of macroprudential policy on growth-at-risk. </w:t>
              </w:r>
              <w:r>
                <w:rPr>
                  <w:i/>
                  <w:iCs/>
                  <w:noProof/>
                </w:rPr>
                <w:t>Journal of Financial Stability</w:t>
              </w:r>
              <w:r>
                <w:rPr>
                  <w:noProof/>
                </w:rPr>
                <w:t>(100831), 10.1016/j.jfs.2020.100831.</w:t>
              </w:r>
            </w:p>
            <w:p w14:paraId="174A5E9B" w14:textId="77777777" w:rsidR="00B97B98" w:rsidRDefault="00B97B98" w:rsidP="00B97B98">
              <w:pPr>
                <w:pStyle w:val="Bibliography"/>
                <w:ind w:left="720" w:hanging="720"/>
                <w:rPr>
                  <w:noProof/>
                </w:rPr>
              </w:pPr>
              <w:r>
                <w:rPr>
                  <w:noProof/>
                </w:rPr>
                <w:t xml:space="preserve">Galvez, J., &amp; Mencia, J. (2014). Distributional Linkages between European Sovereign Bond and Bank Asset Returns. </w:t>
              </w:r>
              <w:r>
                <w:rPr>
                  <w:i/>
                  <w:iCs/>
                  <w:noProof/>
                </w:rPr>
                <w:t>SSRN Electronic Journal</w:t>
              </w:r>
              <w:r>
                <w:rPr>
                  <w:noProof/>
                </w:rPr>
                <w:t>, 10.2139/ssrn.2523863.</w:t>
              </w:r>
            </w:p>
            <w:p w14:paraId="1B1C18CF" w14:textId="77777777" w:rsidR="00B97B98" w:rsidRDefault="00B97B98" w:rsidP="00B97B98">
              <w:pPr>
                <w:pStyle w:val="Bibliography"/>
                <w:ind w:left="720" w:hanging="720"/>
                <w:rPr>
                  <w:noProof/>
                </w:rPr>
              </w:pPr>
              <w:r>
                <w:rPr>
                  <w:noProof/>
                </w:rPr>
                <w:t>Aikman, D., Bridges, J., Hoke, S. H., O’Neill, C., &amp; Raja, A. (2019, September). Credit, capital and crises: a GDP-at-Risk approach.</w:t>
              </w:r>
            </w:p>
            <w:p w14:paraId="1FF06F07" w14:textId="77777777" w:rsidR="00B97B98" w:rsidRDefault="00B97B98" w:rsidP="00B97B98">
              <w:pPr>
                <w:pStyle w:val="Bibliography"/>
                <w:ind w:left="720" w:hanging="720"/>
                <w:rPr>
                  <w:noProof/>
                </w:rPr>
              </w:pPr>
              <w:r>
                <w:rPr>
                  <w:noProof/>
                </w:rPr>
                <w:t xml:space="preserve">Prasad, A., Elekdag, S., Jeasakul, P., Lafarguette, R., Alter, A., Xiaochen Feng, A., &amp; Wang, C. (2019). Growth at Risk: Concept and Application in IMF Country Surveillance. </w:t>
              </w:r>
              <w:r>
                <w:rPr>
                  <w:i/>
                  <w:iCs/>
                  <w:noProof/>
                </w:rPr>
                <w:t>IMF Working Papers, 19</w:t>
              </w:r>
              <w:r>
                <w:rPr>
                  <w:noProof/>
                </w:rPr>
                <w:t>(36), 10.5089/9781484397015.001.</w:t>
              </w:r>
            </w:p>
            <w:p w14:paraId="65E0315D" w14:textId="77777777" w:rsidR="00B97B98" w:rsidRDefault="00B97B98" w:rsidP="00B97B98">
              <w:pPr>
                <w:pStyle w:val="Bibliography"/>
                <w:ind w:left="720" w:hanging="720"/>
                <w:rPr>
                  <w:noProof/>
                </w:rPr>
              </w:pPr>
              <w:r>
                <w:rPr>
                  <w:noProof/>
                </w:rPr>
                <w:t xml:space="preserve">Suarez, J. (2022). Growth-at-risk and macroprudential policy design. </w:t>
              </w:r>
              <w:r>
                <w:rPr>
                  <w:i/>
                  <w:iCs/>
                  <w:noProof/>
                </w:rPr>
                <w:t>Journal of Financial Stability, 60</w:t>
              </w:r>
              <w:r>
                <w:rPr>
                  <w:noProof/>
                </w:rPr>
                <w:t>(1572-3089), 10.1016/j.jfs.2022.101008.</w:t>
              </w:r>
            </w:p>
            <w:p w14:paraId="64D2A41C" w14:textId="77777777" w:rsidR="00B97B98" w:rsidRDefault="00B97B98" w:rsidP="00B97B98">
              <w:pPr>
                <w:pStyle w:val="Bibliography"/>
                <w:ind w:left="720" w:hanging="720"/>
                <w:rPr>
                  <w:noProof/>
                </w:rPr>
              </w:pPr>
              <w:r>
                <w:rPr>
                  <w:noProof/>
                </w:rPr>
                <w:t xml:space="preserve">Koop, G., &amp; Korobilis, D. (2014). A new index of financial conditions. </w:t>
              </w:r>
              <w:r>
                <w:rPr>
                  <w:i/>
                  <w:iCs/>
                  <w:noProof/>
                </w:rPr>
                <w:t>European Economic Review, 71</w:t>
              </w:r>
              <w:r>
                <w:rPr>
                  <w:noProof/>
                </w:rPr>
                <w:t>(0014-2921), 101-116, 10.1016/j.euroecorev.2014.07.002.</w:t>
              </w:r>
            </w:p>
            <w:p w14:paraId="7FEEB284" w14:textId="77777777" w:rsidR="00B97B98" w:rsidRDefault="00B97B98" w:rsidP="00B97B98">
              <w:pPr>
                <w:pStyle w:val="Bibliography"/>
                <w:ind w:left="720" w:hanging="720"/>
                <w:rPr>
                  <w:noProof/>
                </w:rPr>
              </w:pPr>
              <w:r>
                <w:rPr>
                  <w:noProof/>
                </w:rPr>
                <w:t xml:space="preserve">Cecchetti, S. G., &amp; Suarez, J. (2021, December). On the Stance of Macroprudential Policy. </w:t>
              </w:r>
              <w:r>
                <w:rPr>
                  <w:i/>
                  <w:iCs/>
                  <w:noProof/>
                </w:rPr>
                <w:t>SSRN Electronic Journal</w:t>
              </w:r>
              <w:r>
                <w:rPr>
                  <w:noProof/>
                </w:rPr>
                <w:t>(11), 10.2139/ssrn.3975941.</w:t>
              </w:r>
            </w:p>
            <w:p w14:paraId="034364D2" w14:textId="77777777" w:rsidR="00B97B98" w:rsidRDefault="00B97B98" w:rsidP="00B97B98">
              <w:pPr>
                <w:pStyle w:val="Bibliography"/>
                <w:ind w:left="720" w:hanging="720"/>
                <w:rPr>
                  <w:noProof/>
                </w:rPr>
              </w:pPr>
              <w:r>
                <w:rPr>
                  <w:noProof/>
                </w:rPr>
                <w:t xml:space="preserve">Chavleishvili, S., Engle, R. F., Fahr, S. A., Kremer, M., Manganelli, S., &amp; Schwaab, B. (2021). The Risk Management Approach to Macro-Prudential Policy. </w:t>
              </w:r>
              <w:r>
                <w:rPr>
                  <w:i/>
                  <w:iCs/>
                  <w:noProof/>
                </w:rPr>
                <w:t>SSRN Electronic Journal</w:t>
              </w:r>
              <w:r>
                <w:rPr>
                  <w:noProof/>
                </w:rPr>
                <w:t>, 10.2139/ssrn.3859109.</w:t>
              </w:r>
            </w:p>
            <w:p w14:paraId="4B7F914C" w14:textId="77777777" w:rsidR="00B97B98" w:rsidRDefault="00B97B98" w:rsidP="00B97B98">
              <w:pPr>
                <w:pStyle w:val="Bibliography"/>
                <w:ind w:left="720" w:hanging="720"/>
                <w:rPr>
                  <w:noProof/>
                </w:rPr>
              </w:pPr>
              <w:r>
                <w:rPr>
                  <w:noProof/>
                </w:rPr>
                <w:lastRenderedPageBreak/>
                <w:t xml:space="preserve">Alam, Z., Alter, A., Eiseman, J., Gelos, R., Kang, H., Narita, M., . . . Wang, N. (2019). Digging Deeper--Evidence on the Effects of Macroprudential Policies from a New Database. </w:t>
              </w:r>
              <w:r>
                <w:rPr>
                  <w:i/>
                  <w:iCs/>
                  <w:noProof/>
                </w:rPr>
                <w:t>IMF Working Papers, 19</w:t>
              </w:r>
              <w:r>
                <w:rPr>
                  <w:noProof/>
                </w:rPr>
                <w:t>(66), 10.5089/9781498302708.001.</w:t>
              </w:r>
            </w:p>
            <w:p w14:paraId="77F5F59D" w14:textId="77777777" w:rsidR="00B97B98" w:rsidRDefault="00B97B98" w:rsidP="00B97B98">
              <w:pPr>
                <w:pStyle w:val="Bibliography"/>
                <w:ind w:left="720" w:hanging="720"/>
                <w:rPr>
                  <w:noProof/>
                </w:rPr>
              </w:pPr>
              <w:r>
                <w:rPr>
                  <w:noProof/>
                </w:rPr>
                <w:t xml:space="preserve">Jiménez, G., Ongena, S., Peydró, J.-L., &amp; Saurina, J. (2017). Macroprudential Policy, Countercyclical Bank Capital Buffers, and Credit Supply: Evidence from the Spanish Dynamic Provisioning Experiments. </w:t>
              </w:r>
              <w:r>
                <w:rPr>
                  <w:i/>
                  <w:iCs/>
                  <w:noProof/>
                </w:rPr>
                <w:t>Journal of Political Economy, 125</w:t>
              </w:r>
              <w:r>
                <w:rPr>
                  <w:noProof/>
                </w:rPr>
                <w:t>(6), 2126-2177, 10.1086/694289.</w:t>
              </w:r>
            </w:p>
            <w:p w14:paraId="31DC732F" w14:textId="77777777" w:rsidR="00B97B98" w:rsidRDefault="00B97B98" w:rsidP="00B97B98">
              <w:pPr>
                <w:pStyle w:val="Bibliography"/>
                <w:ind w:left="720" w:hanging="720"/>
                <w:rPr>
                  <w:noProof/>
                </w:rPr>
              </w:pPr>
              <w:r>
                <w:rPr>
                  <w:noProof/>
                </w:rPr>
                <w:t xml:space="preserve">Boar, C., Gambacorta, L., Lombardo, G., &amp; Silva, L. A. (2017). What are the Effects of Macroprudential Policies on Macroeconomic Performance? </w:t>
              </w:r>
              <w:r>
                <w:rPr>
                  <w:i/>
                  <w:iCs/>
                  <w:noProof/>
                </w:rPr>
                <w:t>BIS Quarterly Review</w:t>
              </w:r>
              <w:r>
                <w:rPr>
                  <w:noProof/>
                </w:rPr>
                <w:t>.</w:t>
              </w:r>
            </w:p>
            <w:p w14:paraId="713BA252" w14:textId="77777777" w:rsidR="00B97B98" w:rsidRDefault="00B97B98" w:rsidP="00B97B98">
              <w:pPr>
                <w:pStyle w:val="Bibliography"/>
                <w:ind w:left="720" w:hanging="720"/>
                <w:rPr>
                  <w:noProof/>
                </w:rPr>
              </w:pPr>
              <w:r>
                <w:rPr>
                  <w:noProof/>
                </w:rPr>
                <w:t xml:space="preserve">Koenker, R., &amp; Bassett, G. (1978). Regression Quantiles. </w:t>
              </w:r>
              <w:r>
                <w:rPr>
                  <w:i/>
                  <w:iCs/>
                  <w:noProof/>
                </w:rPr>
                <w:t>Econometrica, 46</w:t>
              </w:r>
              <w:r>
                <w:rPr>
                  <w:noProof/>
                </w:rPr>
                <w:t>(1), 33, 10.2307/1913643.</w:t>
              </w:r>
            </w:p>
            <w:p w14:paraId="17CF123C" w14:textId="77777777" w:rsidR="00B97B98" w:rsidRDefault="00B97B98" w:rsidP="00B97B98">
              <w:pPr>
                <w:pStyle w:val="Bibliography"/>
                <w:ind w:left="720" w:hanging="720"/>
                <w:rPr>
                  <w:noProof/>
                </w:rPr>
              </w:pPr>
              <w:r>
                <w:rPr>
                  <w:noProof/>
                </w:rPr>
                <w:t xml:space="preserve">Kipriyanov, A. (2022). Comparison of Models for Growth-at-Risk Forecasting. </w:t>
              </w:r>
              <w:r>
                <w:rPr>
                  <w:i/>
                  <w:iCs/>
                  <w:noProof/>
                </w:rPr>
                <w:t>Russian journal of money and finance, 81</w:t>
              </w:r>
              <w:r>
                <w:rPr>
                  <w:noProof/>
                </w:rPr>
                <w:t>(1), 23-45, 10.31477/rjmf.202201.23.</w:t>
              </w:r>
            </w:p>
            <w:p w14:paraId="7DFB57BE" w14:textId="77777777" w:rsidR="00B97B98" w:rsidRDefault="00B97B98" w:rsidP="00B97B98">
              <w:pPr>
                <w:pStyle w:val="Bibliography"/>
                <w:ind w:left="720" w:hanging="720"/>
                <w:rPr>
                  <w:noProof/>
                </w:rPr>
              </w:pPr>
              <w:r>
                <w:rPr>
                  <w:noProof/>
                </w:rPr>
                <w:t xml:space="preserve">Holló, D., Kremer, M., &amp; Lo Duca, M. (2012). A Composite Indicator of Systemic Stress in the Financial System. </w:t>
              </w:r>
              <w:r>
                <w:rPr>
                  <w:i/>
                  <w:iCs/>
                  <w:noProof/>
                </w:rPr>
                <w:t>ECB Working Paper 1426</w:t>
              </w:r>
              <w:r>
                <w:rPr>
                  <w:noProof/>
                </w:rPr>
                <w:t>.</w:t>
              </w:r>
            </w:p>
            <w:p w14:paraId="2E620CF6" w14:textId="77777777" w:rsidR="00B97B98" w:rsidRDefault="00B97B98" w:rsidP="00B97B98">
              <w:pPr>
                <w:pStyle w:val="Bibliography"/>
                <w:ind w:left="720" w:hanging="720"/>
                <w:rPr>
                  <w:noProof/>
                </w:rPr>
              </w:pPr>
              <w:r>
                <w:rPr>
                  <w:noProof/>
                </w:rPr>
                <w:t xml:space="preserve">Plašil, M., Seidler, J., Hlaváč, P., &amp; Konečný, T. (2014). An indicator of the financial cycle in the Czech economy. </w:t>
              </w:r>
              <w:r>
                <w:rPr>
                  <w:i/>
                  <w:iCs/>
                  <w:noProof/>
                </w:rPr>
                <w:t>Czech Financial Stability Report 2013/2014</w:t>
              </w:r>
              <w:r>
                <w:rPr>
                  <w:noProof/>
                </w:rPr>
                <w:t>.</w:t>
              </w:r>
            </w:p>
            <w:p w14:paraId="0297F371" w14:textId="77777777" w:rsidR="00B97B98" w:rsidRDefault="00B97B98" w:rsidP="00B97B98">
              <w:pPr>
                <w:pStyle w:val="Bibliography"/>
                <w:ind w:left="720" w:hanging="720"/>
                <w:rPr>
                  <w:noProof/>
                </w:rPr>
              </w:pPr>
              <w:r>
                <w:rPr>
                  <w:noProof/>
                </w:rPr>
                <w:t>IMF. (2024). International Financial Statistics.</w:t>
              </w:r>
            </w:p>
            <w:p w14:paraId="1A62E0C3" w14:textId="77777777" w:rsidR="00B97B98" w:rsidRDefault="00B97B98" w:rsidP="00B97B98">
              <w:pPr>
                <w:pStyle w:val="Bibliography"/>
                <w:ind w:left="720" w:hanging="720"/>
                <w:rPr>
                  <w:noProof/>
                </w:rPr>
              </w:pPr>
              <w:r>
                <w:rPr>
                  <w:noProof/>
                </w:rPr>
                <w:t>IMF. (2024). Financial Soundness Indicators.</w:t>
              </w:r>
            </w:p>
            <w:p w14:paraId="5E5560D9" w14:textId="77777777" w:rsidR="00B97B98" w:rsidRDefault="00B97B98" w:rsidP="00B97B98">
              <w:pPr>
                <w:pStyle w:val="Bibliography"/>
                <w:ind w:left="720" w:hanging="720"/>
                <w:rPr>
                  <w:noProof/>
                </w:rPr>
              </w:pPr>
              <w:r>
                <w:rPr>
                  <w:noProof/>
                </w:rPr>
                <w:t>World Bank. (2023). Global Economic Monitor (GEM) [Data set]. https://databank.worldbank.org/source/global-economic-monitor-(gem).</w:t>
              </w:r>
            </w:p>
            <w:p w14:paraId="51DA903B" w14:textId="6733D50A" w:rsidR="00250B5D" w:rsidRPr="008506FC" w:rsidRDefault="000D0E76" w:rsidP="00B97B98">
              <w:r>
                <w:rPr>
                  <w:b/>
                  <w:bCs/>
                  <w:noProof/>
                </w:rPr>
                <w:fldChar w:fldCharType="end"/>
              </w:r>
            </w:p>
          </w:sdtContent>
        </w:sdt>
      </w:sdtContent>
    </w:sdt>
    <w:sectPr w:rsidR="00250B5D" w:rsidRPr="008506FC" w:rsidSect="00C5329E">
      <w:type w:val="continuous"/>
      <w:pgSz w:w="12240" w:h="15840" w:code="1"/>
      <w:pgMar w:top="1440" w:right="1440" w:bottom="1440" w:left="1440" w:header="720" w:footer="288" w:gutter="0"/>
      <w:cols w:space="432"/>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E48C2" w14:textId="77777777" w:rsidR="00A877A3" w:rsidRDefault="00A877A3" w:rsidP="002263C9">
      <w:r>
        <w:separator/>
      </w:r>
    </w:p>
  </w:endnote>
  <w:endnote w:type="continuationSeparator" w:id="0">
    <w:p w14:paraId="533E2CAE" w14:textId="77777777" w:rsidR="00A877A3" w:rsidRDefault="00A877A3" w:rsidP="00226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Ebrima"/>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46C37" w14:textId="77777777" w:rsidR="00A877A3" w:rsidRDefault="00A877A3" w:rsidP="002263C9">
      <w:r>
        <w:separator/>
      </w:r>
    </w:p>
  </w:footnote>
  <w:footnote w:type="continuationSeparator" w:id="0">
    <w:p w14:paraId="30B6BDD3" w14:textId="77777777" w:rsidR="00A877A3" w:rsidRDefault="00A877A3" w:rsidP="002263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F2EDC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55A5C2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F0C147E"/>
    <w:lvl w:ilvl="0">
      <w:start w:val="1"/>
      <w:numFmt w:val="decimal"/>
      <w:pStyle w:val="ListNumber3"/>
      <w:lvlText w:val="%1."/>
      <w:lvlJc w:val="left"/>
      <w:pPr>
        <w:tabs>
          <w:tab w:val="num" w:pos="1080"/>
        </w:tabs>
        <w:ind w:left="1080" w:hanging="360"/>
      </w:pPr>
    </w:lvl>
  </w:abstractNum>
  <w:abstractNum w:abstractNumId="3" w15:restartNumberingAfterBreak="0">
    <w:nsid w:val="14F40D04"/>
    <w:multiLevelType w:val="hybridMultilevel"/>
    <w:tmpl w:val="1D84BF60"/>
    <w:lvl w:ilvl="0" w:tplc="68A86BC8">
      <w:start w:val="1"/>
      <w:numFmt w:val="bullet"/>
      <w:pStyle w:val="Bulleted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EA71B2"/>
    <w:multiLevelType w:val="multilevel"/>
    <w:tmpl w:val="3C340030"/>
    <w:lvl w:ilvl="0">
      <w:start w:val="1"/>
      <w:numFmt w:val="decimal"/>
      <w:pStyle w:val="SectionHeading"/>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58AD353F"/>
    <w:multiLevelType w:val="hybridMultilevel"/>
    <w:tmpl w:val="3D4E6844"/>
    <w:lvl w:ilvl="0" w:tplc="996432B4">
      <w:start w:val="1"/>
      <w:numFmt w:val="decimal"/>
      <w:pStyle w:val="NumberedList"/>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48E6170"/>
    <w:multiLevelType w:val="multilevel"/>
    <w:tmpl w:val="1EB447EC"/>
    <w:lvl w:ilvl="0">
      <w:start w:val="1"/>
      <w:numFmt w:val="decimal"/>
      <w:lvlText w:val="%1."/>
      <w:lvlJc w:val="left"/>
      <w:pPr>
        <w:ind w:left="360" w:hanging="360"/>
      </w:pPr>
      <w:rPr>
        <w:rFonts w:hint="default"/>
      </w:rPr>
    </w:lvl>
    <w:lvl w:ilvl="1">
      <w:start w:val="1"/>
      <w:numFmt w:val="decimal"/>
      <w:pStyle w:val="Sub-sectionHeader"/>
      <w:lvlText w:val="%1.%2."/>
      <w:lvlJc w:val="left"/>
      <w:pPr>
        <w:ind w:left="3402" w:hanging="432"/>
      </w:pPr>
      <w:rPr>
        <w:rFonts w:hint="default"/>
      </w:rPr>
    </w:lvl>
    <w:lvl w:ilvl="2">
      <w:start w:val="1"/>
      <w:numFmt w:val="decimal"/>
      <w:pStyle w:val="Sub-sub-sectionheader"/>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29581198">
    <w:abstractNumId w:val="2"/>
  </w:num>
  <w:num w:numId="2" w16cid:durableId="1907452077">
    <w:abstractNumId w:val="1"/>
  </w:num>
  <w:num w:numId="3" w16cid:durableId="266232261">
    <w:abstractNumId w:val="0"/>
  </w:num>
  <w:num w:numId="4" w16cid:durableId="1784303934">
    <w:abstractNumId w:val="5"/>
  </w:num>
  <w:num w:numId="5" w16cid:durableId="485391403">
    <w:abstractNumId w:val="6"/>
  </w:num>
  <w:num w:numId="6" w16cid:durableId="1763379483">
    <w:abstractNumId w:val="3"/>
  </w:num>
  <w:num w:numId="7" w16cid:durableId="879590502">
    <w:abstractNumId w:val="7"/>
  </w:num>
  <w:num w:numId="8" w16cid:durableId="776946757">
    <w:abstractNumId w:val="4"/>
  </w:num>
  <w:num w:numId="9" w16cid:durableId="1258518676">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O0MLIwMjcxMTK1MDRW0lEKTi0uzszPAykwrAUAEgRXpSwAAAA="/>
    <w:docVar w:name="CHIPaperNum" w:val="400"/>
  </w:docVars>
  <w:rsids>
    <w:rsidRoot w:val="004F7602"/>
    <w:rsid w:val="000036C9"/>
    <w:rsid w:val="0000625C"/>
    <w:rsid w:val="00011807"/>
    <w:rsid w:val="00012912"/>
    <w:rsid w:val="00013ED9"/>
    <w:rsid w:val="00013F1B"/>
    <w:rsid w:val="0001659E"/>
    <w:rsid w:val="00025F47"/>
    <w:rsid w:val="000333DE"/>
    <w:rsid w:val="0003450C"/>
    <w:rsid w:val="00040473"/>
    <w:rsid w:val="00040794"/>
    <w:rsid w:val="00044C89"/>
    <w:rsid w:val="00055598"/>
    <w:rsid w:val="000617E1"/>
    <w:rsid w:val="00063446"/>
    <w:rsid w:val="00066128"/>
    <w:rsid w:val="00066255"/>
    <w:rsid w:val="00067860"/>
    <w:rsid w:val="000707EF"/>
    <w:rsid w:val="000728F3"/>
    <w:rsid w:val="00072B3A"/>
    <w:rsid w:val="000734E0"/>
    <w:rsid w:val="00073DCD"/>
    <w:rsid w:val="000770C1"/>
    <w:rsid w:val="00083E46"/>
    <w:rsid w:val="00087BEC"/>
    <w:rsid w:val="00097434"/>
    <w:rsid w:val="000A0748"/>
    <w:rsid w:val="000A3852"/>
    <w:rsid w:val="000A6C04"/>
    <w:rsid w:val="000A7310"/>
    <w:rsid w:val="000B35DC"/>
    <w:rsid w:val="000B397D"/>
    <w:rsid w:val="000B6A11"/>
    <w:rsid w:val="000B72DA"/>
    <w:rsid w:val="000C4EE6"/>
    <w:rsid w:val="000D0E76"/>
    <w:rsid w:val="000D407E"/>
    <w:rsid w:val="000E3577"/>
    <w:rsid w:val="000E4445"/>
    <w:rsid w:val="000E5328"/>
    <w:rsid w:val="000E5572"/>
    <w:rsid w:val="000E77EE"/>
    <w:rsid w:val="000F19BD"/>
    <w:rsid w:val="000F2F7D"/>
    <w:rsid w:val="000F4B8F"/>
    <w:rsid w:val="000F7AD3"/>
    <w:rsid w:val="0010082E"/>
    <w:rsid w:val="0010210D"/>
    <w:rsid w:val="00103A12"/>
    <w:rsid w:val="00103A63"/>
    <w:rsid w:val="00106E5C"/>
    <w:rsid w:val="001105CA"/>
    <w:rsid w:val="00114577"/>
    <w:rsid w:val="00117AD6"/>
    <w:rsid w:val="00117CC2"/>
    <w:rsid w:val="0012152B"/>
    <w:rsid w:val="00121918"/>
    <w:rsid w:val="00121EE5"/>
    <w:rsid w:val="00123CFD"/>
    <w:rsid w:val="00137145"/>
    <w:rsid w:val="00137885"/>
    <w:rsid w:val="00145694"/>
    <w:rsid w:val="001465AB"/>
    <w:rsid w:val="001478F8"/>
    <w:rsid w:val="00147EF4"/>
    <w:rsid w:val="00151FAA"/>
    <w:rsid w:val="00161911"/>
    <w:rsid w:val="00174170"/>
    <w:rsid w:val="00175C00"/>
    <w:rsid w:val="001778D7"/>
    <w:rsid w:val="0017799B"/>
    <w:rsid w:val="00184BC5"/>
    <w:rsid w:val="00186236"/>
    <w:rsid w:val="00191462"/>
    <w:rsid w:val="00197B90"/>
    <w:rsid w:val="001A6452"/>
    <w:rsid w:val="001B2444"/>
    <w:rsid w:val="001B6DCD"/>
    <w:rsid w:val="001B7CA8"/>
    <w:rsid w:val="001C2A81"/>
    <w:rsid w:val="001C32C5"/>
    <w:rsid w:val="001C4294"/>
    <w:rsid w:val="001C4909"/>
    <w:rsid w:val="001D2611"/>
    <w:rsid w:val="001D29E1"/>
    <w:rsid w:val="001D439C"/>
    <w:rsid w:val="001D572E"/>
    <w:rsid w:val="001E35CC"/>
    <w:rsid w:val="001E5C50"/>
    <w:rsid w:val="001F042A"/>
    <w:rsid w:val="001F062E"/>
    <w:rsid w:val="001F2F23"/>
    <w:rsid w:val="001F40BF"/>
    <w:rsid w:val="001F4B3C"/>
    <w:rsid w:val="001F78AB"/>
    <w:rsid w:val="0020192F"/>
    <w:rsid w:val="002022E4"/>
    <w:rsid w:val="002028D3"/>
    <w:rsid w:val="00210191"/>
    <w:rsid w:val="00211004"/>
    <w:rsid w:val="00214551"/>
    <w:rsid w:val="00215ED0"/>
    <w:rsid w:val="00216396"/>
    <w:rsid w:val="00216CFA"/>
    <w:rsid w:val="002263C9"/>
    <w:rsid w:val="00227741"/>
    <w:rsid w:val="002314ED"/>
    <w:rsid w:val="002326A8"/>
    <w:rsid w:val="00233A38"/>
    <w:rsid w:val="002358EE"/>
    <w:rsid w:val="00236D65"/>
    <w:rsid w:val="0024113A"/>
    <w:rsid w:val="0024145B"/>
    <w:rsid w:val="002465F2"/>
    <w:rsid w:val="00250B5D"/>
    <w:rsid w:val="00251B3D"/>
    <w:rsid w:val="00251F75"/>
    <w:rsid w:val="0025707B"/>
    <w:rsid w:val="00261E1B"/>
    <w:rsid w:val="00263558"/>
    <w:rsid w:val="002639F6"/>
    <w:rsid w:val="00264A97"/>
    <w:rsid w:val="002727A0"/>
    <w:rsid w:val="00272DB6"/>
    <w:rsid w:val="00280866"/>
    <w:rsid w:val="002862A4"/>
    <w:rsid w:val="00286A29"/>
    <w:rsid w:val="00291C99"/>
    <w:rsid w:val="00294A14"/>
    <w:rsid w:val="002C3318"/>
    <w:rsid w:val="002D1C6C"/>
    <w:rsid w:val="002D41E8"/>
    <w:rsid w:val="002D639D"/>
    <w:rsid w:val="002D6AE0"/>
    <w:rsid w:val="002E17BA"/>
    <w:rsid w:val="002E55B4"/>
    <w:rsid w:val="002E746E"/>
    <w:rsid w:val="002F1553"/>
    <w:rsid w:val="002F48EE"/>
    <w:rsid w:val="002F61EC"/>
    <w:rsid w:val="002F7A09"/>
    <w:rsid w:val="00305DDF"/>
    <w:rsid w:val="00310376"/>
    <w:rsid w:val="00311723"/>
    <w:rsid w:val="003123C3"/>
    <w:rsid w:val="003152A3"/>
    <w:rsid w:val="00317086"/>
    <w:rsid w:val="00331AFF"/>
    <w:rsid w:val="00334D5C"/>
    <w:rsid w:val="0034039C"/>
    <w:rsid w:val="00340493"/>
    <w:rsid w:val="00344BAB"/>
    <w:rsid w:val="003500C6"/>
    <w:rsid w:val="003500F1"/>
    <w:rsid w:val="003521DC"/>
    <w:rsid w:val="00354AC8"/>
    <w:rsid w:val="00354D90"/>
    <w:rsid w:val="00355923"/>
    <w:rsid w:val="003637B4"/>
    <w:rsid w:val="003644E7"/>
    <w:rsid w:val="00372983"/>
    <w:rsid w:val="00373F8D"/>
    <w:rsid w:val="00383BDF"/>
    <w:rsid w:val="003907EC"/>
    <w:rsid w:val="0039156C"/>
    <w:rsid w:val="003948CB"/>
    <w:rsid w:val="00396BBA"/>
    <w:rsid w:val="00397361"/>
    <w:rsid w:val="003A12EA"/>
    <w:rsid w:val="003A7DC7"/>
    <w:rsid w:val="003B0677"/>
    <w:rsid w:val="003B07DF"/>
    <w:rsid w:val="003B1F3C"/>
    <w:rsid w:val="003B4EB4"/>
    <w:rsid w:val="003C732D"/>
    <w:rsid w:val="003C7D81"/>
    <w:rsid w:val="003D43A0"/>
    <w:rsid w:val="003D5402"/>
    <w:rsid w:val="003D7F56"/>
    <w:rsid w:val="003E1FB5"/>
    <w:rsid w:val="003E3C69"/>
    <w:rsid w:val="003E43AB"/>
    <w:rsid w:val="003F3765"/>
    <w:rsid w:val="003F70AB"/>
    <w:rsid w:val="003F749D"/>
    <w:rsid w:val="0040207D"/>
    <w:rsid w:val="00402976"/>
    <w:rsid w:val="004036E7"/>
    <w:rsid w:val="00404487"/>
    <w:rsid w:val="00404682"/>
    <w:rsid w:val="0041136C"/>
    <w:rsid w:val="0041270E"/>
    <w:rsid w:val="0042437D"/>
    <w:rsid w:val="004317E9"/>
    <w:rsid w:val="00431B38"/>
    <w:rsid w:val="00433499"/>
    <w:rsid w:val="00443E9F"/>
    <w:rsid w:val="00447621"/>
    <w:rsid w:val="00452DF8"/>
    <w:rsid w:val="004535A6"/>
    <w:rsid w:val="00454A5E"/>
    <w:rsid w:val="0045652F"/>
    <w:rsid w:val="00461773"/>
    <w:rsid w:val="00461A87"/>
    <w:rsid w:val="0046771C"/>
    <w:rsid w:val="00470738"/>
    <w:rsid w:val="00470ED8"/>
    <w:rsid w:val="0047539A"/>
    <w:rsid w:val="004754D0"/>
    <w:rsid w:val="00480565"/>
    <w:rsid w:val="00480F98"/>
    <w:rsid w:val="00493EDB"/>
    <w:rsid w:val="004A413E"/>
    <w:rsid w:val="004B1F17"/>
    <w:rsid w:val="004B241B"/>
    <w:rsid w:val="004B2FFF"/>
    <w:rsid w:val="004B35DA"/>
    <w:rsid w:val="004B3FFD"/>
    <w:rsid w:val="004B4E2C"/>
    <w:rsid w:val="004B5AF6"/>
    <w:rsid w:val="004B6BE7"/>
    <w:rsid w:val="004B7570"/>
    <w:rsid w:val="004C33E8"/>
    <w:rsid w:val="004C3AB4"/>
    <w:rsid w:val="004C7A86"/>
    <w:rsid w:val="004E52DA"/>
    <w:rsid w:val="004E6530"/>
    <w:rsid w:val="004F0FC6"/>
    <w:rsid w:val="004F1BA1"/>
    <w:rsid w:val="004F420A"/>
    <w:rsid w:val="004F5754"/>
    <w:rsid w:val="004F7602"/>
    <w:rsid w:val="004F7A15"/>
    <w:rsid w:val="005004D4"/>
    <w:rsid w:val="00501066"/>
    <w:rsid w:val="00505DFC"/>
    <w:rsid w:val="00505E1B"/>
    <w:rsid w:val="00507848"/>
    <w:rsid w:val="00520796"/>
    <w:rsid w:val="00526FB1"/>
    <w:rsid w:val="005327F1"/>
    <w:rsid w:val="00532EB5"/>
    <w:rsid w:val="00536E67"/>
    <w:rsid w:val="00541E5C"/>
    <w:rsid w:val="0054300D"/>
    <w:rsid w:val="0054609A"/>
    <w:rsid w:val="00547E53"/>
    <w:rsid w:val="00551456"/>
    <w:rsid w:val="00552C72"/>
    <w:rsid w:val="00553092"/>
    <w:rsid w:val="0055722A"/>
    <w:rsid w:val="00560E90"/>
    <w:rsid w:val="00583589"/>
    <w:rsid w:val="005850FE"/>
    <w:rsid w:val="00586FE5"/>
    <w:rsid w:val="00587B87"/>
    <w:rsid w:val="00591C69"/>
    <w:rsid w:val="005A0D7A"/>
    <w:rsid w:val="005A1DB7"/>
    <w:rsid w:val="005A2C27"/>
    <w:rsid w:val="005A36EB"/>
    <w:rsid w:val="005A4A14"/>
    <w:rsid w:val="005B0DFB"/>
    <w:rsid w:val="005B4601"/>
    <w:rsid w:val="005C0FDD"/>
    <w:rsid w:val="005C216A"/>
    <w:rsid w:val="005C3125"/>
    <w:rsid w:val="005C366F"/>
    <w:rsid w:val="005C632C"/>
    <w:rsid w:val="005D144D"/>
    <w:rsid w:val="005D4A32"/>
    <w:rsid w:val="005E3A00"/>
    <w:rsid w:val="005E4AEF"/>
    <w:rsid w:val="005E52B8"/>
    <w:rsid w:val="00601246"/>
    <w:rsid w:val="006040B7"/>
    <w:rsid w:val="006048E3"/>
    <w:rsid w:val="0061007B"/>
    <w:rsid w:val="006127F1"/>
    <w:rsid w:val="00613D18"/>
    <w:rsid w:val="00626221"/>
    <w:rsid w:val="006269FF"/>
    <w:rsid w:val="00626F42"/>
    <w:rsid w:val="00627420"/>
    <w:rsid w:val="00632F1C"/>
    <w:rsid w:val="00645F82"/>
    <w:rsid w:val="00646075"/>
    <w:rsid w:val="00646E21"/>
    <w:rsid w:val="006563F6"/>
    <w:rsid w:val="00657A79"/>
    <w:rsid w:val="006619D3"/>
    <w:rsid w:val="006621E5"/>
    <w:rsid w:val="00663A28"/>
    <w:rsid w:val="00670EDD"/>
    <w:rsid w:val="00672138"/>
    <w:rsid w:val="0067248E"/>
    <w:rsid w:val="00676734"/>
    <w:rsid w:val="0068341F"/>
    <w:rsid w:val="00684747"/>
    <w:rsid w:val="00691849"/>
    <w:rsid w:val="0069261B"/>
    <w:rsid w:val="00695F7C"/>
    <w:rsid w:val="006973A2"/>
    <w:rsid w:val="006A0290"/>
    <w:rsid w:val="006A304B"/>
    <w:rsid w:val="006A620B"/>
    <w:rsid w:val="006B00A7"/>
    <w:rsid w:val="006B0C82"/>
    <w:rsid w:val="006B1D5B"/>
    <w:rsid w:val="006B3F1F"/>
    <w:rsid w:val="006C28DF"/>
    <w:rsid w:val="006D1291"/>
    <w:rsid w:val="006D1912"/>
    <w:rsid w:val="006D6F59"/>
    <w:rsid w:val="006E401D"/>
    <w:rsid w:val="006F61A5"/>
    <w:rsid w:val="006F7E70"/>
    <w:rsid w:val="007031CC"/>
    <w:rsid w:val="007078B9"/>
    <w:rsid w:val="007121E1"/>
    <w:rsid w:val="00725786"/>
    <w:rsid w:val="00730B51"/>
    <w:rsid w:val="007313B0"/>
    <w:rsid w:val="00734875"/>
    <w:rsid w:val="00742829"/>
    <w:rsid w:val="00746169"/>
    <w:rsid w:val="007476E9"/>
    <w:rsid w:val="00752A83"/>
    <w:rsid w:val="00760E83"/>
    <w:rsid w:val="00761FD3"/>
    <w:rsid w:val="007626C8"/>
    <w:rsid w:val="00763B24"/>
    <w:rsid w:val="00764F75"/>
    <w:rsid w:val="00765F0E"/>
    <w:rsid w:val="00770435"/>
    <w:rsid w:val="007806A0"/>
    <w:rsid w:val="00782280"/>
    <w:rsid w:val="00782A36"/>
    <w:rsid w:val="0079020B"/>
    <w:rsid w:val="00791975"/>
    <w:rsid w:val="007A43F0"/>
    <w:rsid w:val="007C0416"/>
    <w:rsid w:val="007C1651"/>
    <w:rsid w:val="007C67B0"/>
    <w:rsid w:val="007C7E48"/>
    <w:rsid w:val="007E0A15"/>
    <w:rsid w:val="007E174B"/>
    <w:rsid w:val="007E587A"/>
    <w:rsid w:val="007F175B"/>
    <w:rsid w:val="007F61EF"/>
    <w:rsid w:val="007F645F"/>
    <w:rsid w:val="00803022"/>
    <w:rsid w:val="008060C8"/>
    <w:rsid w:val="008134A2"/>
    <w:rsid w:val="00813F15"/>
    <w:rsid w:val="0082338F"/>
    <w:rsid w:val="0082437C"/>
    <w:rsid w:val="008420FD"/>
    <w:rsid w:val="00847243"/>
    <w:rsid w:val="008506FC"/>
    <w:rsid w:val="00853A06"/>
    <w:rsid w:val="00855456"/>
    <w:rsid w:val="008557EC"/>
    <w:rsid w:val="00860CC1"/>
    <w:rsid w:val="00863703"/>
    <w:rsid w:val="008639E0"/>
    <w:rsid w:val="00865D29"/>
    <w:rsid w:val="008716BC"/>
    <w:rsid w:val="0088145B"/>
    <w:rsid w:val="00886A66"/>
    <w:rsid w:val="00890225"/>
    <w:rsid w:val="00890771"/>
    <w:rsid w:val="008A04EC"/>
    <w:rsid w:val="008A37AF"/>
    <w:rsid w:val="008B2183"/>
    <w:rsid w:val="008B6E63"/>
    <w:rsid w:val="008C0754"/>
    <w:rsid w:val="008C185F"/>
    <w:rsid w:val="008C30F4"/>
    <w:rsid w:val="008C3181"/>
    <w:rsid w:val="008C41ED"/>
    <w:rsid w:val="008C5E06"/>
    <w:rsid w:val="008D07FD"/>
    <w:rsid w:val="008D0B34"/>
    <w:rsid w:val="008E0260"/>
    <w:rsid w:val="008E048C"/>
    <w:rsid w:val="008E5333"/>
    <w:rsid w:val="0090077D"/>
    <w:rsid w:val="00901095"/>
    <w:rsid w:val="0090145C"/>
    <w:rsid w:val="00902FC0"/>
    <w:rsid w:val="00904A50"/>
    <w:rsid w:val="00912528"/>
    <w:rsid w:val="00912676"/>
    <w:rsid w:val="00913DC1"/>
    <w:rsid w:val="00916282"/>
    <w:rsid w:val="00916448"/>
    <w:rsid w:val="00922BB2"/>
    <w:rsid w:val="00923416"/>
    <w:rsid w:val="00926024"/>
    <w:rsid w:val="00926C8D"/>
    <w:rsid w:val="00932CC3"/>
    <w:rsid w:val="00934451"/>
    <w:rsid w:val="009375E5"/>
    <w:rsid w:val="009402CA"/>
    <w:rsid w:val="009519F4"/>
    <w:rsid w:val="00954859"/>
    <w:rsid w:val="009566AF"/>
    <w:rsid w:val="0096183D"/>
    <w:rsid w:val="0096450F"/>
    <w:rsid w:val="0097080A"/>
    <w:rsid w:val="00971C27"/>
    <w:rsid w:val="009863CF"/>
    <w:rsid w:val="00986CC8"/>
    <w:rsid w:val="00992D8D"/>
    <w:rsid w:val="009A62ED"/>
    <w:rsid w:val="009B1D87"/>
    <w:rsid w:val="009C36A9"/>
    <w:rsid w:val="009C542C"/>
    <w:rsid w:val="009C72D9"/>
    <w:rsid w:val="009D0768"/>
    <w:rsid w:val="009D0E6F"/>
    <w:rsid w:val="009D1A17"/>
    <w:rsid w:val="009D316B"/>
    <w:rsid w:val="009E3B95"/>
    <w:rsid w:val="009E4729"/>
    <w:rsid w:val="009F2B73"/>
    <w:rsid w:val="00A037A7"/>
    <w:rsid w:val="00A03CDD"/>
    <w:rsid w:val="00A04BF1"/>
    <w:rsid w:val="00A112AE"/>
    <w:rsid w:val="00A1173C"/>
    <w:rsid w:val="00A20776"/>
    <w:rsid w:val="00A30BF8"/>
    <w:rsid w:val="00A3272B"/>
    <w:rsid w:val="00A368FB"/>
    <w:rsid w:val="00A37C34"/>
    <w:rsid w:val="00A41216"/>
    <w:rsid w:val="00A45CEE"/>
    <w:rsid w:val="00A56217"/>
    <w:rsid w:val="00A616AC"/>
    <w:rsid w:val="00A62A70"/>
    <w:rsid w:val="00A631A3"/>
    <w:rsid w:val="00A6678D"/>
    <w:rsid w:val="00A71EF6"/>
    <w:rsid w:val="00A72455"/>
    <w:rsid w:val="00A7286E"/>
    <w:rsid w:val="00A729A3"/>
    <w:rsid w:val="00A80B64"/>
    <w:rsid w:val="00A8132E"/>
    <w:rsid w:val="00A877A3"/>
    <w:rsid w:val="00A9084B"/>
    <w:rsid w:val="00A9272F"/>
    <w:rsid w:val="00AA414E"/>
    <w:rsid w:val="00AA7718"/>
    <w:rsid w:val="00AB2711"/>
    <w:rsid w:val="00AB6E70"/>
    <w:rsid w:val="00AC28EE"/>
    <w:rsid w:val="00AC2B33"/>
    <w:rsid w:val="00AC313D"/>
    <w:rsid w:val="00AC6216"/>
    <w:rsid w:val="00AC7B51"/>
    <w:rsid w:val="00AC7BE6"/>
    <w:rsid w:val="00AD07AE"/>
    <w:rsid w:val="00AD2744"/>
    <w:rsid w:val="00AD2DB8"/>
    <w:rsid w:val="00AD3AF6"/>
    <w:rsid w:val="00AD6731"/>
    <w:rsid w:val="00AE281B"/>
    <w:rsid w:val="00AE45E6"/>
    <w:rsid w:val="00AE4F4A"/>
    <w:rsid w:val="00AE5286"/>
    <w:rsid w:val="00AF347A"/>
    <w:rsid w:val="00AF5009"/>
    <w:rsid w:val="00B07498"/>
    <w:rsid w:val="00B13D81"/>
    <w:rsid w:val="00B261D5"/>
    <w:rsid w:val="00B26FEF"/>
    <w:rsid w:val="00B27CD5"/>
    <w:rsid w:val="00B309B2"/>
    <w:rsid w:val="00B3523E"/>
    <w:rsid w:val="00B55950"/>
    <w:rsid w:val="00B61AA4"/>
    <w:rsid w:val="00B62631"/>
    <w:rsid w:val="00B82F58"/>
    <w:rsid w:val="00B83D0C"/>
    <w:rsid w:val="00B85EBD"/>
    <w:rsid w:val="00B91BB6"/>
    <w:rsid w:val="00B97B98"/>
    <w:rsid w:val="00BA57F0"/>
    <w:rsid w:val="00BA714B"/>
    <w:rsid w:val="00BB294B"/>
    <w:rsid w:val="00BB348C"/>
    <w:rsid w:val="00BD186F"/>
    <w:rsid w:val="00BD2529"/>
    <w:rsid w:val="00BD4343"/>
    <w:rsid w:val="00BD5EE9"/>
    <w:rsid w:val="00BD6E2B"/>
    <w:rsid w:val="00BE132C"/>
    <w:rsid w:val="00BE699C"/>
    <w:rsid w:val="00BF1387"/>
    <w:rsid w:val="00C04FDF"/>
    <w:rsid w:val="00C06485"/>
    <w:rsid w:val="00C07EC8"/>
    <w:rsid w:val="00C11D90"/>
    <w:rsid w:val="00C31CEF"/>
    <w:rsid w:val="00C31EB8"/>
    <w:rsid w:val="00C41C45"/>
    <w:rsid w:val="00C42DF6"/>
    <w:rsid w:val="00C44C28"/>
    <w:rsid w:val="00C46E74"/>
    <w:rsid w:val="00C5329E"/>
    <w:rsid w:val="00C54401"/>
    <w:rsid w:val="00C57A79"/>
    <w:rsid w:val="00C60437"/>
    <w:rsid w:val="00C6068A"/>
    <w:rsid w:val="00C668FF"/>
    <w:rsid w:val="00C7705E"/>
    <w:rsid w:val="00C77313"/>
    <w:rsid w:val="00C77550"/>
    <w:rsid w:val="00C802B3"/>
    <w:rsid w:val="00C82FBB"/>
    <w:rsid w:val="00C83F7C"/>
    <w:rsid w:val="00C852D4"/>
    <w:rsid w:val="00C8552E"/>
    <w:rsid w:val="00C87975"/>
    <w:rsid w:val="00C94279"/>
    <w:rsid w:val="00CA14C1"/>
    <w:rsid w:val="00CA1F35"/>
    <w:rsid w:val="00CA3503"/>
    <w:rsid w:val="00CA4A8F"/>
    <w:rsid w:val="00CA5766"/>
    <w:rsid w:val="00CA57E1"/>
    <w:rsid w:val="00CB1DB1"/>
    <w:rsid w:val="00CB280A"/>
    <w:rsid w:val="00CC3C6C"/>
    <w:rsid w:val="00CC4FA4"/>
    <w:rsid w:val="00CC70F5"/>
    <w:rsid w:val="00CD1FFA"/>
    <w:rsid w:val="00CE021D"/>
    <w:rsid w:val="00CE28F2"/>
    <w:rsid w:val="00CE4019"/>
    <w:rsid w:val="00CE503D"/>
    <w:rsid w:val="00CE7D73"/>
    <w:rsid w:val="00CF128E"/>
    <w:rsid w:val="00CF2A42"/>
    <w:rsid w:val="00D074E4"/>
    <w:rsid w:val="00D10462"/>
    <w:rsid w:val="00D10AD2"/>
    <w:rsid w:val="00D12810"/>
    <w:rsid w:val="00D13411"/>
    <w:rsid w:val="00D14E81"/>
    <w:rsid w:val="00D1502B"/>
    <w:rsid w:val="00D155A0"/>
    <w:rsid w:val="00D16190"/>
    <w:rsid w:val="00D163F7"/>
    <w:rsid w:val="00D170CB"/>
    <w:rsid w:val="00D20F22"/>
    <w:rsid w:val="00D223D6"/>
    <w:rsid w:val="00D32315"/>
    <w:rsid w:val="00D32E62"/>
    <w:rsid w:val="00D3324C"/>
    <w:rsid w:val="00D3725A"/>
    <w:rsid w:val="00D375EB"/>
    <w:rsid w:val="00D41CAA"/>
    <w:rsid w:val="00D41E1E"/>
    <w:rsid w:val="00D45340"/>
    <w:rsid w:val="00D45C72"/>
    <w:rsid w:val="00D50CF9"/>
    <w:rsid w:val="00D547AD"/>
    <w:rsid w:val="00D565D6"/>
    <w:rsid w:val="00D60FA7"/>
    <w:rsid w:val="00D63A78"/>
    <w:rsid w:val="00D642A3"/>
    <w:rsid w:val="00D65617"/>
    <w:rsid w:val="00D82D53"/>
    <w:rsid w:val="00D8354D"/>
    <w:rsid w:val="00D84763"/>
    <w:rsid w:val="00D90F52"/>
    <w:rsid w:val="00D92D6A"/>
    <w:rsid w:val="00D93431"/>
    <w:rsid w:val="00D94C7D"/>
    <w:rsid w:val="00D96D5D"/>
    <w:rsid w:val="00DA6596"/>
    <w:rsid w:val="00DB050A"/>
    <w:rsid w:val="00DB4E49"/>
    <w:rsid w:val="00DB55F3"/>
    <w:rsid w:val="00DB7B90"/>
    <w:rsid w:val="00DD7C55"/>
    <w:rsid w:val="00DE1746"/>
    <w:rsid w:val="00DE3B36"/>
    <w:rsid w:val="00DE4BFC"/>
    <w:rsid w:val="00DF35AB"/>
    <w:rsid w:val="00E06FBA"/>
    <w:rsid w:val="00E073C6"/>
    <w:rsid w:val="00E11051"/>
    <w:rsid w:val="00E14E51"/>
    <w:rsid w:val="00E21718"/>
    <w:rsid w:val="00E245C8"/>
    <w:rsid w:val="00E24FCD"/>
    <w:rsid w:val="00E27D1E"/>
    <w:rsid w:val="00E309BC"/>
    <w:rsid w:val="00E31A7A"/>
    <w:rsid w:val="00E343AD"/>
    <w:rsid w:val="00E35232"/>
    <w:rsid w:val="00E35A4C"/>
    <w:rsid w:val="00E4453C"/>
    <w:rsid w:val="00E44F55"/>
    <w:rsid w:val="00E52A61"/>
    <w:rsid w:val="00E548EC"/>
    <w:rsid w:val="00E64DDD"/>
    <w:rsid w:val="00E6532B"/>
    <w:rsid w:val="00E65B32"/>
    <w:rsid w:val="00E66CCF"/>
    <w:rsid w:val="00E67522"/>
    <w:rsid w:val="00E8275B"/>
    <w:rsid w:val="00E833F8"/>
    <w:rsid w:val="00E83C9D"/>
    <w:rsid w:val="00E9479E"/>
    <w:rsid w:val="00EA2FD2"/>
    <w:rsid w:val="00EA444F"/>
    <w:rsid w:val="00EB0D57"/>
    <w:rsid w:val="00EB3CF4"/>
    <w:rsid w:val="00EC2F47"/>
    <w:rsid w:val="00EC54AB"/>
    <w:rsid w:val="00ED34FA"/>
    <w:rsid w:val="00ED3D60"/>
    <w:rsid w:val="00EE16AA"/>
    <w:rsid w:val="00EE1925"/>
    <w:rsid w:val="00EE4A38"/>
    <w:rsid w:val="00EE4CD1"/>
    <w:rsid w:val="00EF53FE"/>
    <w:rsid w:val="00EF561D"/>
    <w:rsid w:val="00F01986"/>
    <w:rsid w:val="00F03D8C"/>
    <w:rsid w:val="00F100EF"/>
    <w:rsid w:val="00F112F8"/>
    <w:rsid w:val="00F311C1"/>
    <w:rsid w:val="00F369CB"/>
    <w:rsid w:val="00F41687"/>
    <w:rsid w:val="00F47D2B"/>
    <w:rsid w:val="00F52542"/>
    <w:rsid w:val="00F5437C"/>
    <w:rsid w:val="00F547C4"/>
    <w:rsid w:val="00F56305"/>
    <w:rsid w:val="00F64D84"/>
    <w:rsid w:val="00F70FB2"/>
    <w:rsid w:val="00F71803"/>
    <w:rsid w:val="00F80394"/>
    <w:rsid w:val="00F82DC3"/>
    <w:rsid w:val="00F85093"/>
    <w:rsid w:val="00F90E70"/>
    <w:rsid w:val="00F93478"/>
    <w:rsid w:val="00FA1B14"/>
    <w:rsid w:val="00FA519E"/>
    <w:rsid w:val="00FB02B7"/>
    <w:rsid w:val="00FB5217"/>
    <w:rsid w:val="00FB5FFE"/>
    <w:rsid w:val="00FB786B"/>
    <w:rsid w:val="00FC5A94"/>
    <w:rsid w:val="00FC5AB6"/>
    <w:rsid w:val="00FD08E5"/>
    <w:rsid w:val="00FD3E2C"/>
    <w:rsid w:val="00FD4B4B"/>
    <w:rsid w:val="00FF1AB0"/>
    <w:rsid w:val="00FF2DD4"/>
    <w:rsid w:val="00FF3354"/>
    <w:rsid w:val="00FF6D0D"/>
    <w:rsid w:val="00FF70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A8D93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lsdException w:name="index heading" w:semiHidden="1" w:unhideWhenUsed="1"/>
    <w:lsdException w:name="caption"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lsdException w:name="List 3" w:semiHidden="1"/>
    <w:lsdException w:name="List 4" w:semiHidden="1" w:unhideWhenUsed="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unhideWhenUsed="1"/>
    <w:lsdException w:name="List Continue 3" w:semiHidden="1"/>
    <w:lsdException w:name="List Continue 4" w:semiHidden="1"/>
    <w:lsdException w:name="List Continue 5" w:semiHidden="1" w:unhideWhenUsed="1"/>
    <w:lsdException w:name="Message Header" w:semiHidden="1" w:unhideWhenUsed="1"/>
    <w:lsdException w:name="Subtitle" w:uiPriority="11"/>
    <w:lsdException w:name="Salutation" w:semiHidden="1" w:unhideWhenUsed="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0" w:unhideWhenUsed="1"/>
    <w:lsdException w:name="FollowedHyperlink" w:semiHidden="1"/>
    <w:lsdException w:name="Strong" w:semiHidden="1"/>
    <w:lsdException w:name="Emphasis" w:semiHidden="1"/>
    <w:lsdException w:name="Document Map" w:semiHidden="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263C9"/>
    <w:pPr>
      <w:spacing w:after="120" w:line="480" w:lineRule="auto"/>
      <w:jc w:val="both"/>
    </w:pPr>
    <w:rPr>
      <w:rFonts w:ascii="Times New Roman" w:eastAsia="Times New Roman" w:hAnsi="Times New Roman"/>
    </w:rPr>
  </w:style>
  <w:style w:type="paragraph" w:styleId="Heading1">
    <w:name w:val="heading 1"/>
    <w:basedOn w:val="Normal"/>
    <w:next w:val="Normal"/>
    <w:link w:val="Heading1Char"/>
    <w:uiPriority w:val="9"/>
    <w:qFormat/>
    <w:pPr>
      <w:keepNext/>
      <w:keepLines/>
      <w:spacing w:before="120" w:after="0"/>
      <w:outlineLvl w:val="0"/>
    </w:pPr>
    <w:rPr>
      <w:rFonts w:ascii="Arial" w:hAnsi="Arial"/>
      <w:b/>
      <w:caps/>
      <w:kern w:val="32"/>
      <w:sz w:val="18"/>
    </w:rPr>
  </w:style>
  <w:style w:type="paragraph" w:styleId="Heading2">
    <w:name w:val="heading 2"/>
    <w:basedOn w:val="Heading1"/>
    <w:next w:val="Normal"/>
    <w:link w:val="Heading2Char"/>
    <w:uiPriority w:val="99"/>
    <w:semiHidden/>
    <w:pPr>
      <w:outlineLvl w:val="1"/>
    </w:pPr>
    <w:rPr>
      <w:caps w:val="0"/>
    </w:rPr>
  </w:style>
  <w:style w:type="paragraph" w:styleId="Heading3">
    <w:name w:val="heading 3"/>
    <w:basedOn w:val="Heading2"/>
    <w:next w:val="Normal"/>
    <w:link w:val="Heading3Char"/>
    <w:uiPriority w:val="99"/>
    <w:semiHidden/>
    <w:pPr>
      <w:outlineLvl w:val="2"/>
    </w:pPr>
    <w:rPr>
      <w:b w:val="0"/>
      <w:i/>
    </w:rPr>
  </w:style>
  <w:style w:type="paragraph" w:styleId="Heading4">
    <w:name w:val="heading 4"/>
    <w:basedOn w:val="Normal"/>
    <w:next w:val="Normal"/>
    <w:uiPriority w:val="99"/>
    <w:semiHidden/>
    <w:pPr>
      <w:keepNext/>
      <w:numPr>
        <w:ilvl w:val="3"/>
        <w:numId w:val="4"/>
      </w:numPr>
      <w:spacing w:before="240" w:after="60"/>
      <w:outlineLvl w:val="3"/>
    </w:pPr>
    <w:rPr>
      <w:b/>
      <w:sz w:val="28"/>
    </w:rPr>
  </w:style>
  <w:style w:type="paragraph" w:styleId="Heading5">
    <w:name w:val="heading 5"/>
    <w:basedOn w:val="Normal"/>
    <w:next w:val="Normal"/>
    <w:uiPriority w:val="99"/>
    <w:semiHidden/>
    <w:pPr>
      <w:numPr>
        <w:ilvl w:val="4"/>
        <w:numId w:val="4"/>
      </w:numPr>
      <w:spacing w:before="240" w:after="60"/>
      <w:outlineLvl w:val="4"/>
    </w:pPr>
    <w:rPr>
      <w:b/>
      <w:i/>
      <w:sz w:val="26"/>
    </w:rPr>
  </w:style>
  <w:style w:type="paragraph" w:styleId="Heading6">
    <w:name w:val="heading 6"/>
    <w:basedOn w:val="Normal"/>
    <w:next w:val="Normal"/>
    <w:uiPriority w:val="99"/>
    <w:semiHidden/>
    <w:pPr>
      <w:numPr>
        <w:ilvl w:val="5"/>
        <w:numId w:val="4"/>
      </w:numPr>
      <w:spacing w:before="240" w:after="60"/>
      <w:outlineLvl w:val="5"/>
    </w:pPr>
    <w:rPr>
      <w:b/>
      <w:sz w:val="22"/>
    </w:rPr>
  </w:style>
  <w:style w:type="paragraph" w:styleId="Heading7">
    <w:name w:val="heading 7"/>
    <w:basedOn w:val="Normal"/>
    <w:next w:val="Normal"/>
    <w:uiPriority w:val="99"/>
    <w:semiHidden/>
    <w:pPr>
      <w:numPr>
        <w:ilvl w:val="6"/>
        <w:numId w:val="4"/>
      </w:numPr>
      <w:spacing w:before="240" w:after="60"/>
      <w:outlineLvl w:val="6"/>
    </w:pPr>
  </w:style>
  <w:style w:type="paragraph" w:styleId="Heading8">
    <w:name w:val="heading 8"/>
    <w:basedOn w:val="Normal"/>
    <w:next w:val="Normal"/>
    <w:uiPriority w:val="99"/>
    <w:semiHidden/>
    <w:pPr>
      <w:numPr>
        <w:ilvl w:val="7"/>
        <w:numId w:val="4"/>
      </w:numPr>
      <w:spacing w:before="240" w:after="60"/>
      <w:outlineLvl w:val="7"/>
    </w:pPr>
    <w:rPr>
      <w:i/>
    </w:rPr>
  </w:style>
  <w:style w:type="paragraph" w:styleId="Heading9">
    <w:name w:val="heading 9"/>
    <w:basedOn w:val="Normal"/>
    <w:next w:val="Normal"/>
    <w:uiPriority w:val="99"/>
    <w:semiHidden/>
    <w:pPr>
      <w:numPr>
        <w:ilvl w:val="8"/>
        <w:numId w:val="4"/>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Email">
    <w:name w:val="Author Email"/>
    <w:basedOn w:val="Normal"/>
    <w:link w:val="AuthorEmailChar"/>
    <w:uiPriority w:val="99"/>
    <w:qFormat/>
    <w:rsid w:val="00013F1B"/>
    <w:rPr>
      <w:sz w:val="18"/>
    </w:rPr>
  </w:style>
  <w:style w:type="paragraph" w:styleId="Header">
    <w:name w:val="header"/>
    <w:basedOn w:val="Normal"/>
    <w:uiPriority w:val="99"/>
    <w:semiHidden/>
    <w:pPr>
      <w:tabs>
        <w:tab w:val="center" w:pos="4320"/>
        <w:tab w:val="right" w:pos="8640"/>
      </w:tabs>
    </w:pPr>
    <w:rPr>
      <w:rFonts w:ascii="Arial" w:hAnsi="Arial"/>
    </w:rPr>
  </w:style>
  <w:style w:type="paragraph" w:customStyle="1" w:styleId="Author">
    <w:name w:val="Author"/>
    <w:basedOn w:val="Normal"/>
    <w:link w:val="AuthorChar"/>
    <w:pPr>
      <w:spacing w:after="0"/>
      <w:jc w:val="center"/>
    </w:pPr>
    <w:rPr>
      <w:b/>
      <w:color w:val="000000"/>
      <w:sz w:val="24"/>
    </w:rPr>
  </w:style>
  <w:style w:type="character" w:styleId="PageNumber">
    <w:name w:val="page number"/>
    <w:basedOn w:val="DefaultParagraphFont"/>
    <w:uiPriority w:val="99"/>
    <w:semiHidden/>
  </w:style>
  <w:style w:type="paragraph" w:styleId="Title">
    <w:name w:val="Title"/>
    <w:basedOn w:val="Normal"/>
    <w:uiPriority w:val="99"/>
    <w:qFormat/>
    <w:rsid w:val="005A0D7A"/>
    <w:pPr>
      <w:jc w:val="center"/>
      <w:outlineLvl w:val="0"/>
    </w:pPr>
    <w:rPr>
      <w:b/>
      <w:kern w:val="28"/>
      <w:sz w:val="36"/>
    </w:rPr>
  </w:style>
  <w:style w:type="paragraph" w:customStyle="1" w:styleId="FigTableCaption">
    <w:name w:val="Fig/Table Caption"/>
    <w:basedOn w:val="Caption"/>
    <w:link w:val="FigTableCaptionChar"/>
    <w:uiPriority w:val="99"/>
    <w:semiHidden/>
    <w:qFormat/>
    <w:rsid w:val="00D10AD2"/>
  </w:style>
  <w:style w:type="paragraph" w:styleId="Caption">
    <w:name w:val="caption"/>
    <w:basedOn w:val="Normal"/>
    <w:next w:val="Normal"/>
    <w:link w:val="CaptionChar"/>
    <w:uiPriority w:val="99"/>
    <w:semiHidden/>
    <w:qFormat/>
    <w:rsid w:val="00D90F52"/>
    <w:pPr>
      <w:spacing w:before="60"/>
      <w:jc w:val="center"/>
    </w:pPr>
    <w:rPr>
      <w:b/>
      <w:sz w:val="18"/>
    </w:rPr>
  </w:style>
  <w:style w:type="paragraph" w:styleId="Footer">
    <w:name w:val="footer"/>
    <w:basedOn w:val="Normal"/>
    <w:link w:val="FooterChar"/>
    <w:uiPriority w:val="99"/>
    <w:rsid w:val="003907EC"/>
    <w:pPr>
      <w:tabs>
        <w:tab w:val="center" w:pos="4680"/>
        <w:tab w:val="right" w:pos="9360"/>
      </w:tabs>
      <w:spacing w:after="0"/>
    </w:pPr>
  </w:style>
  <w:style w:type="character" w:customStyle="1" w:styleId="AuthorEmailChar">
    <w:name w:val="Author Email Char"/>
    <w:basedOn w:val="DefaultParagraphFont"/>
    <w:link w:val="AuthorEmail"/>
    <w:uiPriority w:val="99"/>
    <w:rsid w:val="00013F1B"/>
    <w:rPr>
      <w:rFonts w:ascii="Times New Roman" w:eastAsia="Times New Roman" w:hAnsi="Times New Roman"/>
      <w:sz w:val="18"/>
    </w:rPr>
  </w:style>
  <w:style w:type="character" w:customStyle="1" w:styleId="FooterChar">
    <w:name w:val="Footer Char"/>
    <w:basedOn w:val="DefaultParagraphFont"/>
    <w:link w:val="Footer"/>
    <w:uiPriority w:val="99"/>
    <w:rsid w:val="003907EC"/>
    <w:rPr>
      <w:rFonts w:ascii="Times New Roman" w:eastAsia="Times New Roman" w:hAnsi="Times New Roman"/>
    </w:rPr>
  </w:style>
  <w:style w:type="paragraph" w:customStyle="1" w:styleId="CaptionFigureandTable">
    <w:name w:val="Caption (Figure and Table)"/>
    <w:basedOn w:val="Normal"/>
    <w:link w:val="CaptionFigureandTableChar"/>
    <w:uiPriority w:val="99"/>
    <w:qFormat/>
    <w:rsid w:val="004C7A86"/>
    <w:pPr>
      <w:jc w:val="center"/>
    </w:pPr>
    <w:rPr>
      <w:b/>
      <w:bCs/>
      <w:szCs w:val="18"/>
    </w:rPr>
  </w:style>
  <w:style w:type="paragraph" w:customStyle="1" w:styleId="Tabletext">
    <w:name w:val="Tabletext"/>
    <w:basedOn w:val="Normal"/>
    <w:link w:val="TabletextChar"/>
    <w:uiPriority w:val="99"/>
    <w:qFormat/>
    <w:rsid w:val="00D642A3"/>
    <w:pPr>
      <w:spacing w:line="240" w:lineRule="auto"/>
      <w:jc w:val="center"/>
    </w:pPr>
    <w:rPr>
      <w:szCs w:val="18"/>
    </w:rPr>
  </w:style>
  <w:style w:type="paragraph" w:styleId="Index1">
    <w:name w:val="index 1"/>
    <w:basedOn w:val="Normal"/>
    <w:next w:val="Normal"/>
    <w:autoRedefine/>
    <w:uiPriority w:val="99"/>
    <w:semiHidden/>
    <w:pPr>
      <w:ind w:left="240" w:hanging="240"/>
    </w:pPr>
  </w:style>
  <w:style w:type="paragraph" w:styleId="Index2">
    <w:name w:val="index 2"/>
    <w:basedOn w:val="Normal"/>
    <w:next w:val="Normal"/>
    <w:autoRedefine/>
    <w:uiPriority w:val="99"/>
    <w:semiHidden/>
    <w:pPr>
      <w:ind w:left="480" w:hanging="240"/>
    </w:pPr>
  </w:style>
  <w:style w:type="paragraph" w:styleId="Index3">
    <w:name w:val="index 3"/>
    <w:basedOn w:val="Normal"/>
    <w:next w:val="Normal"/>
    <w:autoRedefine/>
    <w:uiPriority w:val="99"/>
    <w:semiHidden/>
    <w:pPr>
      <w:ind w:left="720" w:hanging="240"/>
    </w:pPr>
  </w:style>
  <w:style w:type="paragraph" w:styleId="Index4">
    <w:name w:val="index 4"/>
    <w:basedOn w:val="Normal"/>
    <w:next w:val="Normal"/>
    <w:autoRedefine/>
    <w:uiPriority w:val="99"/>
    <w:semiHidden/>
    <w:pPr>
      <w:ind w:left="960" w:hanging="240"/>
    </w:pPr>
  </w:style>
  <w:style w:type="paragraph" w:styleId="Index5">
    <w:name w:val="index 5"/>
    <w:basedOn w:val="Normal"/>
    <w:next w:val="Normal"/>
    <w:autoRedefine/>
    <w:uiPriority w:val="99"/>
    <w:semiHidden/>
    <w:pPr>
      <w:ind w:left="1200" w:hanging="240"/>
    </w:pPr>
  </w:style>
  <w:style w:type="paragraph" w:styleId="Index6">
    <w:name w:val="index 6"/>
    <w:basedOn w:val="Normal"/>
    <w:next w:val="Normal"/>
    <w:autoRedefine/>
    <w:uiPriority w:val="99"/>
    <w:semiHidden/>
    <w:pPr>
      <w:ind w:left="1440" w:hanging="240"/>
    </w:pPr>
  </w:style>
  <w:style w:type="paragraph" w:styleId="Index7">
    <w:name w:val="index 7"/>
    <w:basedOn w:val="Normal"/>
    <w:next w:val="Normal"/>
    <w:autoRedefine/>
    <w:uiPriority w:val="99"/>
    <w:semiHidden/>
    <w:pPr>
      <w:ind w:left="1680" w:hanging="240"/>
    </w:pPr>
  </w:style>
  <w:style w:type="paragraph" w:styleId="Index8">
    <w:name w:val="index 8"/>
    <w:basedOn w:val="Normal"/>
    <w:next w:val="Normal"/>
    <w:autoRedefine/>
    <w:uiPriority w:val="99"/>
    <w:semiHidden/>
    <w:pPr>
      <w:ind w:left="1920" w:hanging="240"/>
    </w:pPr>
  </w:style>
  <w:style w:type="paragraph" w:styleId="Index9">
    <w:name w:val="index 9"/>
    <w:basedOn w:val="Normal"/>
    <w:next w:val="Normal"/>
    <w:autoRedefine/>
    <w:uiPriority w:val="99"/>
    <w:semiHidden/>
    <w:pPr>
      <w:ind w:left="2160" w:hanging="240"/>
    </w:pPr>
  </w:style>
  <w:style w:type="paragraph" w:styleId="IndexHeading">
    <w:name w:val="index heading"/>
    <w:basedOn w:val="Normal"/>
    <w:next w:val="Index1"/>
    <w:uiPriority w:val="99"/>
    <w:semiHidden/>
    <w:rPr>
      <w:rFonts w:ascii="Arial" w:hAnsi="Arial"/>
      <w:b/>
    </w:rPr>
  </w:style>
  <w:style w:type="paragraph" w:styleId="List">
    <w:name w:val="List"/>
    <w:basedOn w:val="Normal"/>
    <w:uiPriority w:val="99"/>
    <w:semiHidden/>
    <w:pPr>
      <w:ind w:left="360" w:hanging="360"/>
    </w:pPr>
  </w:style>
  <w:style w:type="character" w:customStyle="1" w:styleId="CaptionFigureandTableChar">
    <w:name w:val="Caption (Figure and Table) Char"/>
    <w:basedOn w:val="DefaultParagraphFont"/>
    <w:link w:val="CaptionFigureandTable"/>
    <w:uiPriority w:val="99"/>
    <w:rsid w:val="004C7A86"/>
    <w:rPr>
      <w:rFonts w:ascii="Times New Roman" w:eastAsia="Times New Roman" w:hAnsi="Times New Roman"/>
      <w:b/>
      <w:bCs/>
      <w:szCs w:val="18"/>
    </w:rPr>
  </w:style>
  <w:style w:type="character" w:customStyle="1" w:styleId="CaptionChar">
    <w:name w:val="Caption Char"/>
    <w:basedOn w:val="DefaultParagraphFont"/>
    <w:link w:val="Caption"/>
    <w:uiPriority w:val="99"/>
    <w:semiHidden/>
    <w:rsid w:val="00D10AD2"/>
    <w:rPr>
      <w:rFonts w:ascii="Times New Roman" w:eastAsia="Times New Roman" w:hAnsi="Times New Roman"/>
      <w:b/>
      <w:sz w:val="18"/>
    </w:rPr>
  </w:style>
  <w:style w:type="paragraph" w:styleId="List4">
    <w:name w:val="List 4"/>
    <w:basedOn w:val="Normal"/>
    <w:uiPriority w:val="99"/>
    <w:semiHidden/>
    <w:pPr>
      <w:ind w:left="1440" w:hanging="360"/>
    </w:pPr>
  </w:style>
  <w:style w:type="character" w:customStyle="1" w:styleId="FigTableCaptionChar">
    <w:name w:val="Fig/Table Caption Char"/>
    <w:basedOn w:val="CaptionChar"/>
    <w:link w:val="FigTableCaption"/>
    <w:uiPriority w:val="99"/>
    <w:semiHidden/>
    <w:rsid w:val="00D10AD2"/>
    <w:rPr>
      <w:rFonts w:ascii="Times New Roman" w:eastAsia="Times New Roman" w:hAnsi="Times New Roman"/>
      <w:b/>
      <w:sz w:val="18"/>
    </w:rPr>
  </w:style>
  <w:style w:type="character" w:styleId="CommentReference">
    <w:name w:val="annotation reference"/>
    <w:basedOn w:val="DefaultParagraphFont"/>
    <w:uiPriority w:val="99"/>
    <w:semiHidden/>
    <w:rsid w:val="00117CC2"/>
    <w:rPr>
      <w:sz w:val="16"/>
      <w:szCs w:val="16"/>
    </w:rPr>
  </w:style>
  <w:style w:type="character" w:customStyle="1" w:styleId="TabletextChar">
    <w:name w:val="Tabletext Char"/>
    <w:basedOn w:val="DefaultParagraphFont"/>
    <w:link w:val="Tabletext"/>
    <w:uiPriority w:val="99"/>
    <w:rsid w:val="00D642A3"/>
    <w:rPr>
      <w:rFonts w:ascii="Times New Roman" w:eastAsia="Times New Roman" w:hAnsi="Times New Roman"/>
      <w:szCs w:val="18"/>
    </w:rPr>
  </w:style>
  <w:style w:type="paragraph" w:styleId="CommentText">
    <w:name w:val="annotation text"/>
    <w:basedOn w:val="Normal"/>
    <w:link w:val="CommentTextChar"/>
    <w:uiPriority w:val="99"/>
    <w:semiHidden/>
    <w:rsid w:val="00117CC2"/>
  </w:style>
  <w:style w:type="character" w:customStyle="1" w:styleId="CommentTextChar">
    <w:name w:val="Comment Text Char"/>
    <w:basedOn w:val="DefaultParagraphFont"/>
    <w:link w:val="CommentText"/>
    <w:uiPriority w:val="99"/>
    <w:semiHidden/>
    <w:rsid w:val="00117CC2"/>
    <w:rPr>
      <w:rFonts w:ascii="Times New Roman" w:eastAsia="Times New Roman" w:hAnsi="Times New Roman"/>
    </w:rPr>
  </w:style>
  <w:style w:type="paragraph" w:styleId="CommentSubject">
    <w:name w:val="annotation subject"/>
    <w:basedOn w:val="CommentText"/>
    <w:next w:val="CommentText"/>
    <w:link w:val="CommentSubjectChar"/>
    <w:uiPriority w:val="99"/>
    <w:semiHidden/>
    <w:rsid w:val="00117CC2"/>
    <w:rPr>
      <w:b/>
      <w:bCs/>
    </w:rPr>
  </w:style>
  <w:style w:type="character" w:customStyle="1" w:styleId="CommentSubjectChar">
    <w:name w:val="Comment Subject Char"/>
    <w:basedOn w:val="CommentTextChar"/>
    <w:link w:val="CommentSubject"/>
    <w:uiPriority w:val="99"/>
    <w:semiHidden/>
    <w:rsid w:val="00117CC2"/>
    <w:rPr>
      <w:rFonts w:ascii="Times New Roman" w:eastAsia="Times New Roman" w:hAnsi="Times New Roman"/>
      <w:b/>
      <w:bCs/>
    </w:rPr>
  </w:style>
  <w:style w:type="paragraph" w:styleId="ListContinue2">
    <w:name w:val="List Continue 2"/>
    <w:basedOn w:val="Normal"/>
    <w:uiPriority w:val="99"/>
    <w:semiHidden/>
    <w:pPr>
      <w:ind w:left="720"/>
    </w:pPr>
  </w:style>
  <w:style w:type="paragraph" w:styleId="BalloonText">
    <w:name w:val="Balloon Text"/>
    <w:basedOn w:val="Normal"/>
    <w:link w:val="BalloonTextChar"/>
    <w:uiPriority w:val="99"/>
    <w:semiHidden/>
    <w:rsid w:val="00117CC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CC2"/>
    <w:rPr>
      <w:rFonts w:ascii="Segoe UI" w:eastAsia="Times New Roman" w:hAnsi="Segoe UI" w:cs="Segoe UI"/>
      <w:sz w:val="18"/>
      <w:szCs w:val="18"/>
    </w:rPr>
  </w:style>
  <w:style w:type="paragraph" w:styleId="ListContinue5">
    <w:name w:val="List Continue 5"/>
    <w:basedOn w:val="Normal"/>
    <w:uiPriority w:val="99"/>
    <w:semiHidden/>
    <w:pPr>
      <w:ind w:left="1800"/>
    </w:pPr>
  </w:style>
  <w:style w:type="paragraph" w:styleId="ListParagraph">
    <w:name w:val="List Paragraph"/>
    <w:basedOn w:val="Normal"/>
    <w:uiPriority w:val="99"/>
    <w:semiHidden/>
    <w:rsid w:val="00902FC0"/>
    <w:pPr>
      <w:ind w:left="720"/>
      <w:contextualSpacing/>
    </w:pPr>
  </w:style>
  <w:style w:type="paragraph" w:styleId="ListNumber3">
    <w:name w:val="List Number 3"/>
    <w:basedOn w:val="Normal"/>
    <w:uiPriority w:val="99"/>
    <w:semiHidden/>
    <w:pPr>
      <w:numPr>
        <w:numId w:val="1"/>
      </w:numPr>
    </w:pPr>
  </w:style>
  <w:style w:type="paragraph" w:styleId="ListNumber4">
    <w:name w:val="List Number 4"/>
    <w:basedOn w:val="Normal"/>
    <w:uiPriority w:val="99"/>
    <w:semiHidden/>
    <w:pPr>
      <w:numPr>
        <w:numId w:val="2"/>
      </w:numPr>
    </w:pPr>
  </w:style>
  <w:style w:type="paragraph" w:styleId="ListNumber5">
    <w:name w:val="List Number 5"/>
    <w:basedOn w:val="Normal"/>
    <w:uiPriority w:val="99"/>
    <w:semiHidden/>
    <w:pPr>
      <w:numPr>
        <w:numId w:val="3"/>
      </w:numPr>
    </w:pPr>
  </w:style>
  <w:style w:type="paragraph" w:styleId="MacroText">
    <w:name w:val="macro"/>
    <w:uiPriority w:val="99"/>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MessageHeader">
    <w:name w:val="Message Header"/>
    <w:basedOn w:val="Normal"/>
    <w:uiPriority w:val="99"/>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PlainText">
    <w:name w:val="Plain Text"/>
    <w:basedOn w:val="Normal"/>
    <w:uiPriority w:val="99"/>
    <w:semiHidden/>
    <w:rPr>
      <w:rFonts w:ascii="Courier New" w:hAnsi="Courier New"/>
    </w:rPr>
  </w:style>
  <w:style w:type="paragraph" w:styleId="Salutation">
    <w:name w:val="Salutation"/>
    <w:basedOn w:val="Normal"/>
    <w:next w:val="Normal"/>
    <w:uiPriority w:val="99"/>
    <w:semiHidden/>
  </w:style>
  <w:style w:type="paragraph" w:styleId="Signature">
    <w:name w:val="Signature"/>
    <w:basedOn w:val="Normal"/>
    <w:uiPriority w:val="99"/>
    <w:semiHidden/>
    <w:pPr>
      <w:ind w:left="4320"/>
    </w:pPr>
  </w:style>
  <w:style w:type="paragraph" w:styleId="Subtitle">
    <w:name w:val="Subtitle"/>
    <w:basedOn w:val="Normal"/>
    <w:uiPriority w:val="99"/>
    <w:semiHidden/>
    <w:pPr>
      <w:spacing w:after="60"/>
      <w:jc w:val="center"/>
      <w:outlineLvl w:val="1"/>
    </w:pPr>
    <w:rPr>
      <w:rFonts w:ascii="Arial" w:hAnsi="Arial"/>
    </w:rPr>
  </w:style>
  <w:style w:type="paragraph" w:styleId="TOAHeading">
    <w:name w:val="toa heading"/>
    <w:basedOn w:val="Normal"/>
    <w:next w:val="Normal"/>
    <w:uiPriority w:val="99"/>
    <w:semiHidden/>
    <w:pPr>
      <w:spacing w:before="120"/>
    </w:pPr>
    <w:rPr>
      <w:rFonts w:ascii="Arial" w:hAnsi="Arial"/>
      <w:b/>
    </w:rPr>
  </w:style>
  <w:style w:type="paragraph" w:styleId="TOC1">
    <w:name w:val="toc 1"/>
    <w:basedOn w:val="Normal"/>
    <w:next w:val="Normal"/>
    <w:autoRedefine/>
    <w:uiPriority w:val="99"/>
    <w:semiHidden/>
  </w:style>
  <w:style w:type="paragraph" w:styleId="TOC2">
    <w:name w:val="toc 2"/>
    <w:basedOn w:val="Normal"/>
    <w:next w:val="Normal"/>
    <w:autoRedefine/>
    <w:uiPriority w:val="99"/>
    <w:semiHidden/>
    <w:pPr>
      <w:ind w:left="240"/>
    </w:pPr>
  </w:style>
  <w:style w:type="paragraph" w:styleId="TOC3">
    <w:name w:val="toc 3"/>
    <w:basedOn w:val="Normal"/>
    <w:next w:val="Normal"/>
    <w:autoRedefine/>
    <w:uiPriority w:val="99"/>
    <w:semiHidden/>
    <w:pPr>
      <w:ind w:left="480"/>
    </w:pPr>
  </w:style>
  <w:style w:type="paragraph" w:styleId="TOC4">
    <w:name w:val="toc 4"/>
    <w:basedOn w:val="Normal"/>
    <w:next w:val="Normal"/>
    <w:autoRedefine/>
    <w:uiPriority w:val="99"/>
    <w:semiHidden/>
    <w:pPr>
      <w:ind w:left="720"/>
    </w:pPr>
  </w:style>
  <w:style w:type="paragraph" w:styleId="TOC5">
    <w:name w:val="toc 5"/>
    <w:basedOn w:val="Normal"/>
    <w:next w:val="Normal"/>
    <w:autoRedefine/>
    <w:uiPriority w:val="99"/>
    <w:semiHidden/>
    <w:pPr>
      <w:ind w:left="960"/>
    </w:pPr>
  </w:style>
  <w:style w:type="paragraph" w:styleId="TOC6">
    <w:name w:val="toc 6"/>
    <w:basedOn w:val="Normal"/>
    <w:next w:val="Normal"/>
    <w:autoRedefine/>
    <w:uiPriority w:val="99"/>
    <w:semiHidden/>
    <w:pPr>
      <w:ind w:left="1200"/>
    </w:pPr>
  </w:style>
  <w:style w:type="paragraph" w:styleId="TOC7">
    <w:name w:val="toc 7"/>
    <w:basedOn w:val="Normal"/>
    <w:next w:val="Normal"/>
    <w:autoRedefine/>
    <w:uiPriority w:val="99"/>
    <w:semiHidden/>
    <w:pPr>
      <w:ind w:left="1440"/>
    </w:pPr>
  </w:style>
  <w:style w:type="paragraph" w:styleId="TOC8">
    <w:name w:val="toc 8"/>
    <w:basedOn w:val="Normal"/>
    <w:next w:val="Normal"/>
    <w:autoRedefine/>
    <w:uiPriority w:val="99"/>
    <w:semiHidden/>
    <w:pPr>
      <w:ind w:left="1680"/>
    </w:pPr>
  </w:style>
  <w:style w:type="paragraph" w:styleId="TOC9">
    <w:name w:val="toc 9"/>
    <w:basedOn w:val="Normal"/>
    <w:next w:val="Normal"/>
    <w:autoRedefine/>
    <w:uiPriority w:val="99"/>
    <w:semiHidden/>
    <w:pPr>
      <w:ind w:left="1920"/>
    </w:pPr>
  </w:style>
  <w:style w:type="paragraph" w:customStyle="1" w:styleId="References">
    <w:name w:val="References"/>
    <w:basedOn w:val="Normal"/>
    <w:link w:val="ReferencesChar"/>
    <w:autoRedefine/>
    <w:qFormat/>
    <w:rsid w:val="003D43A0"/>
    <w:pPr>
      <w:overflowPunct w:val="0"/>
      <w:autoSpaceDE w:val="0"/>
      <w:autoSpaceDN w:val="0"/>
      <w:adjustRightInd w:val="0"/>
      <w:ind w:left="720" w:hanging="720"/>
      <w:textAlignment w:val="baseline"/>
    </w:pPr>
  </w:style>
  <w:style w:type="paragraph" w:customStyle="1" w:styleId="Abstract">
    <w:name w:val="Abstract"/>
    <w:basedOn w:val="Heading1"/>
    <w:pPr>
      <w:spacing w:before="40"/>
      <w:outlineLvl w:val="9"/>
    </w:pPr>
    <w:rPr>
      <w:rFonts w:ascii="Times New Roman" w:hAnsi="Times New Roman"/>
      <w:kern w:val="28"/>
      <w:sz w:val="24"/>
    </w:rPr>
  </w:style>
  <w:style w:type="character" w:styleId="Hyperlink">
    <w:name w:val="Hyperlink"/>
    <w:uiPriority w:val="99"/>
    <w:semiHidden/>
    <w:rsid w:val="00480565"/>
    <w:rPr>
      <w:color w:val="4173AF"/>
      <w:sz w:val="20"/>
      <w:szCs w:val="20"/>
    </w:rPr>
  </w:style>
  <w:style w:type="paragraph" w:customStyle="1" w:styleId="Affiliation">
    <w:name w:val="Affiliation"/>
    <w:basedOn w:val="Author"/>
    <w:link w:val="AffiliationChar"/>
    <w:rPr>
      <w:b w:val="0"/>
    </w:rPr>
  </w:style>
  <w:style w:type="paragraph" w:customStyle="1" w:styleId="TableText0">
    <w:name w:val="Table Text"/>
    <w:basedOn w:val="Normal"/>
    <w:rsid w:val="00D90F52"/>
    <w:pPr>
      <w:keepLines/>
      <w:spacing w:before="40" w:after="40"/>
      <w:jc w:val="center"/>
    </w:pPr>
  </w:style>
  <w:style w:type="paragraph" w:customStyle="1" w:styleId="AuthorName">
    <w:name w:val="Author Name"/>
    <w:basedOn w:val="Author"/>
    <w:link w:val="AuthorNameChar"/>
    <w:qFormat/>
    <w:rsid w:val="005A0D7A"/>
    <w:pPr>
      <w:jc w:val="left"/>
    </w:pPr>
    <w:rPr>
      <w:sz w:val="20"/>
    </w:rPr>
  </w:style>
  <w:style w:type="paragraph" w:customStyle="1" w:styleId="AuthorAffiliation">
    <w:name w:val="Author Affiliation"/>
    <w:basedOn w:val="Affiliation"/>
    <w:link w:val="AuthorAffiliationChar"/>
    <w:qFormat/>
    <w:rsid w:val="0042437D"/>
    <w:pPr>
      <w:jc w:val="left"/>
    </w:pPr>
    <w:rPr>
      <w:sz w:val="20"/>
    </w:rPr>
  </w:style>
  <w:style w:type="character" w:customStyle="1" w:styleId="AuthorChar">
    <w:name w:val="Author Char"/>
    <w:basedOn w:val="DefaultParagraphFont"/>
    <w:link w:val="Author"/>
    <w:rsid w:val="005A2C27"/>
    <w:rPr>
      <w:rFonts w:ascii="Times New Roman" w:eastAsia="Times New Roman" w:hAnsi="Times New Roman"/>
      <w:b/>
      <w:color w:val="000000"/>
      <w:sz w:val="24"/>
    </w:rPr>
  </w:style>
  <w:style w:type="character" w:customStyle="1" w:styleId="AuthorNameChar">
    <w:name w:val="Author Name Char"/>
    <w:basedOn w:val="AuthorChar"/>
    <w:link w:val="AuthorName"/>
    <w:rsid w:val="005A0D7A"/>
    <w:rPr>
      <w:rFonts w:ascii="Times New Roman" w:eastAsia="Times New Roman" w:hAnsi="Times New Roman"/>
      <w:b/>
      <w:color w:val="000000"/>
      <w:sz w:val="24"/>
    </w:rPr>
  </w:style>
  <w:style w:type="character" w:customStyle="1" w:styleId="AffiliationChar">
    <w:name w:val="Affiliation Char"/>
    <w:basedOn w:val="AuthorChar"/>
    <w:link w:val="Affiliation"/>
    <w:rsid w:val="005A2C27"/>
    <w:rPr>
      <w:rFonts w:ascii="Times New Roman" w:eastAsia="Times New Roman" w:hAnsi="Times New Roman"/>
      <w:b w:val="0"/>
      <w:color w:val="000000"/>
      <w:sz w:val="24"/>
    </w:rPr>
  </w:style>
  <w:style w:type="character" w:customStyle="1" w:styleId="AuthorAffiliationChar">
    <w:name w:val="Author Affiliation Char"/>
    <w:basedOn w:val="AffiliationChar"/>
    <w:link w:val="AuthorAffiliation"/>
    <w:rsid w:val="0042437D"/>
    <w:rPr>
      <w:rFonts w:ascii="Times New Roman" w:eastAsia="Times New Roman" w:hAnsi="Times New Roman"/>
      <w:b w:val="0"/>
      <w:color w:val="000000"/>
      <w:sz w:val="24"/>
    </w:rPr>
  </w:style>
  <w:style w:type="paragraph" w:customStyle="1" w:styleId="SectionHeading">
    <w:name w:val="Section Heading"/>
    <w:basedOn w:val="Heading1"/>
    <w:link w:val="SectionHeadingChar"/>
    <w:qFormat/>
    <w:rsid w:val="002263C9"/>
    <w:pPr>
      <w:numPr>
        <w:numId w:val="8"/>
      </w:numPr>
      <w:tabs>
        <w:tab w:val="left" w:pos="360"/>
      </w:tabs>
      <w:spacing w:before="0" w:after="120"/>
      <w:jc w:val="left"/>
    </w:pPr>
    <w:rPr>
      <w:rFonts w:ascii="Times New Roman" w:hAnsi="Times New Roman"/>
      <w:caps w:val="0"/>
      <w:sz w:val="20"/>
    </w:rPr>
  </w:style>
  <w:style w:type="character" w:customStyle="1" w:styleId="ReferencesChar">
    <w:name w:val="References Char"/>
    <w:basedOn w:val="DefaultParagraphFont"/>
    <w:link w:val="References"/>
    <w:rsid w:val="003D43A0"/>
    <w:rPr>
      <w:rFonts w:ascii="Times New Roman" w:eastAsia="Times New Roman" w:hAnsi="Times New Roman"/>
    </w:rPr>
  </w:style>
  <w:style w:type="paragraph" w:customStyle="1" w:styleId="NumberedList">
    <w:name w:val="Numbered List"/>
    <w:basedOn w:val="Normal"/>
    <w:link w:val="NumberedListChar"/>
    <w:qFormat/>
    <w:rsid w:val="003D43A0"/>
    <w:pPr>
      <w:numPr>
        <w:numId w:val="5"/>
      </w:numPr>
      <w:tabs>
        <w:tab w:val="left" w:pos="180"/>
      </w:tabs>
      <w:overflowPunct w:val="0"/>
      <w:autoSpaceDE w:val="0"/>
      <w:autoSpaceDN w:val="0"/>
      <w:adjustRightInd w:val="0"/>
      <w:ind w:left="187" w:hanging="187"/>
      <w:jc w:val="left"/>
      <w:textAlignment w:val="baseline"/>
    </w:pPr>
  </w:style>
  <w:style w:type="character" w:customStyle="1" w:styleId="Heading1Char">
    <w:name w:val="Heading 1 Char"/>
    <w:basedOn w:val="DefaultParagraphFont"/>
    <w:link w:val="Heading1"/>
    <w:uiPriority w:val="9"/>
    <w:rsid w:val="00D10AD2"/>
    <w:rPr>
      <w:rFonts w:ascii="Arial" w:eastAsia="Times New Roman" w:hAnsi="Arial"/>
      <w:b/>
      <w:caps/>
      <w:kern w:val="32"/>
      <w:sz w:val="18"/>
    </w:rPr>
  </w:style>
  <w:style w:type="character" w:customStyle="1" w:styleId="SectionHeadingChar">
    <w:name w:val="Section Heading Char"/>
    <w:basedOn w:val="Heading1Char"/>
    <w:link w:val="SectionHeading"/>
    <w:rsid w:val="002263C9"/>
    <w:rPr>
      <w:rFonts w:ascii="Times New Roman" w:eastAsia="Times New Roman" w:hAnsi="Times New Roman"/>
      <w:b/>
      <w:caps w:val="0"/>
      <w:kern w:val="32"/>
      <w:sz w:val="18"/>
    </w:rPr>
  </w:style>
  <w:style w:type="paragraph" w:customStyle="1" w:styleId="Sub-sectionHeader">
    <w:name w:val="Sub-section Header"/>
    <w:basedOn w:val="Heading2"/>
    <w:link w:val="Sub-sectionHeaderChar"/>
    <w:qFormat/>
    <w:rsid w:val="002263C9"/>
    <w:pPr>
      <w:numPr>
        <w:ilvl w:val="1"/>
        <w:numId w:val="7"/>
      </w:numPr>
      <w:tabs>
        <w:tab w:val="left" w:pos="360"/>
      </w:tabs>
      <w:spacing w:before="0" w:after="120"/>
      <w:ind w:left="0" w:firstLine="0"/>
      <w:jc w:val="left"/>
    </w:pPr>
    <w:rPr>
      <w:rFonts w:ascii="Times New Roman" w:hAnsi="Times New Roman"/>
      <w:sz w:val="20"/>
    </w:rPr>
  </w:style>
  <w:style w:type="character" w:customStyle="1" w:styleId="NumberedListChar">
    <w:name w:val="Numbered List Char"/>
    <w:basedOn w:val="DefaultParagraphFont"/>
    <w:link w:val="NumberedList"/>
    <w:rsid w:val="003D43A0"/>
    <w:rPr>
      <w:rFonts w:ascii="Times New Roman" w:eastAsia="Times New Roman" w:hAnsi="Times New Roman"/>
    </w:rPr>
  </w:style>
  <w:style w:type="paragraph" w:customStyle="1" w:styleId="Sub-sub-sectionheader">
    <w:name w:val="Sub-sub-section header"/>
    <w:basedOn w:val="Sub-sectionHeader"/>
    <w:link w:val="Sub-sub-sectionheaderChar"/>
    <w:qFormat/>
    <w:rsid w:val="002263C9"/>
    <w:pPr>
      <w:numPr>
        <w:ilvl w:val="2"/>
      </w:numPr>
      <w:ind w:left="0" w:firstLine="0"/>
    </w:pPr>
  </w:style>
  <w:style w:type="character" w:customStyle="1" w:styleId="Heading2Char">
    <w:name w:val="Heading 2 Char"/>
    <w:basedOn w:val="Heading1Char"/>
    <w:link w:val="Heading2"/>
    <w:uiPriority w:val="99"/>
    <w:semiHidden/>
    <w:rsid w:val="00D10AD2"/>
    <w:rPr>
      <w:rFonts w:ascii="Arial" w:eastAsia="Times New Roman" w:hAnsi="Arial"/>
      <w:b/>
      <w:caps w:val="0"/>
      <w:kern w:val="32"/>
      <w:sz w:val="18"/>
    </w:rPr>
  </w:style>
  <w:style w:type="character" w:customStyle="1" w:styleId="Sub-sectionHeaderChar">
    <w:name w:val="Sub-section Header Char"/>
    <w:basedOn w:val="Heading2Char"/>
    <w:link w:val="Sub-sectionHeader"/>
    <w:rsid w:val="002263C9"/>
    <w:rPr>
      <w:rFonts w:ascii="Times New Roman" w:eastAsia="Times New Roman" w:hAnsi="Times New Roman"/>
      <w:b/>
      <w:caps w:val="0"/>
      <w:kern w:val="32"/>
      <w:sz w:val="18"/>
    </w:rPr>
  </w:style>
  <w:style w:type="paragraph" w:customStyle="1" w:styleId="BulletedList">
    <w:name w:val="Bulleted List"/>
    <w:basedOn w:val="NumberedList"/>
    <w:link w:val="BulletedListChar"/>
    <w:qFormat/>
    <w:rsid w:val="003D43A0"/>
    <w:pPr>
      <w:numPr>
        <w:numId w:val="6"/>
      </w:numPr>
    </w:pPr>
  </w:style>
  <w:style w:type="character" w:customStyle="1" w:styleId="Heading3Char">
    <w:name w:val="Heading 3 Char"/>
    <w:basedOn w:val="Heading2Char"/>
    <w:link w:val="Heading3"/>
    <w:uiPriority w:val="99"/>
    <w:semiHidden/>
    <w:rsid w:val="00D10AD2"/>
    <w:rPr>
      <w:rFonts w:ascii="Arial" w:eastAsia="Times New Roman" w:hAnsi="Arial"/>
      <w:b w:val="0"/>
      <w:i/>
      <w:caps w:val="0"/>
      <w:kern w:val="32"/>
      <w:sz w:val="18"/>
    </w:rPr>
  </w:style>
  <w:style w:type="character" w:customStyle="1" w:styleId="Sub-sub-sectionheaderChar">
    <w:name w:val="Sub-sub-section header Char"/>
    <w:basedOn w:val="Heading3Char"/>
    <w:link w:val="Sub-sub-sectionheader"/>
    <w:rsid w:val="002263C9"/>
    <w:rPr>
      <w:rFonts w:ascii="Times New Roman" w:eastAsia="Times New Roman" w:hAnsi="Times New Roman"/>
      <w:b/>
      <w:i w:val="0"/>
      <w:caps w:val="0"/>
      <w:kern w:val="32"/>
      <w:sz w:val="18"/>
    </w:rPr>
  </w:style>
  <w:style w:type="character" w:customStyle="1" w:styleId="BulletedListChar">
    <w:name w:val="Bulleted List Char"/>
    <w:basedOn w:val="NumberedListChar"/>
    <w:link w:val="BulletedList"/>
    <w:rsid w:val="003D43A0"/>
    <w:rPr>
      <w:rFonts w:ascii="Times New Roman" w:eastAsia="Times New Roman" w:hAnsi="Times New Roman"/>
    </w:rPr>
  </w:style>
  <w:style w:type="paragraph" w:styleId="Bibliography">
    <w:name w:val="Bibliography"/>
    <w:basedOn w:val="Normal"/>
    <w:next w:val="Normal"/>
    <w:uiPriority w:val="99"/>
    <w:unhideWhenUsed/>
    <w:rsid w:val="000D0E76"/>
  </w:style>
  <w:style w:type="character" w:styleId="FollowedHyperlink">
    <w:name w:val="FollowedHyperlink"/>
    <w:basedOn w:val="DefaultParagraphFont"/>
    <w:uiPriority w:val="99"/>
    <w:semiHidden/>
    <w:rsid w:val="000D0E76"/>
    <w:rPr>
      <w:color w:val="800080" w:themeColor="followedHyperlink"/>
      <w:u w:val="single"/>
    </w:rPr>
  </w:style>
  <w:style w:type="character" w:styleId="PlaceholderText">
    <w:name w:val="Placeholder Text"/>
    <w:basedOn w:val="DefaultParagraphFont"/>
    <w:uiPriority w:val="99"/>
    <w:semiHidden/>
    <w:rsid w:val="00B6263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7390">
      <w:bodyDiv w:val="1"/>
      <w:marLeft w:val="0"/>
      <w:marRight w:val="0"/>
      <w:marTop w:val="0"/>
      <w:marBottom w:val="0"/>
      <w:divBdr>
        <w:top w:val="none" w:sz="0" w:space="0" w:color="auto"/>
        <w:left w:val="none" w:sz="0" w:space="0" w:color="auto"/>
        <w:bottom w:val="none" w:sz="0" w:space="0" w:color="auto"/>
        <w:right w:val="none" w:sz="0" w:space="0" w:color="auto"/>
      </w:divBdr>
    </w:div>
    <w:div w:id="25565633">
      <w:bodyDiv w:val="1"/>
      <w:marLeft w:val="0"/>
      <w:marRight w:val="0"/>
      <w:marTop w:val="0"/>
      <w:marBottom w:val="0"/>
      <w:divBdr>
        <w:top w:val="none" w:sz="0" w:space="0" w:color="auto"/>
        <w:left w:val="none" w:sz="0" w:space="0" w:color="auto"/>
        <w:bottom w:val="none" w:sz="0" w:space="0" w:color="auto"/>
        <w:right w:val="none" w:sz="0" w:space="0" w:color="auto"/>
      </w:divBdr>
    </w:div>
    <w:div w:id="55862480">
      <w:bodyDiv w:val="1"/>
      <w:marLeft w:val="0"/>
      <w:marRight w:val="0"/>
      <w:marTop w:val="0"/>
      <w:marBottom w:val="0"/>
      <w:divBdr>
        <w:top w:val="none" w:sz="0" w:space="0" w:color="auto"/>
        <w:left w:val="none" w:sz="0" w:space="0" w:color="auto"/>
        <w:bottom w:val="none" w:sz="0" w:space="0" w:color="auto"/>
        <w:right w:val="none" w:sz="0" w:space="0" w:color="auto"/>
      </w:divBdr>
    </w:div>
    <w:div w:id="71589747">
      <w:bodyDiv w:val="1"/>
      <w:marLeft w:val="0"/>
      <w:marRight w:val="0"/>
      <w:marTop w:val="0"/>
      <w:marBottom w:val="0"/>
      <w:divBdr>
        <w:top w:val="none" w:sz="0" w:space="0" w:color="auto"/>
        <w:left w:val="none" w:sz="0" w:space="0" w:color="auto"/>
        <w:bottom w:val="none" w:sz="0" w:space="0" w:color="auto"/>
        <w:right w:val="none" w:sz="0" w:space="0" w:color="auto"/>
      </w:divBdr>
    </w:div>
    <w:div w:id="76826730">
      <w:bodyDiv w:val="1"/>
      <w:marLeft w:val="0"/>
      <w:marRight w:val="0"/>
      <w:marTop w:val="0"/>
      <w:marBottom w:val="0"/>
      <w:divBdr>
        <w:top w:val="none" w:sz="0" w:space="0" w:color="auto"/>
        <w:left w:val="none" w:sz="0" w:space="0" w:color="auto"/>
        <w:bottom w:val="none" w:sz="0" w:space="0" w:color="auto"/>
        <w:right w:val="none" w:sz="0" w:space="0" w:color="auto"/>
      </w:divBdr>
    </w:div>
    <w:div w:id="80760784">
      <w:bodyDiv w:val="1"/>
      <w:marLeft w:val="0"/>
      <w:marRight w:val="0"/>
      <w:marTop w:val="0"/>
      <w:marBottom w:val="0"/>
      <w:divBdr>
        <w:top w:val="none" w:sz="0" w:space="0" w:color="auto"/>
        <w:left w:val="none" w:sz="0" w:space="0" w:color="auto"/>
        <w:bottom w:val="none" w:sz="0" w:space="0" w:color="auto"/>
        <w:right w:val="none" w:sz="0" w:space="0" w:color="auto"/>
      </w:divBdr>
    </w:div>
    <w:div w:id="86854749">
      <w:bodyDiv w:val="1"/>
      <w:marLeft w:val="0"/>
      <w:marRight w:val="0"/>
      <w:marTop w:val="0"/>
      <w:marBottom w:val="0"/>
      <w:divBdr>
        <w:top w:val="none" w:sz="0" w:space="0" w:color="auto"/>
        <w:left w:val="none" w:sz="0" w:space="0" w:color="auto"/>
        <w:bottom w:val="none" w:sz="0" w:space="0" w:color="auto"/>
        <w:right w:val="none" w:sz="0" w:space="0" w:color="auto"/>
      </w:divBdr>
    </w:div>
    <w:div w:id="93282089">
      <w:bodyDiv w:val="1"/>
      <w:marLeft w:val="0"/>
      <w:marRight w:val="0"/>
      <w:marTop w:val="0"/>
      <w:marBottom w:val="0"/>
      <w:divBdr>
        <w:top w:val="none" w:sz="0" w:space="0" w:color="auto"/>
        <w:left w:val="none" w:sz="0" w:space="0" w:color="auto"/>
        <w:bottom w:val="none" w:sz="0" w:space="0" w:color="auto"/>
        <w:right w:val="none" w:sz="0" w:space="0" w:color="auto"/>
      </w:divBdr>
    </w:div>
    <w:div w:id="93332318">
      <w:bodyDiv w:val="1"/>
      <w:marLeft w:val="0"/>
      <w:marRight w:val="0"/>
      <w:marTop w:val="0"/>
      <w:marBottom w:val="0"/>
      <w:divBdr>
        <w:top w:val="none" w:sz="0" w:space="0" w:color="auto"/>
        <w:left w:val="none" w:sz="0" w:space="0" w:color="auto"/>
        <w:bottom w:val="none" w:sz="0" w:space="0" w:color="auto"/>
        <w:right w:val="none" w:sz="0" w:space="0" w:color="auto"/>
      </w:divBdr>
    </w:div>
    <w:div w:id="93525158">
      <w:bodyDiv w:val="1"/>
      <w:marLeft w:val="0"/>
      <w:marRight w:val="0"/>
      <w:marTop w:val="0"/>
      <w:marBottom w:val="0"/>
      <w:divBdr>
        <w:top w:val="none" w:sz="0" w:space="0" w:color="auto"/>
        <w:left w:val="none" w:sz="0" w:space="0" w:color="auto"/>
        <w:bottom w:val="none" w:sz="0" w:space="0" w:color="auto"/>
        <w:right w:val="none" w:sz="0" w:space="0" w:color="auto"/>
      </w:divBdr>
    </w:div>
    <w:div w:id="97213635">
      <w:bodyDiv w:val="1"/>
      <w:marLeft w:val="0"/>
      <w:marRight w:val="0"/>
      <w:marTop w:val="0"/>
      <w:marBottom w:val="0"/>
      <w:divBdr>
        <w:top w:val="none" w:sz="0" w:space="0" w:color="auto"/>
        <w:left w:val="none" w:sz="0" w:space="0" w:color="auto"/>
        <w:bottom w:val="none" w:sz="0" w:space="0" w:color="auto"/>
        <w:right w:val="none" w:sz="0" w:space="0" w:color="auto"/>
      </w:divBdr>
    </w:div>
    <w:div w:id="111557756">
      <w:bodyDiv w:val="1"/>
      <w:marLeft w:val="0"/>
      <w:marRight w:val="0"/>
      <w:marTop w:val="0"/>
      <w:marBottom w:val="0"/>
      <w:divBdr>
        <w:top w:val="none" w:sz="0" w:space="0" w:color="auto"/>
        <w:left w:val="none" w:sz="0" w:space="0" w:color="auto"/>
        <w:bottom w:val="none" w:sz="0" w:space="0" w:color="auto"/>
        <w:right w:val="none" w:sz="0" w:space="0" w:color="auto"/>
      </w:divBdr>
    </w:div>
    <w:div w:id="147290644">
      <w:bodyDiv w:val="1"/>
      <w:marLeft w:val="0"/>
      <w:marRight w:val="0"/>
      <w:marTop w:val="0"/>
      <w:marBottom w:val="0"/>
      <w:divBdr>
        <w:top w:val="none" w:sz="0" w:space="0" w:color="auto"/>
        <w:left w:val="none" w:sz="0" w:space="0" w:color="auto"/>
        <w:bottom w:val="none" w:sz="0" w:space="0" w:color="auto"/>
        <w:right w:val="none" w:sz="0" w:space="0" w:color="auto"/>
      </w:divBdr>
    </w:div>
    <w:div w:id="193734163">
      <w:bodyDiv w:val="1"/>
      <w:marLeft w:val="0"/>
      <w:marRight w:val="0"/>
      <w:marTop w:val="0"/>
      <w:marBottom w:val="0"/>
      <w:divBdr>
        <w:top w:val="none" w:sz="0" w:space="0" w:color="auto"/>
        <w:left w:val="none" w:sz="0" w:space="0" w:color="auto"/>
        <w:bottom w:val="none" w:sz="0" w:space="0" w:color="auto"/>
        <w:right w:val="none" w:sz="0" w:space="0" w:color="auto"/>
      </w:divBdr>
    </w:div>
    <w:div w:id="214893769">
      <w:bodyDiv w:val="1"/>
      <w:marLeft w:val="0"/>
      <w:marRight w:val="0"/>
      <w:marTop w:val="0"/>
      <w:marBottom w:val="0"/>
      <w:divBdr>
        <w:top w:val="none" w:sz="0" w:space="0" w:color="auto"/>
        <w:left w:val="none" w:sz="0" w:space="0" w:color="auto"/>
        <w:bottom w:val="none" w:sz="0" w:space="0" w:color="auto"/>
        <w:right w:val="none" w:sz="0" w:space="0" w:color="auto"/>
      </w:divBdr>
    </w:div>
    <w:div w:id="217211737">
      <w:bodyDiv w:val="1"/>
      <w:marLeft w:val="0"/>
      <w:marRight w:val="0"/>
      <w:marTop w:val="0"/>
      <w:marBottom w:val="0"/>
      <w:divBdr>
        <w:top w:val="none" w:sz="0" w:space="0" w:color="auto"/>
        <w:left w:val="none" w:sz="0" w:space="0" w:color="auto"/>
        <w:bottom w:val="none" w:sz="0" w:space="0" w:color="auto"/>
        <w:right w:val="none" w:sz="0" w:space="0" w:color="auto"/>
      </w:divBdr>
    </w:div>
    <w:div w:id="227957192">
      <w:bodyDiv w:val="1"/>
      <w:marLeft w:val="0"/>
      <w:marRight w:val="0"/>
      <w:marTop w:val="0"/>
      <w:marBottom w:val="0"/>
      <w:divBdr>
        <w:top w:val="none" w:sz="0" w:space="0" w:color="auto"/>
        <w:left w:val="none" w:sz="0" w:space="0" w:color="auto"/>
        <w:bottom w:val="none" w:sz="0" w:space="0" w:color="auto"/>
        <w:right w:val="none" w:sz="0" w:space="0" w:color="auto"/>
      </w:divBdr>
    </w:div>
    <w:div w:id="228197336">
      <w:bodyDiv w:val="1"/>
      <w:marLeft w:val="0"/>
      <w:marRight w:val="0"/>
      <w:marTop w:val="0"/>
      <w:marBottom w:val="0"/>
      <w:divBdr>
        <w:top w:val="none" w:sz="0" w:space="0" w:color="auto"/>
        <w:left w:val="none" w:sz="0" w:space="0" w:color="auto"/>
        <w:bottom w:val="none" w:sz="0" w:space="0" w:color="auto"/>
        <w:right w:val="none" w:sz="0" w:space="0" w:color="auto"/>
      </w:divBdr>
    </w:div>
    <w:div w:id="233516359">
      <w:bodyDiv w:val="1"/>
      <w:marLeft w:val="0"/>
      <w:marRight w:val="0"/>
      <w:marTop w:val="0"/>
      <w:marBottom w:val="0"/>
      <w:divBdr>
        <w:top w:val="none" w:sz="0" w:space="0" w:color="auto"/>
        <w:left w:val="none" w:sz="0" w:space="0" w:color="auto"/>
        <w:bottom w:val="none" w:sz="0" w:space="0" w:color="auto"/>
        <w:right w:val="none" w:sz="0" w:space="0" w:color="auto"/>
      </w:divBdr>
    </w:div>
    <w:div w:id="243149459">
      <w:bodyDiv w:val="1"/>
      <w:marLeft w:val="0"/>
      <w:marRight w:val="0"/>
      <w:marTop w:val="0"/>
      <w:marBottom w:val="0"/>
      <w:divBdr>
        <w:top w:val="none" w:sz="0" w:space="0" w:color="auto"/>
        <w:left w:val="none" w:sz="0" w:space="0" w:color="auto"/>
        <w:bottom w:val="none" w:sz="0" w:space="0" w:color="auto"/>
        <w:right w:val="none" w:sz="0" w:space="0" w:color="auto"/>
      </w:divBdr>
    </w:div>
    <w:div w:id="260266431">
      <w:bodyDiv w:val="1"/>
      <w:marLeft w:val="0"/>
      <w:marRight w:val="0"/>
      <w:marTop w:val="0"/>
      <w:marBottom w:val="0"/>
      <w:divBdr>
        <w:top w:val="none" w:sz="0" w:space="0" w:color="auto"/>
        <w:left w:val="none" w:sz="0" w:space="0" w:color="auto"/>
        <w:bottom w:val="none" w:sz="0" w:space="0" w:color="auto"/>
        <w:right w:val="none" w:sz="0" w:space="0" w:color="auto"/>
      </w:divBdr>
    </w:div>
    <w:div w:id="264584159">
      <w:bodyDiv w:val="1"/>
      <w:marLeft w:val="0"/>
      <w:marRight w:val="0"/>
      <w:marTop w:val="0"/>
      <w:marBottom w:val="0"/>
      <w:divBdr>
        <w:top w:val="none" w:sz="0" w:space="0" w:color="auto"/>
        <w:left w:val="none" w:sz="0" w:space="0" w:color="auto"/>
        <w:bottom w:val="none" w:sz="0" w:space="0" w:color="auto"/>
        <w:right w:val="none" w:sz="0" w:space="0" w:color="auto"/>
      </w:divBdr>
    </w:div>
    <w:div w:id="290016995">
      <w:bodyDiv w:val="1"/>
      <w:marLeft w:val="0"/>
      <w:marRight w:val="0"/>
      <w:marTop w:val="0"/>
      <w:marBottom w:val="0"/>
      <w:divBdr>
        <w:top w:val="none" w:sz="0" w:space="0" w:color="auto"/>
        <w:left w:val="none" w:sz="0" w:space="0" w:color="auto"/>
        <w:bottom w:val="none" w:sz="0" w:space="0" w:color="auto"/>
        <w:right w:val="none" w:sz="0" w:space="0" w:color="auto"/>
      </w:divBdr>
    </w:div>
    <w:div w:id="309217288">
      <w:bodyDiv w:val="1"/>
      <w:marLeft w:val="0"/>
      <w:marRight w:val="0"/>
      <w:marTop w:val="0"/>
      <w:marBottom w:val="0"/>
      <w:divBdr>
        <w:top w:val="none" w:sz="0" w:space="0" w:color="auto"/>
        <w:left w:val="none" w:sz="0" w:space="0" w:color="auto"/>
        <w:bottom w:val="none" w:sz="0" w:space="0" w:color="auto"/>
        <w:right w:val="none" w:sz="0" w:space="0" w:color="auto"/>
      </w:divBdr>
    </w:div>
    <w:div w:id="322509894">
      <w:bodyDiv w:val="1"/>
      <w:marLeft w:val="0"/>
      <w:marRight w:val="0"/>
      <w:marTop w:val="0"/>
      <w:marBottom w:val="0"/>
      <w:divBdr>
        <w:top w:val="none" w:sz="0" w:space="0" w:color="auto"/>
        <w:left w:val="none" w:sz="0" w:space="0" w:color="auto"/>
        <w:bottom w:val="none" w:sz="0" w:space="0" w:color="auto"/>
        <w:right w:val="none" w:sz="0" w:space="0" w:color="auto"/>
      </w:divBdr>
    </w:div>
    <w:div w:id="341014069">
      <w:bodyDiv w:val="1"/>
      <w:marLeft w:val="0"/>
      <w:marRight w:val="0"/>
      <w:marTop w:val="0"/>
      <w:marBottom w:val="0"/>
      <w:divBdr>
        <w:top w:val="none" w:sz="0" w:space="0" w:color="auto"/>
        <w:left w:val="none" w:sz="0" w:space="0" w:color="auto"/>
        <w:bottom w:val="none" w:sz="0" w:space="0" w:color="auto"/>
        <w:right w:val="none" w:sz="0" w:space="0" w:color="auto"/>
      </w:divBdr>
    </w:div>
    <w:div w:id="343174370">
      <w:bodyDiv w:val="1"/>
      <w:marLeft w:val="0"/>
      <w:marRight w:val="0"/>
      <w:marTop w:val="0"/>
      <w:marBottom w:val="0"/>
      <w:divBdr>
        <w:top w:val="none" w:sz="0" w:space="0" w:color="auto"/>
        <w:left w:val="none" w:sz="0" w:space="0" w:color="auto"/>
        <w:bottom w:val="none" w:sz="0" w:space="0" w:color="auto"/>
        <w:right w:val="none" w:sz="0" w:space="0" w:color="auto"/>
      </w:divBdr>
    </w:div>
    <w:div w:id="360129973">
      <w:bodyDiv w:val="1"/>
      <w:marLeft w:val="0"/>
      <w:marRight w:val="0"/>
      <w:marTop w:val="0"/>
      <w:marBottom w:val="0"/>
      <w:divBdr>
        <w:top w:val="none" w:sz="0" w:space="0" w:color="auto"/>
        <w:left w:val="none" w:sz="0" w:space="0" w:color="auto"/>
        <w:bottom w:val="none" w:sz="0" w:space="0" w:color="auto"/>
        <w:right w:val="none" w:sz="0" w:space="0" w:color="auto"/>
      </w:divBdr>
    </w:div>
    <w:div w:id="384958825">
      <w:bodyDiv w:val="1"/>
      <w:marLeft w:val="0"/>
      <w:marRight w:val="0"/>
      <w:marTop w:val="0"/>
      <w:marBottom w:val="0"/>
      <w:divBdr>
        <w:top w:val="none" w:sz="0" w:space="0" w:color="auto"/>
        <w:left w:val="none" w:sz="0" w:space="0" w:color="auto"/>
        <w:bottom w:val="none" w:sz="0" w:space="0" w:color="auto"/>
        <w:right w:val="none" w:sz="0" w:space="0" w:color="auto"/>
      </w:divBdr>
    </w:div>
    <w:div w:id="398867300">
      <w:bodyDiv w:val="1"/>
      <w:marLeft w:val="0"/>
      <w:marRight w:val="0"/>
      <w:marTop w:val="0"/>
      <w:marBottom w:val="0"/>
      <w:divBdr>
        <w:top w:val="none" w:sz="0" w:space="0" w:color="auto"/>
        <w:left w:val="none" w:sz="0" w:space="0" w:color="auto"/>
        <w:bottom w:val="none" w:sz="0" w:space="0" w:color="auto"/>
        <w:right w:val="none" w:sz="0" w:space="0" w:color="auto"/>
      </w:divBdr>
    </w:div>
    <w:div w:id="419133701">
      <w:bodyDiv w:val="1"/>
      <w:marLeft w:val="0"/>
      <w:marRight w:val="0"/>
      <w:marTop w:val="0"/>
      <w:marBottom w:val="0"/>
      <w:divBdr>
        <w:top w:val="none" w:sz="0" w:space="0" w:color="auto"/>
        <w:left w:val="none" w:sz="0" w:space="0" w:color="auto"/>
        <w:bottom w:val="none" w:sz="0" w:space="0" w:color="auto"/>
        <w:right w:val="none" w:sz="0" w:space="0" w:color="auto"/>
      </w:divBdr>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 w:id="435029084">
      <w:bodyDiv w:val="1"/>
      <w:marLeft w:val="0"/>
      <w:marRight w:val="0"/>
      <w:marTop w:val="0"/>
      <w:marBottom w:val="0"/>
      <w:divBdr>
        <w:top w:val="none" w:sz="0" w:space="0" w:color="auto"/>
        <w:left w:val="none" w:sz="0" w:space="0" w:color="auto"/>
        <w:bottom w:val="none" w:sz="0" w:space="0" w:color="auto"/>
        <w:right w:val="none" w:sz="0" w:space="0" w:color="auto"/>
      </w:divBdr>
    </w:div>
    <w:div w:id="441149411">
      <w:bodyDiv w:val="1"/>
      <w:marLeft w:val="0"/>
      <w:marRight w:val="0"/>
      <w:marTop w:val="0"/>
      <w:marBottom w:val="0"/>
      <w:divBdr>
        <w:top w:val="none" w:sz="0" w:space="0" w:color="auto"/>
        <w:left w:val="none" w:sz="0" w:space="0" w:color="auto"/>
        <w:bottom w:val="none" w:sz="0" w:space="0" w:color="auto"/>
        <w:right w:val="none" w:sz="0" w:space="0" w:color="auto"/>
      </w:divBdr>
    </w:div>
    <w:div w:id="442529891">
      <w:bodyDiv w:val="1"/>
      <w:marLeft w:val="0"/>
      <w:marRight w:val="0"/>
      <w:marTop w:val="0"/>
      <w:marBottom w:val="0"/>
      <w:divBdr>
        <w:top w:val="none" w:sz="0" w:space="0" w:color="auto"/>
        <w:left w:val="none" w:sz="0" w:space="0" w:color="auto"/>
        <w:bottom w:val="none" w:sz="0" w:space="0" w:color="auto"/>
        <w:right w:val="none" w:sz="0" w:space="0" w:color="auto"/>
      </w:divBdr>
    </w:div>
    <w:div w:id="480582513">
      <w:bodyDiv w:val="1"/>
      <w:marLeft w:val="0"/>
      <w:marRight w:val="0"/>
      <w:marTop w:val="0"/>
      <w:marBottom w:val="0"/>
      <w:divBdr>
        <w:top w:val="none" w:sz="0" w:space="0" w:color="auto"/>
        <w:left w:val="none" w:sz="0" w:space="0" w:color="auto"/>
        <w:bottom w:val="none" w:sz="0" w:space="0" w:color="auto"/>
        <w:right w:val="none" w:sz="0" w:space="0" w:color="auto"/>
      </w:divBdr>
    </w:div>
    <w:div w:id="507981319">
      <w:bodyDiv w:val="1"/>
      <w:marLeft w:val="0"/>
      <w:marRight w:val="0"/>
      <w:marTop w:val="0"/>
      <w:marBottom w:val="0"/>
      <w:divBdr>
        <w:top w:val="none" w:sz="0" w:space="0" w:color="auto"/>
        <w:left w:val="none" w:sz="0" w:space="0" w:color="auto"/>
        <w:bottom w:val="none" w:sz="0" w:space="0" w:color="auto"/>
        <w:right w:val="none" w:sz="0" w:space="0" w:color="auto"/>
      </w:divBdr>
    </w:div>
    <w:div w:id="509297290">
      <w:bodyDiv w:val="1"/>
      <w:marLeft w:val="0"/>
      <w:marRight w:val="0"/>
      <w:marTop w:val="0"/>
      <w:marBottom w:val="0"/>
      <w:divBdr>
        <w:top w:val="none" w:sz="0" w:space="0" w:color="auto"/>
        <w:left w:val="none" w:sz="0" w:space="0" w:color="auto"/>
        <w:bottom w:val="none" w:sz="0" w:space="0" w:color="auto"/>
        <w:right w:val="none" w:sz="0" w:space="0" w:color="auto"/>
      </w:divBdr>
    </w:div>
    <w:div w:id="523590583">
      <w:bodyDiv w:val="1"/>
      <w:marLeft w:val="0"/>
      <w:marRight w:val="0"/>
      <w:marTop w:val="0"/>
      <w:marBottom w:val="0"/>
      <w:divBdr>
        <w:top w:val="none" w:sz="0" w:space="0" w:color="auto"/>
        <w:left w:val="none" w:sz="0" w:space="0" w:color="auto"/>
        <w:bottom w:val="none" w:sz="0" w:space="0" w:color="auto"/>
        <w:right w:val="none" w:sz="0" w:space="0" w:color="auto"/>
      </w:divBdr>
    </w:div>
    <w:div w:id="542866955">
      <w:bodyDiv w:val="1"/>
      <w:marLeft w:val="0"/>
      <w:marRight w:val="0"/>
      <w:marTop w:val="0"/>
      <w:marBottom w:val="0"/>
      <w:divBdr>
        <w:top w:val="none" w:sz="0" w:space="0" w:color="auto"/>
        <w:left w:val="none" w:sz="0" w:space="0" w:color="auto"/>
        <w:bottom w:val="none" w:sz="0" w:space="0" w:color="auto"/>
        <w:right w:val="none" w:sz="0" w:space="0" w:color="auto"/>
      </w:divBdr>
    </w:div>
    <w:div w:id="551429559">
      <w:bodyDiv w:val="1"/>
      <w:marLeft w:val="0"/>
      <w:marRight w:val="0"/>
      <w:marTop w:val="0"/>
      <w:marBottom w:val="0"/>
      <w:divBdr>
        <w:top w:val="none" w:sz="0" w:space="0" w:color="auto"/>
        <w:left w:val="none" w:sz="0" w:space="0" w:color="auto"/>
        <w:bottom w:val="none" w:sz="0" w:space="0" w:color="auto"/>
        <w:right w:val="none" w:sz="0" w:space="0" w:color="auto"/>
      </w:divBdr>
    </w:div>
    <w:div w:id="561716329">
      <w:bodyDiv w:val="1"/>
      <w:marLeft w:val="0"/>
      <w:marRight w:val="0"/>
      <w:marTop w:val="0"/>
      <w:marBottom w:val="0"/>
      <w:divBdr>
        <w:top w:val="none" w:sz="0" w:space="0" w:color="auto"/>
        <w:left w:val="none" w:sz="0" w:space="0" w:color="auto"/>
        <w:bottom w:val="none" w:sz="0" w:space="0" w:color="auto"/>
        <w:right w:val="none" w:sz="0" w:space="0" w:color="auto"/>
      </w:divBdr>
    </w:div>
    <w:div w:id="573197911">
      <w:bodyDiv w:val="1"/>
      <w:marLeft w:val="0"/>
      <w:marRight w:val="0"/>
      <w:marTop w:val="0"/>
      <w:marBottom w:val="0"/>
      <w:divBdr>
        <w:top w:val="none" w:sz="0" w:space="0" w:color="auto"/>
        <w:left w:val="none" w:sz="0" w:space="0" w:color="auto"/>
        <w:bottom w:val="none" w:sz="0" w:space="0" w:color="auto"/>
        <w:right w:val="none" w:sz="0" w:space="0" w:color="auto"/>
      </w:divBdr>
    </w:div>
    <w:div w:id="573440515">
      <w:bodyDiv w:val="1"/>
      <w:marLeft w:val="0"/>
      <w:marRight w:val="0"/>
      <w:marTop w:val="0"/>
      <w:marBottom w:val="0"/>
      <w:divBdr>
        <w:top w:val="none" w:sz="0" w:space="0" w:color="auto"/>
        <w:left w:val="none" w:sz="0" w:space="0" w:color="auto"/>
        <w:bottom w:val="none" w:sz="0" w:space="0" w:color="auto"/>
        <w:right w:val="none" w:sz="0" w:space="0" w:color="auto"/>
      </w:divBdr>
    </w:div>
    <w:div w:id="584388161">
      <w:bodyDiv w:val="1"/>
      <w:marLeft w:val="0"/>
      <w:marRight w:val="0"/>
      <w:marTop w:val="0"/>
      <w:marBottom w:val="0"/>
      <w:divBdr>
        <w:top w:val="none" w:sz="0" w:space="0" w:color="auto"/>
        <w:left w:val="none" w:sz="0" w:space="0" w:color="auto"/>
        <w:bottom w:val="none" w:sz="0" w:space="0" w:color="auto"/>
        <w:right w:val="none" w:sz="0" w:space="0" w:color="auto"/>
      </w:divBdr>
    </w:div>
    <w:div w:id="626667502">
      <w:bodyDiv w:val="1"/>
      <w:marLeft w:val="0"/>
      <w:marRight w:val="0"/>
      <w:marTop w:val="0"/>
      <w:marBottom w:val="0"/>
      <w:divBdr>
        <w:top w:val="none" w:sz="0" w:space="0" w:color="auto"/>
        <w:left w:val="none" w:sz="0" w:space="0" w:color="auto"/>
        <w:bottom w:val="none" w:sz="0" w:space="0" w:color="auto"/>
        <w:right w:val="none" w:sz="0" w:space="0" w:color="auto"/>
      </w:divBdr>
    </w:div>
    <w:div w:id="637493931">
      <w:bodyDiv w:val="1"/>
      <w:marLeft w:val="0"/>
      <w:marRight w:val="0"/>
      <w:marTop w:val="0"/>
      <w:marBottom w:val="0"/>
      <w:divBdr>
        <w:top w:val="none" w:sz="0" w:space="0" w:color="auto"/>
        <w:left w:val="none" w:sz="0" w:space="0" w:color="auto"/>
        <w:bottom w:val="none" w:sz="0" w:space="0" w:color="auto"/>
        <w:right w:val="none" w:sz="0" w:space="0" w:color="auto"/>
      </w:divBdr>
    </w:div>
    <w:div w:id="638343775">
      <w:bodyDiv w:val="1"/>
      <w:marLeft w:val="0"/>
      <w:marRight w:val="0"/>
      <w:marTop w:val="0"/>
      <w:marBottom w:val="0"/>
      <w:divBdr>
        <w:top w:val="none" w:sz="0" w:space="0" w:color="auto"/>
        <w:left w:val="none" w:sz="0" w:space="0" w:color="auto"/>
        <w:bottom w:val="none" w:sz="0" w:space="0" w:color="auto"/>
        <w:right w:val="none" w:sz="0" w:space="0" w:color="auto"/>
      </w:divBdr>
    </w:div>
    <w:div w:id="659390008">
      <w:bodyDiv w:val="1"/>
      <w:marLeft w:val="0"/>
      <w:marRight w:val="0"/>
      <w:marTop w:val="0"/>
      <w:marBottom w:val="0"/>
      <w:divBdr>
        <w:top w:val="none" w:sz="0" w:space="0" w:color="auto"/>
        <w:left w:val="none" w:sz="0" w:space="0" w:color="auto"/>
        <w:bottom w:val="none" w:sz="0" w:space="0" w:color="auto"/>
        <w:right w:val="none" w:sz="0" w:space="0" w:color="auto"/>
      </w:divBdr>
    </w:div>
    <w:div w:id="666202775">
      <w:bodyDiv w:val="1"/>
      <w:marLeft w:val="0"/>
      <w:marRight w:val="0"/>
      <w:marTop w:val="0"/>
      <w:marBottom w:val="0"/>
      <w:divBdr>
        <w:top w:val="none" w:sz="0" w:space="0" w:color="auto"/>
        <w:left w:val="none" w:sz="0" w:space="0" w:color="auto"/>
        <w:bottom w:val="none" w:sz="0" w:space="0" w:color="auto"/>
        <w:right w:val="none" w:sz="0" w:space="0" w:color="auto"/>
      </w:divBdr>
    </w:div>
    <w:div w:id="682511017">
      <w:bodyDiv w:val="1"/>
      <w:marLeft w:val="0"/>
      <w:marRight w:val="0"/>
      <w:marTop w:val="0"/>
      <w:marBottom w:val="0"/>
      <w:divBdr>
        <w:top w:val="none" w:sz="0" w:space="0" w:color="auto"/>
        <w:left w:val="none" w:sz="0" w:space="0" w:color="auto"/>
        <w:bottom w:val="none" w:sz="0" w:space="0" w:color="auto"/>
        <w:right w:val="none" w:sz="0" w:space="0" w:color="auto"/>
      </w:divBdr>
    </w:div>
    <w:div w:id="726033773">
      <w:bodyDiv w:val="1"/>
      <w:marLeft w:val="0"/>
      <w:marRight w:val="0"/>
      <w:marTop w:val="0"/>
      <w:marBottom w:val="0"/>
      <w:divBdr>
        <w:top w:val="none" w:sz="0" w:space="0" w:color="auto"/>
        <w:left w:val="none" w:sz="0" w:space="0" w:color="auto"/>
        <w:bottom w:val="none" w:sz="0" w:space="0" w:color="auto"/>
        <w:right w:val="none" w:sz="0" w:space="0" w:color="auto"/>
      </w:divBdr>
    </w:div>
    <w:div w:id="729042697">
      <w:bodyDiv w:val="1"/>
      <w:marLeft w:val="0"/>
      <w:marRight w:val="0"/>
      <w:marTop w:val="0"/>
      <w:marBottom w:val="0"/>
      <w:divBdr>
        <w:top w:val="none" w:sz="0" w:space="0" w:color="auto"/>
        <w:left w:val="none" w:sz="0" w:space="0" w:color="auto"/>
        <w:bottom w:val="none" w:sz="0" w:space="0" w:color="auto"/>
        <w:right w:val="none" w:sz="0" w:space="0" w:color="auto"/>
      </w:divBdr>
    </w:div>
    <w:div w:id="733239509">
      <w:bodyDiv w:val="1"/>
      <w:marLeft w:val="0"/>
      <w:marRight w:val="0"/>
      <w:marTop w:val="0"/>
      <w:marBottom w:val="0"/>
      <w:divBdr>
        <w:top w:val="none" w:sz="0" w:space="0" w:color="auto"/>
        <w:left w:val="none" w:sz="0" w:space="0" w:color="auto"/>
        <w:bottom w:val="none" w:sz="0" w:space="0" w:color="auto"/>
        <w:right w:val="none" w:sz="0" w:space="0" w:color="auto"/>
      </w:divBdr>
    </w:div>
    <w:div w:id="745111213">
      <w:bodyDiv w:val="1"/>
      <w:marLeft w:val="0"/>
      <w:marRight w:val="0"/>
      <w:marTop w:val="0"/>
      <w:marBottom w:val="0"/>
      <w:divBdr>
        <w:top w:val="none" w:sz="0" w:space="0" w:color="auto"/>
        <w:left w:val="none" w:sz="0" w:space="0" w:color="auto"/>
        <w:bottom w:val="none" w:sz="0" w:space="0" w:color="auto"/>
        <w:right w:val="none" w:sz="0" w:space="0" w:color="auto"/>
      </w:divBdr>
    </w:div>
    <w:div w:id="749161867">
      <w:bodyDiv w:val="1"/>
      <w:marLeft w:val="0"/>
      <w:marRight w:val="0"/>
      <w:marTop w:val="0"/>
      <w:marBottom w:val="0"/>
      <w:divBdr>
        <w:top w:val="none" w:sz="0" w:space="0" w:color="auto"/>
        <w:left w:val="none" w:sz="0" w:space="0" w:color="auto"/>
        <w:bottom w:val="none" w:sz="0" w:space="0" w:color="auto"/>
        <w:right w:val="none" w:sz="0" w:space="0" w:color="auto"/>
      </w:divBdr>
    </w:div>
    <w:div w:id="772212075">
      <w:bodyDiv w:val="1"/>
      <w:marLeft w:val="0"/>
      <w:marRight w:val="0"/>
      <w:marTop w:val="0"/>
      <w:marBottom w:val="0"/>
      <w:divBdr>
        <w:top w:val="none" w:sz="0" w:space="0" w:color="auto"/>
        <w:left w:val="none" w:sz="0" w:space="0" w:color="auto"/>
        <w:bottom w:val="none" w:sz="0" w:space="0" w:color="auto"/>
        <w:right w:val="none" w:sz="0" w:space="0" w:color="auto"/>
      </w:divBdr>
    </w:div>
    <w:div w:id="774248403">
      <w:bodyDiv w:val="1"/>
      <w:marLeft w:val="0"/>
      <w:marRight w:val="0"/>
      <w:marTop w:val="0"/>
      <w:marBottom w:val="0"/>
      <w:divBdr>
        <w:top w:val="none" w:sz="0" w:space="0" w:color="auto"/>
        <w:left w:val="none" w:sz="0" w:space="0" w:color="auto"/>
        <w:bottom w:val="none" w:sz="0" w:space="0" w:color="auto"/>
        <w:right w:val="none" w:sz="0" w:space="0" w:color="auto"/>
      </w:divBdr>
    </w:div>
    <w:div w:id="802041443">
      <w:bodyDiv w:val="1"/>
      <w:marLeft w:val="0"/>
      <w:marRight w:val="0"/>
      <w:marTop w:val="0"/>
      <w:marBottom w:val="0"/>
      <w:divBdr>
        <w:top w:val="none" w:sz="0" w:space="0" w:color="auto"/>
        <w:left w:val="none" w:sz="0" w:space="0" w:color="auto"/>
        <w:bottom w:val="none" w:sz="0" w:space="0" w:color="auto"/>
        <w:right w:val="none" w:sz="0" w:space="0" w:color="auto"/>
      </w:divBdr>
    </w:div>
    <w:div w:id="806043783">
      <w:bodyDiv w:val="1"/>
      <w:marLeft w:val="0"/>
      <w:marRight w:val="0"/>
      <w:marTop w:val="0"/>
      <w:marBottom w:val="0"/>
      <w:divBdr>
        <w:top w:val="none" w:sz="0" w:space="0" w:color="auto"/>
        <w:left w:val="none" w:sz="0" w:space="0" w:color="auto"/>
        <w:bottom w:val="none" w:sz="0" w:space="0" w:color="auto"/>
        <w:right w:val="none" w:sz="0" w:space="0" w:color="auto"/>
      </w:divBdr>
    </w:div>
    <w:div w:id="809250671">
      <w:bodyDiv w:val="1"/>
      <w:marLeft w:val="0"/>
      <w:marRight w:val="0"/>
      <w:marTop w:val="0"/>
      <w:marBottom w:val="0"/>
      <w:divBdr>
        <w:top w:val="none" w:sz="0" w:space="0" w:color="auto"/>
        <w:left w:val="none" w:sz="0" w:space="0" w:color="auto"/>
        <w:bottom w:val="none" w:sz="0" w:space="0" w:color="auto"/>
        <w:right w:val="none" w:sz="0" w:space="0" w:color="auto"/>
      </w:divBdr>
    </w:div>
    <w:div w:id="826701405">
      <w:bodyDiv w:val="1"/>
      <w:marLeft w:val="0"/>
      <w:marRight w:val="0"/>
      <w:marTop w:val="0"/>
      <w:marBottom w:val="0"/>
      <w:divBdr>
        <w:top w:val="none" w:sz="0" w:space="0" w:color="auto"/>
        <w:left w:val="none" w:sz="0" w:space="0" w:color="auto"/>
        <w:bottom w:val="none" w:sz="0" w:space="0" w:color="auto"/>
        <w:right w:val="none" w:sz="0" w:space="0" w:color="auto"/>
      </w:divBdr>
    </w:div>
    <w:div w:id="837160462">
      <w:bodyDiv w:val="1"/>
      <w:marLeft w:val="0"/>
      <w:marRight w:val="0"/>
      <w:marTop w:val="0"/>
      <w:marBottom w:val="0"/>
      <w:divBdr>
        <w:top w:val="none" w:sz="0" w:space="0" w:color="auto"/>
        <w:left w:val="none" w:sz="0" w:space="0" w:color="auto"/>
        <w:bottom w:val="none" w:sz="0" w:space="0" w:color="auto"/>
        <w:right w:val="none" w:sz="0" w:space="0" w:color="auto"/>
      </w:divBdr>
    </w:div>
    <w:div w:id="852375248">
      <w:bodyDiv w:val="1"/>
      <w:marLeft w:val="0"/>
      <w:marRight w:val="0"/>
      <w:marTop w:val="0"/>
      <w:marBottom w:val="0"/>
      <w:divBdr>
        <w:top w:val="none" w:sz="0" w:space="0" w:color="auto"/>
        <w:left w:val="none" w:sz="0" w:space="0" w:color="auto"/>
        <w:bottom w:val="none" w:sz="0" w:space="0" w:color="auto"/>
        <w:right w:val="none" w:sz="0" w:space="0" w:color="auto"/>
      </w:divBdr>
    </w:div>
    <w:div w:id="852690125">
      <w:bodyDiv w:val="1"/>
      <w:marLeft w:val="0"/>
      <w:marRight w:val="0"/>
      <w:marTop w:val="0"/>
      <w:marBottom w:val="0"/>
      <w:divBdr>
        <w:top w:val="none" w:sz="0" w:space="0" w:color="auto"/>
        <w:left w:val="none" w:sz="0" w:space="0" w:color="auto"/>
        <w:bottom w:val="none" w:sz="0" w:space="0" w:color="auto"/>
        <w:right w:val="none" w:sz="0" w:space="0" w:color="auto"/>
      </w:divBdr>
    </w:div>
    <w:div w:id="860435343">
      <w:bodyDiv w:val="1"/>
      <w:marLeft w:val="0"/>
      <w:marRight w:val="0"/>
      <w:marTop w:val="0"/>
      <w:marBottom w:val="0"/>
      <w:divBdr>
        <w:top w:val="none" w:sz="0" w:space="0" w:color="auto"/>
        <w:left w:val="none" w:sz="0" w:space="0" w:color="auto"/>
        <w:bottom w:val="none" w:sz="0" w:space="0" w:color="auto"/>
        <w:right w:val="none" w:sz="0" w:space="0" w:color="auto"/>
      </w:divBdr>
    </w:div>
    <w:div w:id="883904684">
      <w:bodyDiv w:val="1"/>
      <w:marLeft w:val="0"/>
      <w:marRight w:val="0"/>
      <w:marTop w:val="0"/>
      <w:marBottom w:val="0"/>
      <w:divBdr>
        <w:top w:val="none" w:sz="0" w:space="0" w:color="auto"/>
        <w:left w:val="none" w:sz="0" w:space="0" w:color="auto"/>
        <w:bottom w:val="none" w:sz="0" w:space="0" w:color="auto"/>
        <w:right w:val="none" w:sz="0" w:space="0" w:color="auto"/>
      </w:divBdr>
    </w:div>
    <w:div w:id="891618774">
      <w:bodyDiv w:val="1"/>
      <w:marLeft w:val="0"/>
      <w:marRight w:val="0"/>
      <w:marTop w:val="0"/>
      <w:marBottom w:val="0"/>
      <w:divBdr>
        <w:top w:val="none" w:sz="0" w:space="0" w:color="auto"/>
        <w:left w:val="none" w:sz="0" w:space="0" w:color="auto"/>
        <w:bottom w:val="none" w:sz="0" w:space="0" w:color="auto"/>
        <w:right w:val="none" w:sz="0" w:space="0" w:color="auto"/>
      </w:divBdr>
    </w:div>
    <w:div w:id="940450303">
      <w:bodyDiv w:val="1"/>
      <w:marLeft w:val="0"/>
      <w:marRight w:val="0"/>
      <w:marTop w:val="0"/>
      <w:marBottom w:val="0"/>
      <w:divBdr>
        <w:top w:val="none" w:sz="0" w:space="0" w:color="auto"/>
        <w:left w:val="none" w:sz="0" w:space="0" w:color="auto"/>
        <w:bottom w:val="none" w:sz="0" w:space="0" w:color="auto"/>
        <w:right w:val="none" w:sz="0" w:space="0" w:color="auto"/>
      </w:divBdr>
    </w:div>
    <w:div w:id="945112798">
      <w:bodyDiv w:val="1"/>
      <w:marLeft w:val="0"/>
      <w:marRight w:val="0"/>
      <w:marTop w:val="0"/>
      <w:marBottom w:val="0"/>
      <w:divBdr>
        <w:top w:val="none" w:sz="0" w:space="0" w:color="auto"/>
        <w:left w:val="none" w:sz="0" w:space="0" w:color="auto"/>
        <w:bottom w:val="none" w:sz="0" w:space="0" w:color="auto"/>
        <w:right w:val="none" w:sz="0" w:space="0" w:color="auto"/>
      </w:divBdr>
    </w:div>
    <w:div w:id="962611176">
      <w:bodyDiv w:val="1"/>
      <w:marLeft w:val="0"/>
      <w:marRight w:val="0"/>
      <w:marTop w:val="0"/>
      <w:marBottom w:val="0"/>
      <w:divBdr>
        <w:top w:val="none" w:sz="0" w:space="0" w:color="auto"/>
        <w:left w:val="none" w:sz="0" w:space="0" w:color="auto"/>
        <w:bottom w:val="none" w:sz="0" w:space="0" w:color="auto"/>
        <w:right w:val="none" w:sz="0" w:space="0" w:color="auto"/>
      </w:divBdr>
    </w:div>
    <w:div w:id="970402521">
      <w:bodyDiv w:val="1"/>
      <w:marLeft w:val="0"/>
      <w:marRight w:val="0"/>
      <w:marTop w:val="0"/>
      <w:marBottom w:val="0"/>
      <w:divBdr>
        <w:top w:val="none" w:sz="0" w:space="0" w:color="auto"/>
        <w:left w:val="none" w:sz="0" w:space="0" w:color="auto"/>
        <w:bottom w:val="none" w:sz="0" w:space="0" w:color="auto"/>
        <w:right w:val="none" w:sz="0" w:space="0" w:color="auto"/>
      </w:divBdr>
    </w:div>
    <w:div w:id="971247270">
      <w:bodyDiv w:val="1"/>
      <w:marLeft w:val="0"/>
      <w:marRight w:val="0"/>
      <w:marTop w:val="0"/>
      <w:marBottom w:val="0"/>
      <w:divBdr>
        <w:top w:val="none" w:sz="0" w:space="0" w:color="auto"/>
        <w:left w:val="none" w:sz="0" w:space="0" w:color="auto"/>
        <w:bottom w:val="none" w:sz="0" w:space="0" w:color="auto"/>
        <w:right w:val="none" w:sz="0" w:space="0" w:color="auto"/>
      </w:divBdr>
    </w:div>
    <w:div w:id="973219517">
      <w:bodyDiv w:val="1"/>
      <w:marLeft w:val="0"/>
      <w:marRight w:val="0"/>
      <w:marTop w:val="0"/>
      <w:marBottom w:val="0"/>
      <w:divBdr>
        <w:top w:val="none" w:sz="0" w:space="0" w:color="auto"/>
        <w:left w:val="none" w:sz="0" w:space="0" w:color="auto"/>
        <w:bottom w:val="none" w:sz="0" w:space="0" w:color="auto"/>
        <w:right w:val="none" w:sz="0" w:space="0" w:color="auto"/>
      </w:divBdr>
    </w:div>
    <w:div w:id="995382209">
      <w:bodyDiv w:val="1"/>
      <w:marLeft w:val="0"/>
      <w:marRight w:val="0"/>
      <w:marTop w:val="0"/>
      <w:marBottom w:val="0"/>
      <w:divBdr>
        <w:top w:val="none" w:sz="0" w:space="0" w:color="auto"/>
        <w:left w:val="none" w:sz="0" w:space="0" w:color="auto"/>
        <w:bottom w:val="none" w:sz="0" w:space="0" w:color="auto"/>
        <w:right w:val="none" w:sz="0" w:space="0" w:color="auto"/>
      </w:divBdr>
    </w:div>
    <w:div w:id="1004164473">
      <w:bodyDiv w:val="1"/>
      <w:marLeft w:val="0"/>
      <w:marRight w:val="0"/>
      <w:marTop w:val="0"/>
      <w:marBottom w:val="0"/>
      <w:divBdr>
        <w:top w:val="none" w:sz="0" w:space="0" w:color="auto"/>
        <w:left w:val="none" w:sz="0" w:space="0" w:color="auto"/>
        <w:bottom w:val="none" w:sz="0" w:space="0" w:color="auto"/>
        <w:right w:val="none" w:sz="0" w:space="0" w:color="auto"/>
      </w:divBdr>
    </w:div>
    <w:div w:id="1004938930">
      <w:bodyDiv w:val="1"/>
      <w:marLeft w:val="0"/>
      <w:marRight w:val="0"/>
      <w:marTop w:val="0"/>
      <w:marBottom w:val="0"/>
      <w:divBdr>
        <w:top w:val="none" w:sz="0" w:space="0" w:color="auto"/>
        <w:left w:val="none" w:sz="0" w:space="0" w:color="auto"/>
        <w:bottom w:val="none" w:sz="0" w:space="0" w:color="auto"/>
        <w:right w:val="none" w:sz="0" w:space="0" w:color="auto"/>
      </w:divBdr>
    </w:div>
    <w:div w:id="1007440215">
      <w:bodyDiv w:val="1"/>
      <w:marLeft w:val="0"/>
      <w:marRight w:val="0"/>
      <w:marTop w:val="0"/>
      <w:marBottom w:val="0"/>
      <w:divBdr>
        <w:top w:val="none" w:sz="0" w:space="0" w:color="auto"/>
        <w:left w:val="none" w:sz="0" w:space="0" w:color="auto"/>
        <w:bottom w:val="none" w:sz="0" w:space="0" w:color="auto"/>
        <w:right w:val="none" w:sz="0" w:space="0" w:color="auto"/>
      </w:divBdr>
    </w:div>
    <w:div w:id="1013797659">
      <w:bodyDiv w:val="1"/>
      <w:marLeft w:val="0"/>
      <w:marRight w:val="0"/>
      <w:marTop w:val="0"/>
      <w:marBottom w:val="0"/>
      <w:divBdr>
        <w:top w:val="none" w:sz="0" w:space="0" w:color="auto"/>
        <w:left w:val="none" w:sz="0" w:space="0" w:color="auto"/>
        <w:bottom w:val="none" w:sz="0" w:space="0" w:color="auto"/>
        <w:right w:val="none" w:sz="0" w:space="0" w:color="auto"/>
      </w:divBdr>
    </w:div>
    <w:div w:id="1024357901">
      <w:bodyDiv w:val="1"/>
      <w:marLeft w:val="0"/>
      <w:marRight w:val="0"/>
      <w:marTop w:val="0"/>
      <w:marBottom w:val="0"/>
      <w:divBdr>
        <w:top w:val="none" w:sz="0" w:space="0" w:color="auto"/>
        <w:left w:val="none" w:sz="0" w:space="0" w:color="auto"/>
        <w:bottom w:val="none" w:sz="0" w:space="0" w:color="auto"/>
        <w:right w:val="none" w:sz="0" w:space="0" w:color="auto"/>
      </w:divBdr>
    </w:div>
    <w:div w:id="1030496413">
      <w:bodyDiv w:val="1"/>
      <w:marLeft w:val="0"/>
      <w:marRight w:val="0"/>
      <w:marTop w:val="0"/>
      <w:marBottom w:val="0"/>
      <w:divBdr>
        <w:top w:val="none" w:sz="0" w:space="0" w:color="auto"/>
        <w:left w:val="none" w:sz="0" w:space="0" w:color="auto"/>
        <w:bottom w:val="none" w:sz="0" w:space="0" w:color="auto"/>
        <w:right w:val="none" w:sz="0" w:space="0" w:color="auto"/>
      </w:divBdr>
    </w:div>
    <w:div w:id="1039165858">
      <w:bodyDiv w:val="1"/>
      <w:marLeft w:val="0"/>
      <w:marRight w:val="0"/>
      <w:marTop w:val="0"/>
      <w:marBottom w:val="0"/>
      <w:divBdr>
        <w:top w:val="none" w:sz="0" w:space="0" w:color="auto"/>
        <w:left w:val="none" w:sz="0" w:space="0" w:color="auto"/>
        <w:bottom w:val="none" w:sz="0" w:space="0" w:color="auto"/>
        <w:right w:val="none" w:sz="0" w:space="0" w:color="auto"/>
      </w:divBdr>
    </w:div>
    <w:div w:id="1040515714">
      <w:bodyDiv w:val="1"/>
      <w:marLeft w:val="0"/>
      <w:marRight w:val="0"/>
      <w:marTop w:val="0"/>
      <w:marBottom w:val="0"/>
      <w:divBdr>
        <w:top w:val="none" w:sz="0" w:space="0" w:color="auto"/>
        <w:left w:val="none" w:sz="0" w:space="0" w:color="auto"/>
        <w:bottom w:val="none" w:sz="0" w:space="0" w:color="auto"/>
        <w:right w:val="none" w:sz="0" w:space="0" w:color="auto"/>
      </w:divBdr>
    </w:div>
    <w:div w:id="1041132176">
      <w:bodyDiv w:val="1"/>
      <w:marLeft w:val="0"/>
      <w:marRight w:val="0"/>
      <w:marTop w:val="0"/>
      <w:marBottom w:val="0"/>
      <w:divBdr>
        <w:top w:val="none" w:sz="0" w:space="0" w:color="auto"/>
        <w:left w:val="none" w:sz="0" w:space="0" w:color="auto"/>
        <w:bottom w:val="none" w:sz="0" w:space="0" w:color="auto"/>
        <w:right w:val="none" w:sz="0" w:space="0" w:color="auto"/>
      </w:divBdr>
    </w:div>
    <w:div w:id="1043794169">
      <w:bodyDiv w:val="1"/>
      <w:marLeft w:val="0"/>
      <w:marRight w:val="0"/>
      <w:marTop w:val="0"/>
      <w:marBottom w:val="0"/>
      <w:divBdr>
        <w:top w:val="none" w:sz="0" w:space="0" w:color="auto"/>
        <w:left w:val="none" w:sz="0" w:space="0" w:color="auto"/>
        <w:bottom w:val="none" w:sz="0" w:space="0" w:color="auto"/>
        <w:right w:val="none" w:sz="0" w:space="0" w:color="auto"/>
      </w:divBdr>
    </w:div>
    <w:div w:id="1063598924">
      <w:bodyDiv w:val="1"/>
      <w:marLeft w:val="0"/>
      <w:marRight w:val="0"/>
      <w:marTop w:val="0"/>
      <w:marBottom w:val="0"/>
      <w:divBdr>
        <w:top w:val="none" w:sz="0" w:space="0" w:color="auto"/>
        <w:left w:val="none" w:sz="0" w:space="0" w:color="auto"/>
        <w:bottom w:val="none" w:sz="0" w:space="0" w:color="auto"/>
        <w:right w:val="none" w:sz="0" w:space="0" w:color="auto"/>
      </w:divBdr>
    </w:div>
    <w:div w:id="1112939704">
      <w:bodyDiv w:val="1"/>
      <w:marLeft w:val="0"/>
      <w:marRight w:val="0"/>
      <w:marTop w:val="0"/>
      <w:marBottom w:val="0"/>
      <w:divBdr>
        <w:top w:val="none" w:sz="0" w:space="0" w:color="auto"/>
        <w:left w:val="none" w:sz="0" w:space="0" w:color="auto"/>
        <w:bottom w:val="none" w:sz="0" w:space="0" w:color="auto"/>
        <w:right w:val="none" w:sz="0" w:space="0" w:color="auto"/>
      </w:divBdr>
    </w:div>
    <w:div w:id="1126504254">
      <w:bodyDiv w:val="1"/>
      <w:marLeft w:val="0"/>
      <w:marRight w:val="0"/>
      <w:marTop w:val="0"/>
      <w:marBottom w:val="0"/>
      <w:divBdr>
        <w:top w:val="none" w:sz="0" w:space="0" w:color="auto"/>
        <w:left w:val="none" w:sz="0" w:space="0" w:color="auto"/>
        <w:bottom w:val="none" w:sz="0" w:space="0" w:color="auto"/>
        <w:right w:val="none" w:sz="0" w:space="0" w:color="auto"/>
      </w:divBdr>
    </w:div>
    <w:div w:id="1132215593">
      <w:bodyDiv w:val="1"/>
      <w:marLeft w:val="0"/>
      <w:marRight w:val="0"/>
      <w:marTop w:val="0"/>
      <w:marBottom w:val="0"/>
      <w:divBdr>
        <w:top w:val="none" w:sz="0" w:space="0" w:color="auto"/>
        <w:left w:val="none" w:sz="0" w:space="0" w:color="auto"/>
        <w:bottom w:val="none" w:sz="0" w:space="0" w:color="auto"/>
        <w:right w:val="none" w:sz="0" w:space="0" w:color="auto"/>
      </w:divBdr>
    </w:div>
    <w:div w:id="1132291327">
      <w:bodyDiv w:val="1"/>
      <w:marLeft w:val="0"/>
      <w:marRight w:val="0"/>
      <w:marTop w:val="0"/>
      <w:marBottom w:val="0"/>
      <w:divBdr>
        <w:top w:val="none" w:sz="0" w:space="0" w:color="auto"/>
        <w:left w:val="none" w:sz="0" w:space="0" w:color="auto"/>
        <w:bottom w:val="none" w:sz="0" w:space="0" w:color="auto"/>
        <w:right w:val="none" w:sz="0" w:space="0" w:color="auto"/>
      </w:divBdr>
    </w:div>
    <w:div w:id="1139348705">
      <w:bodyDiv w:val="1"/>
      <w:marLeft w:val="0"/>
      <w:marRight w:val="0"/>
      <w:marTop w:val="0"/>
      <w:marBottom w:val="0"/>
      <w:divBdr>
        <w:top w:val="none" w:sz="0" w:space="0" w:color="auto"/>
        <w:left w:val="none" w:sz="0" w:space="0" w:color="auto"/>
        <w:bottom w:val="none" w:sz="0" w:space="0" w:color="auto"/>
        <w:right w:val="none" w:sz="0" w:space="0" w:color="auto"/>
      </w:divBdr>
    </w:div>
    <w:div w:id="1147212388">
      <w:bodyDiv w:val="1"/>
      <w:marLeft w:val="0"/>
      <w:marRight w:val="0"/>
      <w:marTop w:val="0"/>
      <w:marBottom w:val="0"/>
      <w:divBdr>
        <w:top w:val="none" w:sz="0" w:space="0" w:color="auto"/>
        <w:left w:val="none" w:sz="0" w:space="0" w:color="auto"/>
        <w:bottom w:val="none" w:sz="0" w:space="0" w:color="auto"/>
        <w:right w:val="none" w:sz="0" w:space="0" w:color="auto"/>
      </w:divBdr>
    </w:div>
    <w:div w:id="1159344969">
      <w:bodyDiv w:val="1"/>
      <w:marLeft w:val="0"/>
      <w:marRight w:val="0"/>
      <w:marTop w:val="0"/>
      <w:marBottom w:val="0"/>
      <w:divBdr>
        <w:top w:val="none" w:sz="0" w:space="0" w:color="auto"/>
        <w:left w:val="none" w:sz="0" w:space="0" w:color="auto"/>
        <w:bottom w:val="none" w:sz="0" w:space="0" w:color="auto"/>
        <w:right w:val="none" w:sz="0" w:space="0" w:color="auto"/>
      </w:divBdr>
    </w:div>
    <w:div w:id="1195537891">
      <w:bodyDiv w:val="1"/>
      <w:marLeft w:val="0"/>
      <w:marRight w:val="0"/>
      <w:marTop w:val="0"/>
      <w:marBottom w:val="0"/>
      <w:divBdr>
        <w:top w:val="none" w:sz="0" w:space="0" w:color="auto"/>
        <w:left w:val="none" w:sz="0" w:space="0" w:color="auto"/>
        <w:bottom w:val="none" w:sz="0" w:space="0" w:color="auto"/>
        <w:right w:val="none" w:sz="0" w:space="0" w:color="auto"/>
      </w:divBdr>
    </w:div>
    <w:div w:id="1203252086">
      <w:bodyDiv w:val="1"/>
      <w:marLeft w:val="0"/>
      <w:marRight w:val="0"/>
      <w:marTop w:val="0"/>
      <w:marBottom w:val="0"/>
      <w:divBdr>
        <w:top w:val="none" w:sz="0" w:space="0" w:color="auto"/>
        <w:left w:val="none" w:sz="0" w:space="0" w:color="auto"/>
        <w:bottom w:val="none" w:sz="0" w:space="0" w:color="auto"/>
        <w:right w:val="none" w:sz="0" w:space="0" w:color="auto"/>
      </w:divBdr>
    </w:div>
    <w:div w:id="1203395864">
      <w:bodyDiv w:val="1"/>
      <w:marLeft w:val="0"/>
      <w:marRight w:val="0"/>
      <w:marTop w:val="0"/>
      <w:marBottom w:val="0"/>
      <w:divBdr>
        <w:top w:val="none" w:sz="0" w:space="0" w:color="auto"/>
        <w:left w:val="none" w:sz="0" w:space="0" w:color="auto"/>
        <w:bottom w:val="none" w:sz="0" w:space="0" w:color="auto"/>
        <w:right w:val="none" w:sz="0" w:space="0" w:color="auto"/>
      </w:divBdr>
    </w:div>
    <w:div w:id="1210605862">
      <w:bodyDiv w:val="1"/>
      <w:marLeft w:val="0"/>
      <w:marRight w:val="0"/>
      <w:marTop w:val="0"/>
      <w:marBottom w:val="0"/>
      <w:divBdr>
        <w:top w:val="none" w:sz="0" w:space="0" w:color="auto"/>
        <w:left w:val="none" w:sz="0" w:space="0" w:color="auto"/>
        <w:bottom w:val="none" w:sz="0" w:space="0" w:color="auto"/>
        <w:right w:val="none" w:sz="0" w:space="0" w:color="auto"/>
      </w:divBdr>
    </w:div>
    <w:div w:id="1213032929">
      <w:bodyDiv w:val="1"/>
      <w:marLeft w:val="0"/>
      <w:marRight w:val="0"/>
      <w:marTop w:val="0"/>
      <w:marBottom w:val="0"/>
      <w:divBdr>
        <w:top w:val="none" w:sz="0" w:space="0" w:color="auto"/>
        <w:left w:val="none" w:sz="0" w:space="0" w:color="auto"/>
        <w:bottom w:val="none" w:sz="0" w:space="0" w:color="auto"/>
        <w:right w:val="none" w:sz="0" w:space="0" w:color="auto"/>
      </w:divBdr>
    </w:div>
    <w:div w:id="1223298390">
      <w:bodyDiv w:val="1"/>
      <w:marLeft w:val="0"/>
      <w:marRight w:val="0"/>
      <w:marTop w:val="0"/>
      <w:marBottom w:val="0"/>
      <w:divBdr>
        <w:top w:val="none" w:sz="0" w:space="0" w:color="auto"/>
        <w:left w:val="none" w:sz="0" w:space="0" w:color="auto"/>
        <w:bottom w:val="none" w:sz="0" w:space="0" w:color="auto"/>
        <w:right w:val="none" w:sz="0" w:space="0" w:color="auto"/>
      </w:divBdr>
    </w:div>
    <w:div w:id="1247572623">
      <w:bodyDiv w:val="1"/>
      <w:marLeft w:val="0"/>
      <w:marRight w:val="0"/>
      <w:marTop w:val="0"/>
      <w:marBottom w:val="0"/>
      <w:divBdr>
        <w:top w:val="none" w:sz="0" w:space="0" w:color="auto"/>
        <w:left w:val="none" w:sz="0" w:space="0" w:color="auto"/>
        <w:bottom w:val="none" w:sz="0" w:space="0" w:color="auto"/>
        <w:right w:val="none" w:sz="0" w:space="0" w:color="auto"/>
      </w:divBdr>
    </w:div>
    <w:div w:id="1277299840">
      <w:bodyDiv w:val="1"/>
      <w:marLeft w:val="0"/>
      <w:marRight w:val="0"/>
      <w:marTop w:val="0"/>
      <w:marBottom w:val="0"/>
      <w:divBdr>
        <w:top w:val="none" w:sz="0" w:space="0" w:color="auto"/>
        <w:left w:val="none" w:sz="0" w:space="0" w:color="auto"/>
        <w:bottom w:val="none" w:sz="0" w:space="0" w:color="auto"/>
        <w:right w:val="none" w:sz="0" w:space="0" w:color="auto"/>
      </w:divBdr>
    </w:div>
    <w:div w:id="1285307044">
      <w:bodyDiv w:val="1"/>
      <w:marLeft w:val="0"/>
      <w:marRight w:val="0"/>
      <w:marTop w:val="0"/>
      <w:marBottom w:val="0"/>
      <w:divBdr>
        <w:top w:val="none" w:sz="0" w:space="0" w:color="auto"/>
        <w:left w:val="none" w:sz="0" w:space="0" w:color="auto"/>
        <w:bottom w:val="none" w:sz="0" w:space="0" w:color="auto"/>
        <w:right w:val="none" w:sz="0" w:space="0" w:color="auto"/>
      </w:divBdr>
    </w:div>
    <w:div w:id="1293487882">
      <w:bodyDiv w:val="1"/>
      <w:marLeft w:val="0"/>
      <w:marRight w:val="0"/>
      <w:marTop w:val="0"/>
      <w:marBottom w:val="0"/>
      <w:divBdr>
        <w:top w:val="none" w:sz="0" w:space="0" w:color="auto"/>
        <w:left w:val="none" w:sz="0" w:space="0" w:color="auto"/>
        <w:bottom w:val="none" w:sz="0" w:space="0" w:color="auto"/>
        <w:right w:val="none" w:sz="0" w:space="0" w:color="auto"/>
      </w:divBdr>
    </w:div>
    <w:div w:id="1300382944">
      <w:bodyDiv w:val="1"/>
      <w:marLeft w:val="0"/>
      <w:marRight w:val="0"/>
      <w:marTop w:val="0"/>
      <w:marBottom w:val="0"/>
      <w:divBdr>
        <w:top w:val="none" w:sz="0" w:space="0" w:color="auto"/>
        <w:left w:val="none" w:sz="0" w:space="0" w:color="auto"/>
        <w:bottom w:val="none" w:sz="0" w:space="0" w:color="auto"/>
        <w:right w:val="none" w:sz="0" w:space="0" w:color="auto"/>
      </w:divBdr>
    </w:div>
    <w:div w:id="1303779141">
      <w:bodyDiv w:val="1"/>
      <w:marLeft w:val="0"/>
      <w:marRight w:val="0"/>
      <w:marTop w:val="0"/>
      <w:marBottom w:val="0"/>
      <w:divBdr>
        <w:top w:val="none" w:sz="0" w:space="0" w:color="auto"/>
        <w:left w:val="none" w:sz="0" w:space="0" w:color="auto"/>
        <w:bottom w:val="none" w:sz="0" w:space="0" w:color="auto"/>
        <w:right w:val="none" w:sz="0" w:space="0" w:color="auto"/>
      </w:divBdr>
    </w:div>
    <w:div w:id="1304625497">
      <w:bodyDiv w:val="1"/>
      <w:marLeft w:val="0"/>
      <w:marRight w:val="0"/>
      <w:marTop w:val="0"/>
      <w:marBottom w:val="0"/>
      <w:divBdr>
        <w:top w:val="none" w:sz="0" w:space="0" w:color="auto"/>
        <w:left w:val="none" w:sz="0" w:space="0" w:color="auto"/>
        <w:bottom w:val="none" w:sz="0" w:space="0" w:color="auto"/>
        <w:right w:val="none" w:sz="0" w:space="0" w:color="auto"/>
      </w:divBdr>
    </w:div>
    <w:div w:id="1307009958">
      <w:bodyDiv w:val="1"/>
      <w:marLeft w:val="0"/>
      <w:marRight w:val="0"/>
      <w:marTop w:val="0"/>
      <w:marBottom w:val="0"/>
      <w:divBdr>
        <w:top w:val="none" w:sz="0" w:space="0" w:color="auto"/>
        <w:left w:val="none" w:sz="0" w:space="0" w:color="auto"/>
        <w:bottom w:val="none" w:sz="0" w:space="0" w:color="auto"/>
        <w:right w:val="none" w:sz="0" w:space="0" w:color="auto"/>
      </w:divBdr>
      <w:divsChild>
        <w:div w:id="1447889302">
          <w:marLeft w:val="0"/>
          <w:marRight w:val="0"/>
          <w:marTop w:val="0"/>
          <w:marBottom w:val="0"/>
          <w:divBdr>
            <w:top w:val="none" w:sz="0" w:space="0" w:color="auto"/>
            <w:left w:val="none" w:sz="0" w:space="0" w:color="auto"/>
            <w:bottom w:val="none" w:sz="0" w:space="0" w:color="auto"/>
            <w:right w:val="none" w:sz="0" w:space="0" w:color="auto"/>
          </w:divBdr>
          <w:divsChild>
            <w:div w:id="1529440973">
              <w:marLeft w:val="0"/>
              <w:marRight w:val="0"/>
              <w:marTop w:val="0"/>
              <w:marBottom w:val="0"/>
              <w:divBdr>
                <w:top w:val="none" w:sz="0" w:space="0" w:color="auto"/>
                <w:left w:val="none" w:sz="0" w:space="0" w:color="auto"/>
                <w:bottom w:val="none" w:sz="0" w:space="0" w:color="auto"/>
                <w:right w:val="none" w:sz="0" w:space="0" w:color="auto"/>
              </w:divBdr>
              <w:divsChild>
                <w:div w:id="1295596967">
                  <w:marLeft w:val="0"/>
                  <w:marRight w:val="0"/>
                  <w:marTop w:val="0"/>
                  <w:marBottom w:val="0"/>
                  <w:divBdr>
                    <w:top w:val="none" w:sz="0" w:space="0" w:color="auto"/>
                    <w:left w:val="none" w:sz="0" w:space="0" w:color="auto"/>
                    <w:bottom w:val="none" w:sz="0" w:space="0" w:color="auto"/>
                    <w:right w:val="none" w:sz="0" w:space="0" w:color="auto"/>
                  </w:divBdr>
                  <w:divsChild>
                    <w:div w:id="1567455296">
                      <w:marLeft w:val="0"/>
                      <w:marRight w:val="0"/>
                      <w:marTop w:val="0"/>
                      <w:marBottom w:val="0"/>
                      <w:divBdr>
                        <w:top w:val="none" w:sz="0" w:space="0" w:color="auto"/>
                        <w:left w:val="none" w:sz="0" w:space="0" w:color="auto"/>
                        <w:bottom w:val="none" w:sz="0" w:space="0" w:color="auto"/>
                        <w:right w:val="none" w:sz="0" w:space="0" w:color="auto"/>
                      </w:divBdr>
                      <w:divsChild>
                        <w:div w:id="2078280187">
                          <w:marLeft w:val="0"/>
                          <w:marRight w:val="0"/>
                          <w:marTop w:val="0"/>
                          <w:marBottom w:val="0"/>
                          <w:divBdr>
                            <w:top w:val="none" w:sz="0" w:space="0" w:color="auto"/>
                            <w:left w:val="none" w:sz="0" w:space="0" w:color="auto"/>
                            <w:bottom w:val="none" w:sz="0" w:space="0" w:color="auto"/>
                            <w:right w:val="none" w:sz="0" w:space="0" w:color="auto"/>
                          </w:divBdr>
                          <w:divsChild>
                            <w:div w:id="78284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400003">
          <w:marLeft w:val="0"/>
          <w:marRight w:val="0"/>
          <w:marTop w:val="0"/>
          <w:marBottom w:val="0"/>
          <w:divBdr>
            <w:top w:val="none" w:sz="0" w:space="0" w:color="auto"/>
            <w:left w:val="none" w:sz="0" w:space="0" w:color="auto"/>
            <w:bottom w:val="none" w:sz="0" w:space="0" w:color="auto"/>
            <w:right w:val="none" w:sz="0" w:space="0" w:color="auto"/>
          </w:divBdr>
          <w:divsChild>
            <w:div w:id="269826910">
              <w:marLeft w:val="0"/>
              <w:marRight w:val="0"/>
              <w:marTop w:val="0"/>
              <w:marBottom w:val="0"/>
              <w:divBdr>
                <w:top w:val="none" w:sz="0" w:space="0" w:color="auto"/>
                <w:left w:val="none" w:sz="0" w:space="0" w:color="auto"/>
                <w:bottom w:val="none" w:sz="0" w:space="0" w:color="auto"/>
                <w:right w:val="none" w:sz="0" w:space="0" w:color="auto"/>
              </w:divBdr>
              <w:divsChild>
                <w:div w:id="1972976895">
                  <w:marLeft w:val="0"/>
                  <w:marRight w:val="0"/>
                  <w:marTop w:val="0"/>
                  <w:marBottom w:val="0"/>
                  <w:divBdr>
                    <w:top w:val="none" w:sz="0" w:space="0" w:color="auto"/>
                    <w:left w:val="none" w:sz="0" w:space="0" w:color="auto"/>
                    <w:bottom w:val="none" w:sz="0" w:space="0" w:color="auto"/>
                    <w:right w:val="none" w:sz="0" w:space="0" w:color="auto"/>
                  </w:divBdr>
                  <w:divsChild>
                    <w:div w:id="455954350">
                      <w:marLeft w:val="0"/>
                      <w:marRight w:val="0"/>
                      <w:marTop w:val="0"/>
                      <w:marBottom w:val="0"/>
                      <w:divBdr>
                        <w:top w:val="none" w:sz="0" w:space="0" w:color="auto"/>
                        <w:left w:val="none" w:sz="0" w:space="0" w:color="auto"/>
                        <w:bottom w:val="none" w:sz="0" w:space="0" w:color="auto"/>
                        <w:right w:val="none" w:sz="0" w:space="0" w:color="auto"/>
                      </w:divBdr>
                      <w:divsChild>
                        <w:div w:id="1333415725">
                          <w:marLeft w:val="0"/>
                          <w:marRight w:val="0"/>
                          <w:marTop w:val="0"/>
                          <w:marBottom w:val="0"/>
                          <w:divBdr>
                            <w:top w:val="none" w:sz="0" w:space="0" w:color="auto"/>
                            <w:left w:val="none" w:sz="0" w:space="0" w:color="auto"/>
                            <w:bottom w:val="none" w:sz="0" w:space="0" w:color="auto"/>
                            <w:right w:val="none" w:sz="0" w:space="0" w:color="auto"/>
                          </w:divBdr>
                          <w:divsChild>
                            <w:div w:id="580679584">
                              <w:marLeft w:val="300"/>
                              <w:marRight w:val="0"/>
                              <w:marTop w:val="0"/>
                              <w:marBottom w:val="0"/>
                              <w:divBdr>
                                <w:top w:val="none" w:sz="0" w:space="0" w:color="auto"/>
                                <w:left w:val="none" w:sz="0" w:space="0" w:color="auto"/>
                                <w:bottom w:val="none" w:sz="0" w:space="0" w:color="auto"/>
                                <w:right w:val="none" w:sz="0" w:space="0" w:color="auto"/>
                              </w:divBdr>
                              <w:divsChild>
                                <w:div w:id="1334642693">
                                  <w:marLeft w:val="0"/>
                                  <w:marRight w:val="0"/>
                                  <w:marTop w:val="0"/>
                                  <w:marBottom w:val="0"/>
                                  <w:divBdr>
                                    <w:top w:val="none" w:sz="0" w:space="0" w:color="auto"/>
                                    <w:left w:val="none" w:sz="0" w:space="0" w:color="auto"/>
                                    <w:bottom w:val="none" w:sz="0" w:space="0" w:color="auto"/>
                                    <w:right w:val="none" w:sz="0" w:space="0" w:color="auto"/>
                                  </w:divBdr>
                                  <w:divsChild>
                                    <w:div w:id="743187948">
                                      <w:marLeft w:val="0"/>
                                      <w:marRight w:val="0"/>
                                      <w:marTop w:val="0"/>
                                      <w:marBottom w:val="0"/>
                                      <w:divBdr>
                                        <w:top w:val="none" w:sz="0" w:space="0" w:color="auto"/>
                                        <w:left w:val="none" w:sz="0" w:space="0" w:color="auto"/>
                                        <w:bottom w:val="none" w:sz="0" w:space="0" w:color="auto"/>
                                        <w:right w:val="none" w:sz="0" w:space="0" w:color="auto"/>
                                      </w:divBdr>
                                      <w:divsChild>
                                        <w:div w:id="143738649">
                                          <w:marLeft w:val="0"/>
                                          <w:marRight w:val="0"/>
                                          <w:marTop w:val="0"/>
                                          <w:marBottom w:val="0"/>
                                          <w:divBdr>
                                            <w:top w:val="none" w:sz="0" w:space="0" w:color="auto"/>
                                            <w:left w:val="none" w:sz="0" w:space="0" w:color="auto"/>
                                            <w:bottom w:val="none" w:sz="0" w:space="0" w:color="auto"/>
                                            <w:right w:val="none" w:sz="0" w:space="0" w:color="auto"/>
                                          </w:divBdr>
                                          <w:divsChild>
                                            <w:div w:id="1132555659">
                                              <w:marLeft w:val="0"/>
                                              <w:marRight w:val="0"/>
                                              <w:marTop w:val="0"/>
                                              <w:marBottom w:val="0"/>
                                              <w:divBdr>
                                                <w:top w:val="none" w:sz="0" w:space="0" w:color="auto"/>
                                                <w:left w:val="none" w:sz="0" w:space="0" w:color="auto"/>
                                                <w:bottom w:val="none" w:sz="0" w:space="0" w:color="auto"/>
                                                <w:right w:val="none" w:sz="0" w:space="0" w:color="auto"/>
                                              </w:divBdr>
                                              <w:divsChild>
                                                <w:div w:id="1410038888">
                                                  <w:marLeft w:val="0"/>
                                                  <w:marRight w:val="0"/>
                                                  <w:marTop w:val="0"/>
                                                  <w:marBottom w:val="0"/>
                                                  <w:divBdr>
                                                    <w:top w:val="none" w:sz="0" w:space="0" w:color="auto"/>
                                                    <w:left w:val="none" w:sz="0" w:space="0" w:color="auto"/>
                                                    <w:bottom w:val="none" w:sz="0" w:space="0" w:color="auto"/>
                                                    <w:right w:val="none" w:sz="0" w:space="0" w:color="auto"/>
                                                  </w:divBdr>
                                                  <w:divsChild>
                                                    <w:div w:id="306473326">
                                                      <w:marLeft w:val="0"/>
                                                      <w:marRight w:val="0"/>
                                                      <w:marTop w:val="0"/>
                                                      <w:marBottom w:val="0"/>
                                                      <w:divBdr>
                                                        <w:top w:val="none" w:sz="0" w:space="0" w:color="auto"/>
                                                        <w:left w:val="none" w:sz="0" w:space="0" w:color="auto"/>
                                                        <w:bottom w:val="none" w:sz="0" w:space="0" w:color="auto"/>
                                                        <w:right w:val="none" w:sz="0" w:space="0" w:color="auto"/>
                                                      </w:divBdr>
                                                      <w:divsChild>
                                                        <w:div w:id="1507549491">
                                                          <w:marLeft w:val="0"/>
                                                          <w:marRight w:val="0"/>
                                                          <w:marTop w:val="0"/>
                                                          <w:marBottom w:val="0"/>
                                                          <w:divBdr>
                                                            <w:top w:val="none" w:sz="0" w:space="0" w:color="auto"/>
                                                            <w:left w:val="none" w:sz="0" w:space="0" w:color="auto"/>
                                                            <w:bottom w:val="none" w:sz="0" w:space="0" w:color="auto"/>
                                                            <w:right w:val="none" w:sz="0" w:space="0" w:color="auto"/>
                                                          </w:divBdr>
                                                          <w:divsChild>
                                                            <w:div w:id="88503146">
                                                              <w:marLeft w:val="0"/>
                                                              <w:marRight w:val="0"/>
                                                              <w:marTop w:val="0"/>
                                                              <w:marBottom w:val="0"/>
                                                              <w:divBdr>
                                                                <w:top w:val="none" w:sz="0" w:space="0" w:color="auto"/>
                                                                <w:left w:val="none" w:sz="0" w:space="0" w:color="auto"/>
                                                                <w:bottom w:val="none" w:sz="0" w:space="0" w:color="auto"/>
                                                                <w:right w:val="none" w:sz="0" w:space="0" w:color="auto"/>
                                                              </w:divBdr>
                                                              <w:divsChild>
                                                                <w:div w:id="2080398172">
                                                                  <w:marLeft w:val="0"/>
                                                                  <w:marRight w:val="0"/>
                                                                  <w:marTop w:val="0"/>
                                                                  <w:marBottom w:val="0"/>
                                                                  <w:divBdr>
                                                                    <w:top w:val="none" w:sz="0" w:space="0" w:color="auto"/>
                                                                    <w:left w:val="none" w:sz="0" w:space="0" w:color="auto"/>
                                                                    <w:bottom w:val="none" w:sz="0" w:space="0" w:color="auto"/>
                                                                    <w:right w:val="none" w:sz="0" w:space="0" w:color="auto"/>
                                                                  </w:divBdr>
                                                                  <w:divsChild>
                                                                    <w:div w:id="535237396">
                                                                      <w:marLeft w:val="0"/>
                                                                      <w:marRight w:val="0"/>
                                                                      <w:marTop w:val="0"/>
                                                                      <w:marBottom w:val="0"/>
                                                                      <w:divBdr>
                                                                        <w:top w:val="none" w:sz="0" w:space="0" w:color="auto"/>
                                                                        <w:left w:val="none" w:sz="0" w:space="0" w:color="auto"/>
                                                                        <w:bottom w:val="none" w:sz="0" w:space="0" w:color="auto"/>
                                                                        <w:right w:val="none" w:sz="0" w:space="0" w:color="auto"/>
                                                                      </w:divBdr>
                                                                      <w:divsChild>
                                                                        <w:div w:id="12168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7082503">
      <w:bodyDiv w:val="1"/>
      <w:marLeft w:val="0"/>
      <w:marRight w:val="0"/>
      <w:marTop w:val="0"/>
      <w:marBottom w:val="0"/>
      <w:divBdr>
        <w:top w:val="none" w:sz="0" w:space="0" w:color="auto"/>
        <w:left w:val="none" w:sz="0" w:space="0" w:color="auto"/>
        <w:bottom w:val="none" w:sz="0" w:space="0" w:color="auto"/>
        <w:right w:val="none" w:sz="0" w:space="0" w:color="auto"/>
      </w:divBdr>
    </w:div>
    <w:div w:id="1310555477">
      <w:bodyDiv w:val="1"/>
      <w:marLeft w:val="0"/>
      <w:marRight w:val="0"/>
      <w:marTop w:val="0"/>
      <w:marBottom w:val="0"/>
      <w:divBdr>
        <w:top w:val="none" w:sz="0" w:space="0" w:color="auto"/>
        <w:left w:val="none" w:sz="0" w:space="0" w:color="auto"/>
        <w:bottom w:val="none" w:sz="0" w:space="0" w:color="auto"/>
        <w:right w:val="none" w:sz="0" w:space="0" w:color="auto"/>
      </w:divBdr>
    </w:div>
    <w:div w:id="1323118439">
      <w:bodyDiv w:val="1"/>
      <w:marLeft w:val="0"/>
      <w:marRight w:val="0"/>
      <w:marTop w:val="0"/>
      <w:marBottom w:val="0"/>
      <w:divBdr>
        <w:top w:val="none" w:sz="0" w:space="0" w:color="auto"/>
        <w:left w:val="none" w:sz="0" w:space="0" w:color="auto"/>
        <w:bottom w:val="none" w:sz="0" w:space="0" w:color="auto"/>
        <w:right w:val="none" w:sz="0" w:space="0" w:color="auto"/>
      </w:divBdr>
    </w:div>
    <w:div w:id="1324579097">
      <w:bodyDiv w:val="1"/>
      <w:marLeft w:val="0"/>
      <w:marRight w:val="0"/>
      <w:marTop w:val="0"/>
      <w:marBottom w:val="0"/>
      <w:divBdr>
        <w:top w:val="none" w:sz="0" w:space="0" w:color="auto"/>
        <w:left w:val="none" w:sz="0" w:space="0" w:color="auto"/>
        <w:bottom w:val="none" w:sz="0" w:space="0" w:color="auto"/>
        <w:right w:val="none" w:sz="0" w:space="0" w:color="auto"/>
      </w:divBdr>
    </w:div>
    <w:div w:id="1335692191">
      <w:bodyDiv w:val="1"/>
      <w:marLeft w:val="0"/>
      <w:marRight w:val="0"/>
      <w:marTop w:val="0"/>
      <w:marBottom w:val="0"/>
      <w:divBdr>
        <w:top w:val="none" w:sz="0" w:space="0" w:color="auto"/>
        <w:left w:val="none" w:sz="0" w:space="0" w:color="auto"/>
        <w:bottom w:val="none" w:sz="0" w:space="0" w:color="auto"/>
        <w:right w:val="none" w:sz="0" w:space="0" w:color="auto"/>
      </w:divBdr>
    </w:div>
    <w:div w:id="1337074719">
      <w:bodyDiv w:val="1"/>
      <w:marLeft w:val="0"/>
      <w:marRight w:val="0"/>
      <w:marTop w:val="0"/>
      <w:marBottom w:val="0"/>
      <w:divBdr>
        <w:top w:val="none" w:sz="0" w:space="0" w:color="auto"/>
        <w:left w:val="none" w:sz="0" w:space="0" w:color="auto"/>
        <w:bottom w:val="none" w:sz="0" w:space="0" w:color="auto"/>
        <w:right w:val="none" w:sz="0" w:space="0" w:color="auto"/>
      </w:divBdr>
    </w:div>
    <w:div w:id="1355109038">
      <w:bodyDiv w:val="1"/>
      <w:marLeft w:val="0"/>
      <w:marRight w:val="0"/>
      <w:marTop w:val="0"/>
      <w:marBottom w:val="0"/>
      <w:divBdr>
        <w:top w:val="none" w:sz="0" w:space="0" w:color="auto"/>
        <w:left w:val="none" w:sz="0" w:space="0" w:color="auto"/>
        <w:bottom w:val="none" w:sz="0" w:space="0" w:color="auto"/>
        <w:right w:val="none" w:sz="0" w:space="0" w:color="auto"/>
      </w:divBdr>
    </w:div>
    <w:div w:id="1388334030">
      <w:bodyDiv w:val="1"/>
      <w:marLeft w:val="0"/>
      <w:marRight w:val="0"/>
      <w:marTop w:val="0"/>
      <w:marBottom w:val="0"/>
      <w:divBdr>
        <w:top w:val="none" w:sz="0" w:space="0" w:color="auto"/>
        <w:left w:val="none" w:sz="0" w:space="0" w:color="auto"/>
        <w:bottom w:val="none" w:sz="0" w:space="0" w:color="auto"/>
        <w:right w:val="none" w:sz="0" w:space="0" w:color="auto"/>
      </w:divBdr>
    </w:div>
    <w:div w:id="1403603475">
      <w:bodyDiv w:val="1"/>
      <w:marLeft w:val="0"/>
      <w:marRight w:val="0"/>
      <w:marTop w:val="0"/>
      <w:marBottom w:val="0"/>
      <w:divBdr>
        <w:top w:val="none" w:sz="0" w:space="0" w:color="auto"/>
        <w:left w:val="none" w:sz="0" w:space="0" w:color="auto"/>
        <w:bottom w:val="none" w:sz="0" w:space="0" w:color="auto"/>
        <w:right w:val="none" w:sz="0" w:space="0" w:color="auto"/>
      </w:divBdr>
    </w:div>
    <w:div w:id="1411000799">
      <w:bodyDiv w:val="1"/>
      <w:marLeft w:val="0"/>
      <w:marRight w:val="0"/>
      <w:marTop w:val="0"/>
      <w:marBottom w:val="0"/>
      <w:divBdr>
        <w:top w:val="none" w:sz="0" w:space="0" w:color="auto"/>
        <w:left w:val="none" w:sz="0" w:space="0" w:color="auto"/>
        <w:bottom w:val="none" w:sz="0" w:space="0" w:color="auto"/>
        <w:right w:val="none" w:sz="0" w:space="0" w:color="auto"/>
      </w:divBdr>
    </w:div>
    <w:div w:id="1425372152">
      <w:bodyDiv w:val="1"/>
      <w:marLeft w:val="0"/>
      <w:marRight w:val="0"/>
      <w:marTop w:val="0"/>
      <w:marBottom w:val="0"/>
      <w:divBdr>
        <w:top w:val="none" w:sz="0" w:space="0" w:color="auto"/>
        <w:left w:val="none" w:sz="0" w:space="0" w:color="auto"/>
        <w:bottom w:val="none" w:sz="0" w:space="0" w:color="auto"/>
        <w:right w:val="none" w:sz="0" w:space="0" w:color="auto"/>
      </w:divBdr>
    </w:div>
    <w:div w:id="1429888275">
      <w:bodyDiv w:val="1"/>
      <w:marLeft w:val="0"/>
      <w:marRight w:val="0"/>
      <w:marTop w:val="0"/>
      <w:marBottom w:val="0"/>
      <w:divBdr>
        <w:top w:val="none" w:sz="0" w:space="0" w:color="auto"/>
        <w:left w:val="none" w:sz="0" w:space="0" w:color="auto"/>
        <w:bottom w:val="none" w:sz="0" w:space="0" w:color="auto"/>
        <w:right w:val="none" w:sz="0" w:space="0" w:color="auto"/>
      </w:divBdr>
    </w:div>
    <w:div w:id="1435856840">
      <w:bodyDiv w:val="1"/>
      <w:marLeft w:val="0"/>
      <w:marRight w:val="0"/>
      <w:marTop w:val="0"/>
      <w:marBottom w:val="0"/>
      <w:divBdr>
        <w:top w:val="none" w:sz="0" w:space="0" w:color="auto"/>
        <w:left w:val="none" w:sz="0" w:space="0" w:color="auto"/>
        <w:bottom w:val="none" w:sz="0" w:space="0" w:color="auto"/>
        <w:right w:val="none" w:sz="0" w:space="0" w:color="auto"/>
      </w:divBdr>
    </w:div>
    <w:div w:id="1438140953">
      <w:bodyDiv w:val="1"/>
      <w:marLeft w:val="0"/>
      <w:marRight w:val="0"/>
      <w:marTop w:val="0"/>
      <w:marBottom w:val="0"/>
      <w:divBdr>
        <w:top w:val="none" w:sz="0" w:space="0" w:color="auto"/>
        <w:left w:val="none" w:sz="0" w:space="0" w:color="auto"/>
        <w:bottom w:val="none" w:sz="0" w:space="0" w:color="auto"/>
        <w:right w:val="none" w:sz="0" w:space="0" w:color="auto"/>
      </w:divBdr>
    </w:div>
    <w:div w:id="1441218481">
      <w:bodyDiv w:val="1"/>
      <w:marLeft w:val="0"/>
      <w:marRight w:val="0"/>
      <w:marTop w:val="0"/>
      <w:marBottom w:val="0"/>
      <w:divBdr>
        <w:top w:val="none" w:sz="0" w:space="0" w:color="auto"/>
        <w:left w:val="none" w:sz="0" w:space="0" w:color="auto"/>
        <w:bottom w:val="none" w:sz="0" w:space="0" w:color="auto"/>
        <w:right w:val="none" w:sz="0" w:space="0" w:color="auto"/>
      </w:divBdr>
    </w:div>
    <w:div w:id="1441606160">
      <w:bodyDiv w:val="1"/>
      <w:marLeft w:val="0"/>
      <w:marRight w:val="0"/>
      <w:marTop w:val="0"/>
      <w:marBottom w:val="0"/>
      <w:divBdr>
        <w:top w:val="none" w:sz="0" w:space="0" w:color="auto"/>
        <w:left w:val="none" w:sz="0" w:space="0" w:color="auto"/>
        <w:bottom w:val="none" w:sz="0" w:space="0" w:color="auto"/>
        <w:right w:val="none" w:sz="0" w:space="0" w:color="auto"/>
      </w:divBdr>
    </w:div>
    <w:div w:id="1443457646">
      <w:bodyDiv w:val="1"/>
      <w:marLeft w:val="0"/>
      <w:marRight w:val="0"/>
      <w:marTop w:val="0"/>
      <w:marBottom w:val="0"/>
      <w:divBdr>
        <w:top w:val="none" w:sz="0" w:space="0" w:color="auto"/>
        <w:left w:val="none" w:sz="0" w:space="0" w:color="auto"/>
        <w:bottom w:val="none" w:sz="0" w:space="0" w:color="auto"/>
        <w:right w:val="none" w:sz="0" w:space="0" w:color="auto"/>
      </w:divBdr>
    </w:div>
    <w:div w:id="1448692592">
      <w:bodyDiv w:val="1"/>
      <w:marLeft w:val="0"/>
      <w:marRight w:val="0"/>
      <w:marTop w:val="0"/>
      <w:marBottom w:val="0"/>
      <w:divBdr>
        <w:top w:val="none" w:sz="0" w:space="0" w:color="auto"/>
        <w:left w:val="none" w:sz="0" w:space="0" w:color="auto"/>
        <w:bottom w:val="none" w:sz="0" w:space="0" w:color="auto"/>
        <w:right w:val="none" w:sz="0" w:space="0" w:color="auto"/>
      </w:divBdr>
    </w:div>
    <w:div w:id="1449623448">
      <w:bodyDiv w:val="1"/>
      <w:marLeft w:val="0"/>
      <w:marRight w:val="0"/>
      <w:marTop w:val="0"/>
      <w:marBottom w:val="0"/>
      <w:divBdr>
        <w:top w:val="none" w:sz="0" w:space="0" w:color="auto"/>
        <w:left w:val="none" w:sz="0" w:space="0" w:color="auto"/>
        <w:bottom w:val="none" w:sz="0" w:space="0" w:color="auto"/>
        <w:right w:val="none" w:sz="0" w:space="0" w:color="auto"/>
      </w:divBdr>
    </w:div>
    <w:div w:id="1451046005">
      <w:bodyDiv w:val="1"/>
      <w:marLeft w:val="0"/>
      <w:marRight w:val="0"/>
      <w:marTop w:val="0"/>
      <w:marBottom w:val="0"/>
      <w:divBdr>
        <w:top w:val="none" w:sz="0" w:space="0" w:color="auto"/>
        <w:left w:val="none" w:sz="0" w:space="0" w:color="auto"/>
        <w:bottom w:val="none" w:sz="0" w:space="0" w:color="auto"/>
        <w:right w:val="none" w:sz="0" w:space="0" w:color="auto"/>
      </w:divBdr>
    </w:div>
    <w:div w:id="1456871507">
      <w:bodyDiv w:val="1"/>
      <w:marLeft w:val="0"/>
      <w:marRight w:val="0"/>
      <w:marTop w:val="0"/>
      <w:marBottom w:val="0"/>
      <w:divBdr>
        <w:top w:val="none" w:sz="0" w:space="0" w:color="auto"/>
        <w:left w:val="none" w:sz="0" w:space="0" w:color="auto"/>
        <w:bottom w:val="none" w:sz="0" w:space="0" w:color="auto"/>
        <w:right w:val="none" w:sz="0" w:space="0" w:color="auto"/>
      </w:divBdr>
    </w:div>
    <w:div w:id="1462771255">
      <w:bodyDiv w:val="1"/>
      <w:marLeft w:val="0"/>
      <w:marRight w:val="0"/>
      <w:marTop w:val="0"/>
      <w:marBottom w:val="0"/>
      <w:divBdr>
        <w:top w:val="none" w:sz="0" w:space="0" w:color="auto"/>
        <w:left w:val="none" w:sz="0" w:space="0" w:color="auto"/>
        <w:bottom w:val="none" w:sz="0" w:space="0" w:color="auto"/>
        <w:right w:val="none" w:sz="0" w:space="0" w:color="auto"/>
      </w:divBdr>
      <w:divsChild>
        <w:div w:id="1978532459">
          <w:marLeft w:val="0"/>
          <w:marRight w:val="0"/>
          <w:marTop w:val="0"/>
          <w:marBottom w:val="0"/>
          <w:divBdr>
            <w:top w:val="none" w:sz="0" w:space="0" w:color="auto"/>
            <w:left w:val="none" w:sz="0" w:space="0" w:color="auto"/>
            <w:bottom w:val="none" w:sz="0" w:space="0" w:color="auto"/>
            <w:right w:val="none" w:sz="0" w:space="0" w:color="auto"/>
          </w:divBdr>
          <w:divsChild>
            <w:div w:id="1229151158">
              <w:marLeft w:val="0"/>
              <w:marRight w:val="0"/>
              <w:marTop w:val="0"/>
              <w:marBottom w:val="0"/>
              <w:divBdr>
                <w:top w:val="none" w:sz="0" w:space="0" w:color="auto"/>
                <w:left w:val="none" w:sz="0" w:space="0" w:color="auto"/>
                <w:bottom w:val="none" w:sz="0" w:space="0" w:color="auto"/>
                <w:right w:val="none" w:sz="0" w:space="0" w:color="auto"/>
              </w:divBdr>
              <w:divsChild>
                <w:div w:id="66304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85326">
      <w:bodyDiv w:val="1"/>
      <w:marLeft w:val="0"/>
      <w:marRight w:val="0"/>
      <w:marTop w:val="0"/>
      <w:marBottom w:val="0"/>
      <w:divBdr>
        <w:top w:val="none" w:sz="0" w:space="0" w:color="auto"/>
        <w:left w:val="none" w:sz="0" w:space="0" w:color="auto"/>
        <w:bottom w:val="none" w:sz="0" w:space="0" w:color="auto"/>
        <w:right w:val="none" w:sz="0" w:space="0" w:color="auto"/>
      </w:divBdr>
    </w:div>
    <w:div w:id="1480539581">
      <w:bodyDiv w:val="1"/>
      <w:marLeft w:val="0"/>
      <w:marRight w:val="0"/>
      <w:marTop w:val="0"/>
      <w:marBottom w:val="0"/>
      <w:divBdr>
        <w:top w:val="none" w:sz="0" w:space="0" w:color="auto"/>
        <w:left w:val="none" w:sz="0" w:space="0" w:color="auto"/>
        <w:bottom w:val="none" w:sz="0" w:space="0" w:color="auto"/>
        <w:right w:val="none" w:sz="0" w:space="0" w:color="auto"/>
      </w:divBdr>
    </w:div>
    <w:div w:id="1507819470">
      <w:bodyDiv w:val="1"/>
      <w:marLeft w:val="0"/>
      <w:marRight w:val="0"/>
      <w:marTop w:val="0"/>
      <w:marBottom w:val="0"/>
      <w:divBdr>
        <w:top w:val="none" w:sz="0" w:space="0" w:color="auto"/>
        <w:left w:val="none" w:sz="0" w:space="0" w:color="auto"/>
        <w:bottom w:val="none" w:sz="0" w:space="0" w:color="auto"/>
        <w:right w:val="none" w:sz="0" w:space="0" w:color="auto"/>
      </w:divBdr>
    </w:div>
    <w:div w:id="1530412789">
      <w:bodyDiv w:val="1"/>
      <w:marLeft w:val="0"/>
      <w:marRight w:val="0"/>
      <w:marTop w:val="0"/>
      <w:marBottom w:val="0"/>
      <w:divBdr>
        <w:top w:val="none" w:sz="0" w:space="0" w:color="auto"/>
        <w:left w:val="none" w:sz="0" w:space="0" w:color="auto"/>
        <w:bottom w:val="none" w:sz="0" w:space="0" w:color="auto"/>
        <w:right w:val="none" w:sz="0" w:space="0" w:color="auto"/>
      </w:divBdr>
    </w:div>
    <w:div w:id="1530952100">
      <w:bodyDiv w:val="1"/>
      <w:marLeft w:val="0"/>
      <w:marRight w:val="0"/>
      <w:marTop w:val="0"/>
      <w:marBottom w:val="0"/>
      <w:divBdr>
        <w:top w:val="none" w:sz="0" w:space="0" w:color="auto"/>
        <w:left w:val="none" w:sz="0" w:space="0" w:color="auto"/>
        <w:bottom w:val="none" w:sz="0" w:space="0" w:color="auto"/>
        <w:right w:val="none" w:sz="0" w:space="0" w:color="auto"/>
      </w:divBdr>
    </w:div>
    <w:div w:id="1531603530">
      <w:bodyDiv w:val="1"/>
      <w:marLeft w:val="0"/>
      <w:marRight w:val="0"/>
      <w:marTop w:val="0"/>
      <w:marBottom w:val="0"/>
      <w:divBdr>
        <w:top w:val="none" w:sz="0" w:space="0" w:color="auto"/>
        <w:left w:val="none" w:sz="0" w:space="0" w:color="auto"/>
        <w:bottom w:val="none" w:sz="0" w:space="0" w:color="auto"/>
        <w:right w:val="none" w:sz="0" w:space="0" w:color="auto"/>
      </w:divBdr>
    </w:div>
    <w:div w:id="1531840794">
      <w:bodyDiv w:val="1"/>
      <w:marLeft w:val="0"/>
      <w:marRight w:val="0"/>
      <w:marTop w:val="0"/>
      <w:marBottom w:val="0"/>
      <w:divBdr>
        <w:top w:val="none" w:sz="0" w:space="0" w:color="auto"/>
        <w:left w:val="none" w:sz="0" w:space="0" w:color="auto"/>
        <w:bottom w:val="none" w:sz="0" w:space="0" w:color="auto"/>
        <w:right w:val="none" w:sz="0" w:space="0" w:color="auto"/>
      </w:divBdr>
    </w:div>
    <w:div w:id="1539199779">
      <w:bodyDiv w:val="1"/>
      <w:marLeft w:val="0"/>
      <w:marRight w:val="0"/>
      <w:marTop w:val="0"/>
      <w:marBottom w:val="0"/>
      <w:divBdr>
        <w:top w:val="none" w:sz="0" w:space="0" w:color="auto"/>
        <w:left w:val="none" w:sz="0" w:space="0" w:color="auto"/>
        <w:bottom w:val="none" w:sz="0" w:space="0" w:color="auto"/>
        <w:right w:val="none" w:sz="0" w:space="0" w:color="auto"/>
      </w:divBdr>
    </w:div>
    <w:div w:id="1540388317">
      <w:bodyDiv w:val="1"/>
      <w:marLeft w:val="0"/>
      <w:marRight w:val="0"/>
      <w:marTop w:val="0"/>
      <w:marBottom w:val="0"/>
      <w:divBdr>
        <w:top w:val="none" w:sz="0" w:space="0" w:color="auto"/>
        <w:left w:val="none" w:sz="0" w:space="0" w:color="auto"/>
        <w:bottom w:val="none" w:sz="0" w:space="0" w:color="auto"/>
        <w:right w:val="none" w:sz="0" w:space="0" w:color="auto"/>
      </w:divBdr>
    </w:div>
    <w:div w:id="1549147713">
      <w:bodyDiv w:val="1"/>
      <w:marLeft w:val="0"/>
      <w:marRight w:val="0"/>
      <w:marTop w:val="0"/>
      <w:marBottom w:val="0"/>
      <w:divBdr>
        <w:top w:val="none" w:sz="0" w:space="0" w:color="auto"/>
        <w:left w:val="none" w:sz="0" w:space="0" w:color="auto"/>
        <w:bottom w:val="none" w:sz="0" w:space="0" w:color="auto"/>
        <w:right w:val="none" w:sz="0" w:space="0" w:color="auto"/>
      </w:divBdr>
    </w:div>
    <w:div w:id="1549686790">
      <w:bodyDiv w:val="1"/>
      <w:marLeft w:val="0"/>
      <w:marRight w:val="0"/>
      <w:marTop w:val="0"/>
      <w:marBottom w:val="0"/>
      <w:divBdr>
        <w:top w:val="none" w:sz="0" w:space="0" w:color="auto"/>
        <w:left w:val="none" w:sz="0" w:space="0" w:color="auto"/>
        <w:bottom w:val="none" w:sz="0" w:space="0" w:color="auto"/>
        <w:right w:val="none" w:sz="0" w:space="0" w:color="auto"/>
      </w:divBdr>
    </w:div>
    <w:div w:id="1551304547">
      <w:bodyDiv w:val="1"/>
      <w:marLeft w:val="0"/>
      <w:marRight w:val="0"/>
      <w:marTop w:val="0"/>
      <w:marBottom w:val="0"/>
      <w:divBdr>
        <w:top w:val="none" w:sz="0" w:space="0" w:color="auto"/>
        <w:left w:val="none" w:sz="0" w:space="0" w:color="auto"/>
        <w:bottom w:val="none" w:sz="0" w:space="0" w:color="auto"/>
        <w:right w:val="none" w:sz="0" w:space="0" w:color="auto"/>
      </w:divBdr>
    </w:div>
    <w:div w:id="1555850162">
      <w:bodyDiv w:val="1"/>
      <w:marLeft w:val="0"/>
      <w:marRight w:val="0"/>
      <w:marTop w:val="0"/>
      <w:marBottom w:val="0"/>
      <w:divBdr>
        <w:top w:val="none" w:sz="0" w:space="0" w:color="auto"/>
        <w:left w:val="none" w:sz="0" w:space="0" w:color="auto"/>
        <w:bottom w:val="none" w:sz="0" w:space="0" w:color="auto"/>
        <w:right w:val="none" w:sz="0" w:space="0" w:color="auto"/>
      </w:divBdr>
    </w:div>
    <w:div w:id="1556964962">
      <w:bodyDiv w:val="1"/>
      <w:marLeft w:val="0"/>
      <w:marRight w:val="0"/>
      <w:marTop w:val="0"/>
      <w:marBottom w:val="0"/>
      <w:divBdr>
        <w:top w:val="none" w:sz="0" w:space="0" w:color="auto"/>
        <w:left w:val="none" w:sz="0" w:space="0" w:color="auto"/>
        <w:bottom w:val="none" w:sz="0" w:space="0" w:color="auto"/>
        <w:right w:val="none" w:sz="0" w:space="0" w:color="auto"/>
      </w:divBdr>
    </w:div>
    <w:div w:id="1570144217">
      <w:bodyDiv w:val="1"/>
      <w:marLeft w:val="0"/>
      <w:marRight w:val="0"/>
      <w:marTop w:val="0"/>
      <w:marBottom w:val="0"/>
      <w:divBdr>
        <w:top w:val="none" w:sz="0" w:space="0" w:color="auto"/>
        <w:left w:val="none" w:sz="0" w:space="0" w:color="auto"/>
        <w:bottom w:val="none" w:sz="0" w:space="0" w:color="auto"/>
        <w:right w:val="none" w:sz="0" w:space="0" w:color="auto"/>
      </w:divBdr>
    </w:div>
    <w:div w:id="1574854045">
      <w:bodyDiv w:val="1"/>
      <w:marLeft w:val="0"/>
      <w:marRight w:val="0"/>
      <w:marTop w:val="0"/>
      <w:marBottom w:val="0"/>
      <w:divBdr>
        <w:top w:val="none" w:sz="0" w:space="0" w:color="auto"/>
        <w:left w:val="none" w:sz="0" w:space="0" w:color="auto"/>
        <w:bottom w:val="none" w:sz="0" w:space="0" w:color="auto"/>
        <w:right w:val="none" w:sz="0" w:space="0" w:color="auto"/>
      </w:divBdr>
    </w:div>
    <w:div w:id="1635258547">
      <w:bodyDiv w:val="1"/>
      <w:marLeft w:val="0"/>
      <w:marRight w:val="0"/>
      <w:marTop w:val="0"/>
      <w:marBottom w:val="0"/>
      <w:divBdr>
        <w:top w:val="none" w:sz="0" w:space="0" w:color="auto"/>
        <w:left w:val="none" w:sz="0" w:space="0" w:color="auto"/>
        <w:bottom w:val="none" w:sz="0" w:space="0" w:color="auto"/>
        <w:right w:val="none" w:sz="0" w:space="0" w:color="auto"/>
      </w:divBdr>
    </w:div>
    <w:div w:id="1644651075">
      <w:bodyDiv w:val="1"/>
      <w:marLeft w:val="0"/>
      <w:marRight w:val="0"/>
      <w:marTop w:val="0"/>
      <w:marBottom w:val="0"/>
      <w:divBdr>
        <w:top w:val="none" w:sz="0" w:space="0" w:color="auto"/>
        <w:left w:val="none" w:sz="0" w:space="0" w:color="auto"/>
        <w:bottom w:val="none" w:sz="0" w:space="0" w:color="auto"/>
        <w:right w:val="none" w:sz="0" w:space="0" w:color="auto"/>
      </w:divBdr>
    </w:div>
    <w:div w:id="1664356909">
      <w:bodyDiv w:val="1"/>
      <w:marLeft w:val="0"/>
      <w:marRight w:val="0"/>
      <w:marTop w:val="0"/>
      <w:marBottom w:val="0"/>
      <w:divBdr>
        <w:top w:val="none" w:sz="0" w:space="0" w:color="auto"/>
        <w:left w:val="none" w:sz="0" w:space="0" w:color="auto"/>
        <w:bottom w:val="none" w:sz="0" w:space="0" w:color="auto"/>
        <w:right w:val="none" w:sz="0" w:space="0" w:color="auto"/>
      </w:divBdr>
    </w:div>
    <w:div w:id="1666591857">
      <w:bodyDiv w:val="1"/>
      <w:marLeft w:val="0"/>
      <w:marRight w:val="0"/>
      <w:marTop w:val="0"/>
      <w:marBottom w:val="0"/>
      <w:divBdr>
        <w:top w:val="none" w:sz="0" w:space="0" w:color="auto"/>
        <w:left w:val="none" w:sz="0" w:space="0" w:color="auto"/>
        <w:bottom w:val="none" w:sz="0" w:space="0" w:color="auto"/>
        <w:right w:val="none" w:sz="0" w:space="0" w:color="auto"/>
      </w:divBdr>
    </w:div>
    <w:div w:id="1669167905">
      <w:bodyDiv w:val="1"/>
      <w:marLeft w:val="0"/>
      <w:marRight w:val="0"/>
      <w:marTop w:val="0"/>
      <w:marBottom w:val="0"/>
      <w:divBdr>
        <w:top w:val="none" w:sz="0" w:space="0" w:color="auto"/>
        <w:left w:val="none" w:sz="0" w:space="0" w:color="auto"/>
        <w:bottom w:val="none" w:sz="0" w:space="0" w:color="auto"/>
        <w:right w:val="none" w:sz="0" w:space="0" w:color="auto"/>
      </w:divBdr>
    </w:div>
    <w:div w:id="1678997363">
      <w:bodyDiv w:val="1"/>
      <w:marLeft w:val="0"/>
      <w:marRight w:val="0"/>
      <w:marTop w:val="0"/>
      <w:marBottom w:val="0"/>
      <w:divBdr>
        <w:top w:val="none" w:sz="0" w:space="0" w:color="auto"/>
        <w:left w:val="none" w:sz="0" w:space="0" w:color="auto"/>
        <w:bottom w:val="none" w:sz="0" w:space="0" w:color="auto"/>
        <w:right w:val="none" w:sz="0" w:space="0" w:color="auto"/>
      </w:divBdr>
    </w:div>
    <w:div w:id="1683698592">
      <w:bodyDiv w:val="1"/>
      <w:marLeft w:val="0"/>
      <w:marRight w:val="0"/>
      <w:marTop w:val="0"/>
      <w:marBottom w:val="0"/>
      <w:divBdr>
        <w:top w:val="none" w:sz="0" w:space="0" w:color="auto"/>
        <w:left w:val="none" w:sz="0" w:space="0" w:color="auto"/>
        <w:bottom w:val="none" w:sz="0" w:space="0" w:color="auto"/>
        <w:right w:val="none" w:sz="0" w:space="0" w:color="auto"/>
      </w:divBdr>
    </w:div>
    <w:div w:id="1684698612">
      <w:bodyDiv w:val="1"/>
      <w:marLeft w:val="0"/>
      <w:marRight w:val="0"/>
      <w:marTop w:val="0"/>
      <w:marBottom w:val="0"/>
      <w:divBdr>
        <w:top w:val="none" w:sz="0" w:space="0" w:color="auto"/>
        <w:left w:val="none" w:sz="0" w:space="0" w:color="auto"/>
        <w:bottom w:val="none" w:sz="0" w:space="0" w:color="auto"/>
        <w:right w:val="none" w:sz="0" w:space="0" w:color="auto"/>
      </w:divBdr>
    </w:div>
    <w:div w:id="1689941383">
      <w:bodyDiv w:val="1"/>
      <w:marLeft w:val="0"/>
      <w:marRight w:val="0"/>
      <w:marTop w:val="0"/>
      <w:marBottom w:val="0"/>
      <w:divBdr>
        <w:top w:val="none" w:sz="0" w:space="0" w:color="auto"/>
        <w:left w:val="none" w:sz="0" w:space="0" w:color="auto"/>
        <w:bottom w:val="none" w:sz="0" w:space="0" w:color="auto"/>
        <w:right w:val="none" w:sz="0" w:space="0" w:color="auto"/>
      </w:divBdr>
    </w:div>
    <w:div w:id="1701785081">
      <w:bodyDiv w:val="1"/>
      <w:marLeft w:val="0"/>
      <w:marRight w:val="0"/>
      <w:marTop w:val="0"/>
      <w:marBottom w:val="0"/>
      <w:divBdr>
        <w:top w:val="none" w:sz="0" w:space="0" w:color="auto"/>
        <w:left w:val="none" w:sz="0" w:space="0" w:color="auto"/>
        <w:bottom w:val="none" w:sz="0" w:space="0" w:color="auto"/>
        <w:right w:val="none" w:sz="0" w:space="0" w:color="auto"/>
      </w:divBdr>
    </w:div>
    <w:div w:id="1703482416">
      <w:bodyDiv w:val="1"/>
      <w:marLeft w:val="0"/>
      <w:marRight w:val="0"/>
      <w:marTop w:val="0"/>
      <w:marBottom w:val="0"/>
      <w:divBdr>
        <w:top w:val="none" w:sz="0" w:space="0" w:color="auto"/>
        <w:left w:val="none" w:sz="0" w:space="0" w:color="auto"/>
        <w:bottom w:val="none" w:sz="0" w:space="0" w:color="auto"/>
        <w:right w:val="none" w:sz="0" w:space="0" w:color="auto"/>
      </w:divBdr>
    </w:div>
    <w:div w:id="1705061422">
      <w:bodyDiv w:val="1"/>
      <w:marLeft w:val="0"/>
      <w:marRight w:val="0"/>
      <w:marTop w:val="0"/>
      <w:marBottom w:val="0"/>
      <w:divBdr>
        <w:top w:val="none" w:sz="0" w:space="0" w:color="auto"/>
        <w:left w:val="none" w:sz="0" w:space="0" w:color="auto"/>
        <w:bottom w:val="none" w:sz="0" w:space="0" w:color="auto"/>
        <w:right w:val="none" w:sz="0" w:space="0" w:color="auto"/>
      </w:divBdr>
    </w:div>
    <w:div w:id="1707679766">
      <w:bodyDiv w:val="1"/>
      <w:marLeft w:val="0"/>
      <w:marRight w:val="0"/>
      <w:marTop w:val="0"/>
      <w:marBottom w:val="0"/>
      <w:divBdr>
        <w:top w:val="none" w:sz="0" w:space="0" w:color="auto"/>
        <w:left w:val="none" w:sz="0" w:space="0" w:color="auto"/>
        <w:bottom w:val="none" w:sz="0" w:space="0" w:color="auto"/>
        <w:right w:val="none" w:sz="0" w:space="0" w:color="auto"/>
      </w:divBdr>
    </w:div>
    <w:div w:id="1708946523">
      <w:bodyDiv w:val="1"/>
      <w:marLeft w:val="0"/>
      <w:marRight w:val="0"/>
      <w:marTop w:val="0"/>
      <w:marBottom w:val="0"/>
      <w:divBdr>
        <w:top w:val="none" w:sz="0" w:space="0" w:color="auto"/>
        <w:left w:val="none" w:sz="0" w:space="0" w:color="auto"/>
        <w:bottom w:val="none" w:sz="0" w:space="0" w:color="auto"/>
        <w:right w:val="none" w:sz="0" w:space="0" w:color="auto"/>
      </w:divBdr>
    </w:div>
    <w:div w:id="1719626896">
      <w:bodyDiv w:val="1"/>
      <w:marLeft w:val="0"/>
      <w:marRight w:val="0"/>
      <w:marTop w:val="0"/>
      <w:marBottom w:val="0"/>
      <w:divBdr>
        <w:top w:val="none" w:sz="0" w:space="0" w:color="auto"/>
        <w:left w:val="none" w:sz="0" w:space="0" w:color="auto"/>
        <w:bottom w:val="none" w:sz="0" w:space="0" w:color="auto"/>
        <w:right w:val="none" w:sz="0" w:space="0" w:color="auto"/>
      </w:divBdr>
    </w:div>
    <w:div w:id="1746993278">
      <w:bodyDiv w:val="1"/>
      <w:marLeft w:val="0"/>
      <w:marRight w:val="0"/>
      <w:marTop w:val="0"/>
      <w:marBottom w:val="0"/>
      <w:divBdr>
        <w:top w:val="none" w:sz="0" w:space="0" w:color="auto"/>
        <w:left w:val="none" w:sz="0" w:space="0" w:color="auto"/>
        <w:bottom w:val="none" w:sz="0" w:space="0" w:color="auto"/>
        <w:right w:val="none" w:sz="0" w:space="0" w:color="auto"/>
      </w:divBdr>
    </w:div>
    <w:div w:id="1756173703">
      <w:bodyDiv w:val="1"/>
      <w:marLeft w:val="0"/>
      <w:marRight w:val="0"/>
      <w:marTop w:val="0"/>
      <w:marBottom w:val="0"/>
      <w:divBdr>
        <w:top w:val="none" w:sz="0" w:space="0" w:color="auto"/>
        <w:left w:val="none" w:sz="0" w:space="0" w:color="auto"/>
        <w:bottom w:val="none" w:sz="0" w:space="0" w:color="auto"/>
        <w:right w:val="none" w:sz="0" w:space="0" w:color="auto"/>
      </w:divBdr>
    </w:div>
    <w:div w:id="1767382800">
      <w:bodyDiv w:val="1"/>
      <w:marLeft w:val="0"/>
      <w:marRight w:val="0"/>
      <w:marTop w:val="0"/>
      <w:marBottom w:val="0"/>
      <w:divBdr>
        <w:top w:val="none" w:sz="0" w:space="0" w:color="auto"/>
        <w:left w:val="none" w:sz="0" w:space="0" w:color="auto"/>
        <w:bottom w:val="none" w:sz="0" w:space="0" w:color="auto"/>
        <w:right w:val="none" w:sz="0" w:space="0" w:color="auto"/>
      </w:divBdr>
    </w:div>
    <w:div w:id="1769500668">
      <w:bodyDiv w:val="1"/>
      <w:marLeft w:val="0"/>
      <w:marRight w:val="0"/>
      <w:marTop w:val="0"/>
      <w:marBottom w:val="0"/>
      <w:divBdr>
        <w:top w:val="none" w:sz="0" w:space="0" w:color="auto"/>
        <w:left w:val="none" w:sz="0" w:space="0" w:color="auto"/>
        <w:bottom w:val="none" w:sz="0" w:space="0" w:color="auto"/>
        <w:right w:val="none" w:sz="0" w:space="0" w:color="auto"/>
      </w:divBdr>
    </w:div>
    <w:div w:id="1780948558">
      <w:bodyDiv w:val="1"/>
      <w:marLeft w:val="0"/>
      <w:marRight w:val="0"/>
      <w:marTop w:val="0"/>
      <w:marBottom w:val="0"/>
      <w:divBdr>
        <w:top w:val="none" w:sz="0" w:space="0" w:color="auto"/>
        <w:left w:val="none" w:sz="0" w:space="0" w:color="auto"/>
        <w:bottom w:val="none" w:sz="0" w:space="0" w:color="auto"/>
        <w:right w:val="none" w:sz="0" w:space="0" w:color="auto"/>
      </w:divBdr>
    </w:div>
    <w:div w:id="1788818799">
      <w:bodyDiv w:val="1"/>
      <w:marLeft w:val="0"/>
      <w:marRight w:val="0"/>
      <w:marTop w:val="0"/>
      <w:marBottom w:val="0"/>
      <w:divBdr>
        <w:top w:val="none" w:sz="0" w:space="0" w:color="auto"/>
        <w:left w:val="none" w:sz="0" w:space="0" w:color="auto"/>
        <w:bottom w:val="none" w:sz="0" w:space="0" w:color="auto"/>
        <w:right w:val="none" w:sz="0" w:space="0" w:color="auto"/>
      </w:divBdr>
    </w:div>
    <w:div w:id="1791974125">
      <w:bodyDiv w:val="1"/>
      <w:marLeft w:val="0"/>
      <w:marRight w:val="0"/>
      <w:marTop w:val="0"/>
      <w:marBottom w:val="0"/>
      <w:divBdr>
        <w:top w:val="none" w:sz="0" w:space="0" w:color="auto"/>
        <w:left w:val="none" w:sz="0" w:space="0" w:color="auto"/>
        <w:bottom w:val="none" w:sz="0" w:space="0" w:color="auto"/>
        <w:right w:val="none" w:sz="0" w:space="0" w:color="auto"/>
      </w:divBdr>
    </w:div>
    <w:div w:id="1794789316">
      <w:bodyDiv w:val="1"/>
      <w:marLeft w:val="0"/>
      <w:marRight w:val="0"/>
      <w:marTop w:val="0"/>
      <w:marBottom w:val="0"/>
      <w:divBdr>
        <w:top w:val="none" w:sz="0" w:space="0" w:color="auto"/>
        <w:left w:val="none" w:sz="0" w:space="0" w:color="auto"/>
        <w:bottom w:val="none" w:sz="0" w:space="0" w:color="auto"/>
        <w:right w:val="none" w:sz="0" w:space="0" w:color="auto"/>
      </w:divBdr>
    </w:div>
    <w:div w:id="1825777087">
      <w:bodyDiv w:val="1"/>
      <w:marLeft w:val="0"/>
      <w:marRight w:val="0"/>
      <w:marTop w:val="0"/>
      <w:marBottom w:val="0"/>
      <w:divBdr>
        <w:top w:val="none" w:sz="0" w:space="0" w:color="auto"/>
        <w:left w:val="none" w:sz="0" w:space="0" w:color="auto"/>
        <w:bottom w:val="none" w:sz="0" w:space="0" w:color="auto"/>
        <w:right w:val="none" w:sz="0" w:space="0" w:color="auto"/>
      </w:divBdr>
    </w:div>
    <w:div w:id="1850024379">
      <w:bodyDiv w:val="1"/>
      <w:marLeft w:val="0"/>
      <w:marRight w:val="0"/>
      <w:marTop w:val="0"/>
      <w:marBottom w:val="0"/>
      <w:divBdr>
        <w:top w:val="none" w:sz="0" w:space="0" w:color="auto"/>
        <w:left w:val="none" w:sz="0" w:space="0" w:color="auto"/>
        <w:bottom w:val="none" w:sz="0" w:space="0" w:color="auto"/>
        <w:right w:val="none" w:sz="0" w:space="0" w:color="auto"/>
      </w:divBdr>
    </w:div>
    <w:div w:id="1869484356">
      <w:bodyDiv w:val="1"/>
      <w:marLeft w:val="0"/>
      <w:marRight w:val="0"/>
      <w:marTop w:val="0"/>
      <w:marBottom w:val="0"/>
      <w:divBdr>
        <w:top w:val="none" w:sz="0" w:space="0" w:color="auto"/>
        <w:left w:val="none" w:sz="0" w:space="0" w:color="auto"/>
        <w:bottom w:val="none" w:sz="0" w:space="0" w:color="auto"/>
        <w:right w:val="none" w:sz="0" w:space="0" w:color="auto"/>
      </w:divBdr>
    </w:div>
    <w:div w:id="1871526565">
      <w:bodyDiv w:val="1"/>
      <w:marLeft w:val="0"/>
      <w:marRight w:val="0"/>
      <w:marTop w:val="0"/>
      <w:marBottom w:val="0"/>
      <w:divBdr>
        <w:top w:val="none" w:sz="0" w:space="0" w:color="auto"/>
        <w:left w:val="none" w:sz="0" w:space="0" w:color="auto"/>
        <w:bottom w:val="none" w:sz="0" w:space="0" w:color="auto"/>
        <w:right w:val="none" w:sz="0" w:space="0" w:color="auto"/>
      </w:divBdr>
    </w:div>
    <w:div w:id="1874147127">
      <w:bodyDiv w:val="1"/>
      <w:marLeft w:val="0"/>
      <w:marRight w:val="0"/>
      <w:marTop w:val="0"/>
      <w:marBottom w:val="0"/>
      <w:divBdr>
        <w:top w:val="none" w:sz="0" w:space="0" w:color="auto"/>
        <w:left w:val="none" w:sz="0" w:space="0" w:color="auto"/>
        <w:bottom w:val="none" w:sz="0" w:space="0" w:color="auto"/>
        <w:right w:val="none" w:sz="0" w:space="0" w:color="auto"/>
      </w:divBdr>
    </w:div>
    <w:div w:id="1874801263">
      <w:bodyDiv w:val="1"/>
      <w:marLeft w:val="0"/>
      <w:marRight w:val="0"/>
      <w:marTop w:val="0"/>
      <w:marBottom w:val="0"/>
      <w:divBdr>
        <w:top w:val="none" w:sz="0" w:space="0" w:color="auto"/>
        <w:left w:val="none" w:sz="0" w:space="0" w:color="auto"/>
        <w:bottom w:val="none" w:sz="0" w:space="0" w:color="auto"/>
        <w:right w:val="none" w:sz="0" w:space="0" w:color="auto"/>
      </w:divBdr>
    </w:div>
    <w:div w:id="1882932731">
      <w:bodyDiv w:val="1"/>
      <w:marLeft w:val="0"/>
      <w:marRight w:val="0"/>
      <w:marTop w:val="0"/>
      <w:marBottom w:val="0"/>
      <w:divBdr>
        <w:top w:val="none" w:sz="0" w:space="0" w:color="auto"/>
        <w:left w:val="none" w:sz="0" w:space="0" w:color="auto"/>
        <w:bottom w:val="none" w:sz="0" w:space="0" w:color="auto"/>
        <w:right w:val="none" w:sz="0" w:space="0" w:color="auto"/>
      </w:divBdr>
    </w:div>
    <w:div w:id="1904020344">
      <w:bodyDiv w:val="1"/>
      <w:marLeft w:val="0"/>
      <w:marRight w:val="0"/>
      <w:marTop w:val="0"/>
      <w:marBottom w:val="0"/>
      <w:divBdr>
        <w:top w:val="none" w:sz="0" w:space="0" w:color="auto"/>
        <w:left w:val="none" w:sz="0" w:space="0" w:color="auto"/>
        <w:bottom w:val="none" w:sz="0" w:space="0" w:color="auto"/>
        <w:right w:val="none" w:sz="0" w:space="0" w:color="auto"/>
      </w:divBdr>
    </w:div>
    <w:div w:id="1912111048">
      <w:bodyDiv w:val="1"/>
      <w:marLeft w:val="0"/>
      <w:marRight w:val="0"/>
      <w:marTop w:val="0"/>
      <w:marBottom w:val="0"/>
      <w:divBdr>
        <w:top w:val="none" w:sz="0" w:space="0" w:color="auto"/>
        <w:left w:val="none" w:sz="0" w:space="0" w:color="auto"/>
        <w:bottom w:val="none" w:sz="0" w:space="0" w:color="auto"/>
        <w:right w:val="none" w:sz="0" w:space="0" w:color="auto"/>
      </w:divBdr>
    </w:div>
    <w:div w:id="1921324795">
      <w:bodyDiv w:val="1"/>
      <w:marLeft w:val="0"/>
      <w:marRight w:val="0"/>
      <w:marTop w:val="0"/>
      <w:marBottom w:val="0"/>
      <w:divBdr>
        <w:top w:val="none" w:sz="0" w:space="0" w:color="auto"/>
        <w:left w:val="none" w:sz="0" w:space="0" w:color="auto"/>
        <w:bottom w:val="none" w:sz="0" w:space="0" w:color="auto"/>
        <w:right w:val="none" w:sz="0" w:space="0" w:color="auto"/>
      </w:divBdr>
    </w:div>
    <w:div w:id="1932423596">
      <w:bodyDiv w:val="1"/>
      <w:marLeft w:val="0"/>
      <w:marRight w:val="0"/>
      <w:marTop w:val="0"/>
      <w:marBottom w:val="0"/>
      <w:divBdr>
        <w:top w:val="none" w:sz="0" w:space="0" w:color="auto"/>
        <w:left w:val="none" w:sz="0" w:space="0" w:color="auto"/>
        <w:bottom w:val="none" w:sz="0" w:space="0" w:color="auto"/>
        <w:right w:val="none" w:sz="0" w:space="0" w:color="auto"/>
      </w:divBdr>
    </w:div>
    <w:div w:id="1947881905">
      <w:bodyDiv w:val="1"/>
      <w:marLeft w:val="0"/>
      <w:marRight w:val="0"/>
      <w:marTop w:val="0"/>
      <w:marBottom w:val="0"/>
      <w:divBdr>
        <w:top w:val="none" w:sz="0" w:space="0" w:color="auto"/>
        <w:left w:val="none" w:sz="0" w:space="0" w:color="auto"/>
        <w:bottom w:val="none" w:sz="0" w:space="0" w:color="auto"/>
        <w:right w:val="none" w:sz="0" w:space="0" w:color="auto"/>
      </w:divBdr>
    </w:div>
    <w:div w:id="1958831620">
      <w:bodyDiv w:val="1"/>
      <w:marLeft w:val="0"/>
      <w:marRight w:val="0"/>
      <w:marTop w:val="0"/>
      <w:marBottom w:val="0"/>
      <w:divBdr>
        <w:top w:val="none" w:sz="0" w:space="0" w:color="auto"/>
        <w:left w:val="none" w:sz="0" w:space="0" w:color="auto"/>
        <w:bottom w:val="none" w:sz="0" w:space="0" w:color="auto"/>
        <w:right w:val="none" w:sz="0" w:space="0" w:color="auto"/>
      </w:divBdr>
    </w:div>
    <w:div w:id="1962105234">
      <w:bodyDiv w:val="1"/>
      <w:marLeft w:val="0"/>
      <w:marRight w:val="0"/>
      <w:marTop w:val="0"/>
      <w:marBottom w:val="0"/>
      <w:divBdr>
        <w:top w:val="none" w:sz="0" w:space="0" w:color="auto"/>
        <w:left w:val="none" w:sz="0" w:space="0" w:color="auto"/>
        <w:bottom w:val="none" w:sz="0" w:space="0" w:color="auto"/>
        <w:right w:val="none" w:sz="0" w:space="0" w:color="auto"/>
      </w:divBdr>
    </w:div>
    <w:div w:id="1967199125">
      <w:bodyDiv w:val="1"/>
      <w:marLeft w:val="0"/>
      <w:marRight w:val="0"/>
      <w:marTop w:val="0"/>
      <w:marBottom w:val="0"/>
      <w:divBdr>
        <w:top w:val="none" w:sz="0" w:space="0" w:color="auto"/>
        <w:left w:val="none" w:sz="0" w:space="0" w:color="auto"/>
        <w:bottom w:val="none" w:sz="0" w:space="0" w:color="auto"/>
        <w:right w:val="none" w:sz="0" w:space="0" w:color="auto"/>
      </w:divBdr>
    </w:div>
    <w:div w:id="1974286338">
      <w:bodyDiv w:val="1"/>
      <w:marLeft w:val="0"/>
      <w:marRight w:val="0"/>
      <w:marTop w:val="0"/>
      <w:marBottom w:val="0"/>
      <w:divBdr>
        <w:top w:val="none" w:sz="0" w:space="0" w:color="auto"/>
        <w:left w:val="none" w:sz="0" w:space="0" w:color="auto"/>
        <w:bottom w:val="none" w:sz="0" w:space="0" w:color="auto"/>
        <w:right w:val="none" w:sz="0" w:space="0" w:color="auto"/>
      </w:divBdr>
    </w:div>
    <w:div w:id="1981617209">
      <w:bodyDiv w:val="1"/>
      <w:marLeft w:val="0"/>
      <w:marRight w:val="0"/>
      <w:marTop w:val="0"/>
      <w:marBottom w:val="0"/>
      <w:divBdr>
        <w:top w:val="none" w:sz="0" w:space="0" w:color="auto"/>
        <w:left w:val="none" w:sz="0" w:space="0" w:color="auto"/>
        <w:bottom w:val="none" w:sz="0" w:space="0" w:color="auto"/>
        <w:right w:val="none" w:sz="0" w:space="0" w:color="auto"/>
      </w:divBdr>
    </w:div>
    <w:div w:id="2009362037">
      <w:bodyDiv w:val="1"/>
      <w:marLeft w:val="0"/>
      <w:marRight w:val="0"/>
      <w:marTop w:val="0"/>
      <w:marBottom w:val="0"/>
      <w:divBdr>
        <w:top w:val="none" w:sz="0" w:space="0" w:color="auto"/>
        <w:left w:val="none" w:sz="0" w:space="0" w:color="auto"/>
        <w:bottom w:val="none" w:sz="0" w:space="0" w:color="auto"/>
        <w:right w:val="none" w:sz="0" w:space="0" w:color="auto"/>
      </w:divBdr>
    </w:div>
    <w:div w:id="2022313103">
      <w:bodyDiv w:val="1"/>
      <w:marLeft w:val="0"/>
      <w:marRight w:val="0"/>
      <w:marTop w:val="0"/>
      <w:marBottom w:val="0"/>
      <w:divBdr>
        <w:top w:val="none" w:sz="0" w:space="0" w:color="auto"/>
        <w:left w:val="none" w:sz="0" w:space="0" w:color="auto"/>
        <w:bottom w:val="none" w:sz="0" w:space="0" w:color="auto"/>
        <w:right w:val="none" w:sz="0" w:space="0" w:color="auto"/>
      </w:divBdr>
    </w:div>
    <w:div w:id="2033340704">
      <w:bodyDiv w:val="1"/>
      <w:marLeft w:val="0"/>
      <w:marRight w:val="0"/>
      <w:marTop w:val="0"/>
      <w:marBottom w:val="0"/>
      <w:divBdr>
        <w:top w:val="none" w:sz="0" w:space="0" w:color="auto"/>
        <w:left w:val="none" w:sz="0" w:space="0" w:color="auto"/>
        <w:bottom w:val="none" w:sz="0" w:space="0" w:color="auto"/>
        <w:right w:val="none" w:sz="0" w:space="0" w:color="auto"/>
      </w:divBdr>
    </w:div>
    <w:div w:id="2041930393">
      <w:bodyDiv w:val="1"/>
      <w:marLeft w:val="0"/>
      <w:marRight w:val="0"/>
      <w:marTop w:val="0"/>
      <w:marBottom w:val="0"/>
      <w:divBdr>
        <w:top w:val="none" w:sz="0" w:space="0" w:color="auto"/>
        <w:left w:val="none" w:sz="0" w:space="0" w:color="auto"/>
        <w:bottom w:val="none" w:sz="0" w:space="0" w:color="auto"/>
        <w:right w:val="none" w:sz="0" w:space="0" w:color="auto"/>
      </w:divBdr>
    </w:div>
    <w:div w:id="2046179232">
      <w:bodyDiv w:val="1"/>
      <w:marLeft w:val="0"/>
      <w:marRight w:val="0"/>
      <w:marTop w:val="0"/>
      <w:marBottom w:val="0"/>
      <w:divBdr>
        <w:top w:val="none" w:sz="0" w:space="0" w:color="auto"/>
        <w:left w:val="none" w:sz="0" w:space="0" w:color="auto"/>
        <w:bottom w:val="none" w:sz="0" w:space="0" w:color="auto"/>
        <w:right w:val="none" w:sz="0" w:space="0" w:color="auto"/>
      </w:divBdr>
    </w:div>
    <w:div w:id="2054038315">
      <w:bodyDiv w:val="1"/>
      <w:marLeft w:val="0"/>
      <w:marRight w:val="0"/>
      <w:marTop w:val="0"/>
      <w:marBottom w:val="0"/>
      <w:divBdr>
        <w:top w:val="none" w:sz="0" w:space="0" w:color="auto"/>
        <w:left w:val="none" w:sz="0" w:space="0" w:color="auto"/>
        <w:bottom w:val="none" w:sz="0" w:space="0" w:color="auto"/>
        <w:right w:val="none" w:sz="0" w:space="0" w:color="auto"/>
      </w:divBdr>
    </w:div>
    <w:div w:id="2060744087">
      <w:bodyDiv w:val="1"/>
      <w:marLeft w:val="0"/>
      <w:marRight w:val="0"/>
      <w:marTop w:val="0"/>
      <w:marBottom w:val="0"/>
      <w:divBdr>
        <w:top w:val="none" w:sz="0" w:space="0" w:color="auto"/>
        <w:left w:val="none" w:sz="0" w:space="0" w:color="auto"/>
        <w:bottom w:val="none" w:sz="0" w:space="0" w:color="auto"/>
        <w:right w:val="none" w:sz="0" w:space="0" w:color="auto"/>
      </w:divBdr>
    </w:div>
    <w:div w:id="2061857902">
      <w:bodyDiv w:val="1"/>
      <w:marLeft w:val="0"/>
      <w:marRight w:val="0"/>
      <w:marTop w:val="0"/>
      <w:marBottom w:val="0"/>
      <w:divBdr>
        <w:top w:val="none" w:sz="0" w:space="0" w:color="auto"/>
        <w:left w:val="none" w:sz="0" w:space="0" w:color="auto"/>
        <w:bottom w:val="none" w:sz="0" w:space="0" w:color="auto"/>
        <w:right w:val="none" w:sz="0" w:space="0" w:color="auto"/>
      </w:divBdr>
    </w:div>
    <w:div w:id="2073114692">
      <w:bodyDiv w:val="1"/>
      <w:marLeft w:val="0"/>
      <w:marRight w:val="0"/>
      <w:marTop w:val="0"/>
      <w:marBottom w:val="0"/>
      <w:divBdr>
        <w:top w:val="none" w:sz="0" w:space="0" w:color="auto"/>
        <w:left w:val="none" w:sz="0" w:space="0" w:color="auto"/>
        <w:bottom w:val="none" w:sz="0" w:space="0" w:color="auto"/>
        <w:right w:val="none" w:sz="0" w:space="0" w:color="auto"/>
      </w:divBdr>
    </w:div>
    <w:div w:id="2079399157">
      <w:bodyDiv w:val="1"/>
      <w:marLeft w:val="0"/>
      <w:marRight w:val="0"/>
      <w:marTop w:val="0"/>
      <w:marBottom w:val="0"/>
      <w:divBdr>
        <w:top w:val="none" w:sz="0" w:space="0" w:color="auto"/>
        <w:left w:val="none" w:sz="0" w:space="0" w:color="auto"/>
        <w:bottom w:val="none" w:sz="0" w:space="0" w:color="auto"/>
        <w:right w:val="none" w:sz="0" w:space="0" w:color="auto"/>
      </w:divBdr>
    </w:div>
    <w:div w:id="2089620185">
      <w:bodyDiv w:val="1"/>
      <w:marLeft w:val="0"/>
      <w:marRight w:val="0"/>
      <w:marTop w:val="0"/>
      <w:marBottom w:val="0"/>
      <w:divBdr>
        <w:top w:val="none" w:sz="0" w:space="0" w:color="auto"/>
        <w:left w:val="none" w:sz="0" w:space="0" w:color="auto"/>
        <w:bottom w:val="none" w:sz="0" w:space="0" w:color="auto"/>
        <w:right w:val="none" w:sz="0" w:space="0" w:color="auto"/>
      </w:divBdr>
    </w:div>
    <w:div w:id="2096397627">
      <w:bodyDiv w:val="1"/>
      <w:marLeft w:val="0"/>
      <w:marRight w:val="0"/>
      <w:marTop w:val="0"/>
      <w:marBottom w:val="0"/>
      <w:divBdr>
        <w:top w:val="none" w:sz="0" w:space="0" w:color="auto"/>
        <w:left w:val="none" w:sz="0" w:space="0" w:color="auto"/>
        <w:bottom w:val="none" w:sz="0" w:space="0" w:color="auto"/>
        <w:right w:val="none" w:sz="0" w:space="0" w:color="auto"/>
      </w:divBdr>
    </w:div>
    <w:div w:id="2115132526">
      <w:bodyDiv w:val="1"/>
      <w:marLeft w:val="0"/>
      <w:marRight w:val="0"/>
      <w:marTop w:val="0"/>
      <w:marBottom w:val="0"/>
      <w:divBdr>
        <w:top w:val="none" w:sz="0" w:space="0" w:color="auto"/>
        <w:left w:val="none" w:sz="0" w:space="0" w:color="auto"/>
        <w:bottom w:val="none" w:sz="0" w:space="0" w:color="auto"/>
        <w:right w:val="none" w:sz="0" w:space="0" w:color="auto"/>
      </w:divBdr>
    </w:div>
    <w:div w:id="2117938422">
      <w:bodyDiv w:val="1"/>
      <w:marLeft w:val="0"/>
      <w:marRight w:val="0"/>
      <w:marTop w:val="0"/>
      <w:marBottom w:val="0"/>
      <w:divBdr>
        <w:top w:val="none" w:sz="0" w:space="0" w:color="auto"/>
        <w:left w:val="none" w:sz="0" w:space="0" w:color="auto"/>
        <w:bottom w:val="none" w:sz="0" w:space="0" w:color="auto"/>
        <w:right w:val="none" w:sz="0" w:space="0" w:color="auto"/>
      </w:divBdr>
    </w:div>
    <w:div w:id="2139109436">
      <w:bodyDiv w:val="1"/>
      <w:marLeft w:val="0"/>
      <w:marRight w:val="0"/>
      <w:marTop w:val="0"/>
      <w:marBottom w:val="0"/>
      <w:divBdr>
        <w:top w:val="none" w:sz="0" w:space="0" w:color="auto"/>
        <w:left w:val="none" w:sz="0" w:space="0" w:color="auto"/>
        <w:bottom w:val="none" w:sz="0" w:space="0" w:color="auto"/>
        <w:right w:val="none" w:sz="0" w:space="0" w:color="auto"/>
      </w:divBdr>
    </w:div>
    <w:div w:id="2141336805">
      <w:bodyDiv w:val="1"/>
      <w:marLeft w:val="0"/>
      <w:marRight w:val="0"/>
      <w:marTop w:val="0"/>
      <w:marBottom w:val="0"/>
      <w:divBdr>
        <w:top w:val="none" w:sz="0" w:space="0" w:color="auto"/>
        <w:left w:val="none" w:sz="0" w:space="0" w:color="auto"/>
        <w:bottom w:val="none" w:sz="0" w:space="0" w:color="auto"/>
        <w:right w:val="none" w:sz="0" w:space="0" w:color="auto"/>
      </w:divBdr>
    </w:div>
    <w:div w:id="2145193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FA67BB8893134191D9394909D4A940" ma:contentTypeVersion="12" ma:contentTypeDescription="Create a new document." ma:contentTypeScope="" ma:versionID="7c9b21a987813599722e3730cd6eaecb">
  <xsd:schema xmlns:xsd="http://www.w3.org/2001/XMLSchema" xmlns:xs="http://www.w3.org/2001/XMLSchema" xmlns:p="http://schemas.microsoft.com/office/2006/metadata/properties" xmlns:ns2="8f8875c8-43a9-487a-8483-c93934f2a15b" xmlns:ns3="0822d87c-9f4b-4af0-9aff-df69078804cc" targetNamespace="http://schemas.microsoft.com/office/2006/metadata/properties" ma:root="true" ma:fieldsID="b378793884891a40cc43184d8f2d233b" ns2:_="" ns3:_="">
    <xsd:import namespace="8f8875c8-43a9-487a-8483-c93934f2a15b"/>
    <xsd:import namespace="0822d87c-9f4b-4af0-9aff-df69078804c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8875c8-43a9-487a-8483-c93934f2a1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22d87c-9f4b-4af0-9aff-df69078804c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ESRB18</b:Tag>
    <b:SourceType>Report</b:SourceType>
    <b:Guid>{D173158A-62E3-C84F-82B3-21D83B27C0AF}</b:Guid>
    <b:Title>European Systemic Risk Board A Review of Macroprudential Policy in the EU in 2017</b:Title>
    <b:Year>2018</b:Year>
    <b:Author>
      <b:Author>
        <b:NameList>
          <b:Person>
            <b:Last>ESRB</b:Last>
          </b:Person>
        </b:NameList>
      </b:Author>
    </b:Author>
    <b:RefOrder>9</b:RefOrder>
  </b:Source>
  <b:Source>
    <b:Tag>Mac21</b:Tag>
    <b:SourceType>Report</b:SourceType>
    <b:Guid>{632B7587-82F6-0F4A-A84D-A16E458F5B63}</b:Guid>
    <b:Author>
      <b:Author>
        <b:NameList>
          <b:Person>
            <b:Last>Mack</b:Last>
            <b:First>Sebastian</b:First>
          </b:Person>
        </b:NameList>
      </b:Author>
    </b:Author>
    <b:Title>Never waste a good crisis European banking regulation in the pandemic Policy Brief</b:Title>
    <b:Publisher>Hertie School</b:Publisher>
    <b:City>Berlin</b:City>
    <b:Year>2021</b:Year>
    <b:RefOrder>10</b:RefOrder>
  </b:Source>
  <b:Source>
    <b:Tag>Ste22</b:Tag>
    <b:SourceType>Report</b:SourceType>
    <b:Guid>{C46B7056-0F45-C346-A620-D02BEAEC9025}</b:Guid>
    <b:Author>
      <b:Author>
        <b:NameList>
          <b:Person>
            <b:Last>Schmitz</b:Last>
            <b:First>Stefan</b:First>
          </b:Person>
          <b:Person>
            <b:Last>Posch</b:Last>
            <b:First>Michaela</b:First>
          </b:Person>
          <b:Person>
            <b:Last>Strobl</b:Last>
            <b:First>Peter</b:First>
          </b:Person>
        </b:NameList>
      </b:Author>
    </b:Author>
    <b:Title>The EU macroprudential review should prioritize removing regulatory overlaps and increasing the flexibility of the CCyB</b:Title>
    <b:Publisher>SUERF</b:Publisher>
    <b:Year>2022</b:Year>
    <b:Institution>Oesterreichische Nationalbank</b:Institution>
    <b:RefOrder>11</b:RefOrder>
  </b:Source>
  <b:Source>
    <b:Tag>Sto20</b:Tag>
    <b:SourceType>JournalArticle</b:SourceType>
    <b:Guid>{8C54EE11-643A-FC45-A855-36ED02821B12}</b:Guid>
    <b:Title>Different Approaches to Implementing a Countercyclical Capital Buffer | Bulletin – September Quarter 2020</b:Title>
    <b:JournalName>Financial Stability Department</b:JournalName>
    <b:Year>2020</b:Year>
    <b:Author>
      <b:Author>
        <b:NameList>
          <b:Person>
            <b:Last>Stojkov</b:Last>
            <b:First>Katarina</b:First>
          </b:Person>
        </b:NameList>
      </b:Author>
    </b:Author>
    <b:Publisher>Reserve Bank of Australia</b:Publisher>
    <b:Month>September</b:Month>
    <b:Day>17</b:Day>
    <b:RefOrder>12</b:RefOrder>
  </b:Source>
  <b:Source>
    <b:Tag>Galan</b:Tag>
    <b:SourceType>JournalArticle</b:SourceType>
    <b:Guid>{07AD9863-4840-E544-AFC8-0AE849505D73}</b:Guid>
    <b:Title>The benefits are at the tail: Uncovering the impact of macroprudential policy on growth-at-risk</b:Title>
    <b:JournalName>Journal of Financial Stability</b:JournalName>
    <b:Year>2020</b:Year>
    <b:Pages>10.1016/j.jfs.2020.100831</b:Pages>
    <b:Author>
      <b:Author>
        <b:NameList>
          <b:Person>
            <b:Last>Galán</b:Last>
            <b:First>Jorge E.</b:First>
          </b:Person>
        </b:NameList>
      </b:Author>
    </b:Author>
    <b:Month>November</b:Month>
    <b:Issue>100831</b:Issue>
    <b:RefOrder>5</b:RefOrder>
  </b:Source>
  <b:Source>
    <b:Tag>Gal14</b:Tag>
    <b:SourceType>JournalArticle</b:SourceType>
    <b:Guid>{138509B0-FDD7-FD43-88F5-FFCD40BBF948}</b:Guid>
    <b:Title>Distributional Linkages between European Sovereign Bond and Bank Asset Returns</b:Title>
    <b:JournalName>SSRN Electronic Journal</b:JournalName>
    <b:Year>2014</b:Year>
    <b:Author>
      <b:Author>
        <b:NameList>
          <b:Person>
            <b:Last>Galvez</b:Last>
            <b:First>Julio</b:First>
          </b:Person>
          <b:Person>
            <b:Last>Mencia</b:Last>
            <b:First>Javier</b:First>
          </b:Person>
        </b:NameList>
      </b:Author>
    </b:Author>
    <b:Publisher>Centre for Monetary and Financial Studies (CEMFI)</b:Publisher>
    <b:Pages>10.2139/ssrn.2523863</b:Pages>
    <b:RefOrder>13</b:RefOrder>
  </b:Source>
  <b:Source>
    <b:Tag>Aikman19</b:Tag>
    <b:SourceType>JournalArticle</b:SourceType>
    <b:Guid>{CCF56436-DDD7-5142-BE0B-E2A000FED7F6}</b:Guid>
    <b:Author>
      <b:Author>
        <b:NameList>
          <b:Person>
            <b:Last>Aikman</b:Last>
            <b:First>David</b:First>
          </b:Person>
          <b:Person>
            <b:Last>Bridges</b:Last>
            <b:First>Jonathan</b:First>
          </b:Person>
          <b:Person>
            <b:Last>Hoke</b:Last>
            <b:First>Sinem</b:First>
            <b:Middle>Hacioglu</b:Middle>
          </b:Person>
          <b:Person>
            <b:Last>O’Neill</b:Last>
            <b:First>Cian</b:First>
          </b:Person>
          <b:Person>
            <b:Last>Raja</b:Last>
            <b:First>Akash</b:First>
          </b:Person>
        </b:NameList>
      </b:Author>
    </b:Author>
    <b:Title>Credit, capital and crises: a GDP-at-Risk approach</b:Title>
    <b:Year>2019</b:Year>
    <b:Publisher>Bank of England</b:Publisher>
    <b:Month>September</b:Month>
    <b:RefOrder>14</b:RefOrder>
  </b:Source>
  <b:Source>
    <b:Tag>Pra19</b:Tag>
    <b:SourceType>JournalArticle</b:SourceType>
    <b:Guid>{93474948-7583-FE4A-BD57-E3A93F47A488}</b:Guid>
    <b:Title>Growth at Risk: Concept and Application in IMF Country Surveillance</b:Title>
    <b:JournalName>IMF Working Papers</b:JournalName>
    <b:Year>2019</b:Year>
    <b:Pages>10.5089/9781484397015.001</b:Pages>
    <b:Author>
      <b:Author>
        <b:NameList>
          <b:Person>
            <b:Last>Prasad</b:Last>
            <b:First>Ananthakrishnan</b:First>
          </b:Person>
          <b:Person>
            <b:Last>Elekdag</b:Last>
            <b:First>Selim</b:First>
          </b:Person>
          <b:Person>
            <b:Last>Jeasakul</b:Last>
            <b:First>Phakawa</b:First>
          </b:Person>
          <b:Person>
            <b:Last>Lafarguette</b:Last>
            <b:First>Romain</b:First>
          </b:Person>
          <b:Person>
            <b:Last>Alter</b:Last>
            <b:First>Adrian</b:First>
          </b:Person>
          <b:Person>
            <b:Last>Xiaochen Feng</b:Last>
            <b:First>Alan</b:First>
          </b:Person>
          <b:Person>
            <b:Last>Wang</b:Last>
            <b:First>Changchun</b:First>
          </b:Person>
        </b:NameList>
      </b:Author>
    </b:Author>
    <b:Volume>19</b:Volume>
    <b:Issue>36</b:Issue>
    <b:RefOrder>15</b:RefOrder>
  </b:Source>
  <b:Source>
    <b:Tag>Sua22</b:Tag>
    <b:SourceType>JournalArticle</b:SourceType>
    <b:Guid>{0830D468-F91A-A248-A4C6-8F3B265E0526}</b:Guid>
    <b:Author>
      <b:Author>
        <b:NameList>
          <b:Person>
            <b:Last>Suarez</b:Last>
            <b:First>Javier</b:First>
          </b:Person>
        </b:NameList>
      </b:Author>
    </b:Author>
    <b:Title>Growth-at-risk and macroprudential policy design</b:Title>
    <b:JournalName>Journal of Financial Stability</b:JournalName>
    <b:Year>2022</b:Year>
    <b:Pages>10.1016/j.jfs.2022.101008</b:Pages>
    <b:Volume>60</b:Volume>
    <b:Issue>1572-3089</b:Issue>
    <b:RefOrder>16</b:RefOrder>
  </b:Source>
  <b:Source>
    <b:Tag>Koo14</b:Tag>
    <b:SourceType>JournalArticle</b:SourceType>
    <b:Guid>{A9B9D30F-13F1-A24D-A3BF-80050865FE18}</b:Guid>
    <b:Author>
      <b:Author>
        <b:NameList>
          <b:Person>
            <b:Last>Koop</b:Last>
            <b:First>Gary</b:First>
          </b:Person>
          <b:Person>
            <b:Last>Korobilis</b:Last>
            <b:First>Dimitris</b:First>
          </b:Person>
        </b:NameList>
      </b:Author>
    </b:Author>
    <b:Title>A new index of financial conditions</b:Title>
    <b:JournalName>European Economic Review</b:JournalName>
    <b:Year>2014</b:Year>
    <b:Pages>101-116, 10.1016/j.euroecorev.2014.07.002</b:Pages>
    <b:Volume>71</b:Volume>
    <b:Issue>0014-2921</b:Issue>
    <b:RefOrder>3</b:RefOrder>
  </b:Source>
  <b:Source>
    <b:Tag>Cec21</b:Tag>
    <b:SourceType>JournalArticle</b:SourceType>
    <b:Guid>{D9288C19-E726-7045-A4C4-2460DF1A62FC}</b:Guid>
    <b:Title>On the Stance of Macroprudential Policy</b:Title>
    <b:JournalName>SSRN Electronic Journal</b:JournalName>
    <b:Year>2021</b:Year>
    <b:Pages>10.2139/ssrn.3975941</b:Pages>
    <b:Author>
      <b:Author>
        <b:NameList>
          <b:Person>
            <b:Last>Cecchetti</b:Last>
            <b:First>Stephen</b:First>
            <b:Middle>G.</b:Middle>
          </b:Person>
          <b:Person>
            <b:Last>Suarez</b:Last>
            <b:First>Javier</b:First>
          </b:Person>
        </b:NameList>
      </b:Author>
    </b:Author>
    <b:Publisher>ESRB: Advisory Scientific Committee Reports</b:Publisher>
    <b:Month>December</b:Month>
    <b:Issue>11</b:Issue>
    <b:RefOrder>17</b:RefOrder>
  </b:Source>
  <b:Source>
    <b:Tag>Cha21</b:Tag>
    <b:SourceType>JournalArticle</b:SourceType>
    <b:Guid>{DDF98798-C05C-4C4B-8C98-16F22CA4D038}</b:Guid>
    <b:Author>
      <b:Author>
        <b:NameList>
          <b:Person>
            <b:Last>Chavleishvili</b:Last>
            <b:First>Sulkhan</b:First>
          </b:Person>
          <b:Person>
            <b:Last>Engle</b:Last>
            <b:First>Robert</b:First>
            <b:Middle>F.</b:Middle>
          </b:Person>
          <b:Person>
            <b:Last>Fahr</b:Last>
            <b:First>Stephan</b:First>
            <b:Middle>Alexander</b:Middle>
          </b:Person>
          <b:Person>
            <b:Last>Kremer</b:Last>
            <b:First>Manfred</b:First>
          </b:Person>
          <b:Person>
            <b:Last>Manganelli</b:Last>
            <b:First>Simone</b:First>
          </b:Person>
          <b:Person>
            <b:Last>Schwaab</b:Last>
            <b:First>Bernd</b:First>
          </b:Person>
        </b:NameList>
      </b:Author>
    </b:Author>
    <b:Title>The Risk Management Approach to Macro-Prudential Policy</b:Title>
    <b:JournalName>SSRN Electronic Journal</b:JournalName>
    <b:Year>2021</b:Year>
    <b:Pages>10.2139/ssrn.3859109</b:Pages>
    <b:Publisher>European Central Bank</b:Publisher>
    <b:RefOrder>18</b:RefOrder>
  </b:Source>
  <b:Source>
    <b:Tag>Alam19</b:Tag>
    <b:SourceType>JournalArticle</b:SourceType>
    <b:Guid>{C3D3938A-0B29-A642-A029-CE252DDE2021}</b:Guid>
    <b:Title>Digging Deeper--Evidence on the Effects of Macroprudential Policies from a New Database</b:Title>
    <b:JournalName>IMF Working Papers</b:JournalName>
    <b:Year>2019</b:Year>
    <b:Pages>10.5089/9781498302708.001</b:Pages>
    <b:Author>
      <b:Author>
        <b:NameList>
          <b:Person>
            <b:Last>Alam</b:Last>
            <b:First>Zohair</b:First>
          </b:Person>
          <b:Person>
            <b:Last>Alter</b:Last>
            <b:First>Adrian</b:First>
          </b:Person>
          <b:Person>
            <b:Last>Eiseman</b:Last>
            <b:First>Jesse</b:First>
          </b:Person>
          <b:Person>
            <b:Last>Gelos</b:Last>
            <b:First>R.</b:First>
          </b:Person>
          <b:Person>
            <b:Last>Kang</b:Last>
            <b:First>Heedon</b:First>
          </b:Person>
          <b:Person>
            <b:Last>Narita</b:Last>
            <b:First>Machiko</b:First>
          </b:Person>
          <b:Person>
            <b:Last>Nier</b:Last>
            <b:First>Erlend</b:First>
          </b:Person>
          <b:Person>
            <b:Last>Wang</b:Last>
            <b:First>Naixi</b:First>
          </b:Person>
        </b:NameList>
      </b:Author>
    </b:Author>
    <b:Volume>19</b:Volume>
    <b:Issue>66</b:Issue>
    <b:RefOrder>4</b:RefOrder>
  </b:Source>
  <b:Source>
    <b:Tag>Jim17</b:Tag>
    <b:SourceType>JournalArticle</b:SourceType>
    <b:Guid>{C406BB2B-1076-BC4C-B2F6-4252C6CF11A0}</b:Guid>
    <b:Author>
      <b:Author>
        <b:NameList>
          <b:Person>
            <b:Last>Jiménez</b:Last>
            <b:First>Gabriel</b:First>
          </b:Person>
          <b:Person>
            <b:Last>Ongena</b:Last>
            <b:First>Steven</b:First>
          </b:Person>
          <b:Person>
            <b:Last>Peydró</b:Last>
            <b:First>José-Luis</b:First>
          </b:Person>
          <b:Person>
            <b:Last>Saurina</b:Last>
            <b:First>Jesús</b:First>
          </b:Person>
        </b:NameList>
      </b:Author>
    </b:Author>
    <b:Title>Macroprudential Policy, Countercyclical Bank Capital Buffers, and Credit Supply: Evidence from the Spanish Dynamic Provisioning Experiments</b:Title>
    <b:JournalName>Journal of Political Economy</b:JournalName>
    <b:Year>2017</b:Year>
    <b:Pages>2126-2177, 10.1086/694289</b:Pages>
    <b:Volume>125</b:Volume>
    <b:Issue>6</b:Issue>
    <b:RefOrder>19</b:RefOrder>
  </b:Source>
  <b:Source>
    <b:Tag>Boa17</b:Tag>
    <b:SourceType>JournalArticle</b:SourceType>
    <b:Guid>{BD5CF531-A3FD-4942-9A73-19E694B291AC}</b:Guid>
    <b:Title>What are the Effects of Macroprudential Policies on Macroeconomic Performance?</b:Title>
    <b:JournalName>BIS Quarterly Review</b:JournalName>
    <b:Year>2017</b:Year>
    <b:Author>
      <b:Author>
        <b:NameList>
          <b:Person>
            <b:Last>Boar</b:Last>
            <b:First>Codruta</b:First>
          </b:Person>
          <b:Person>
            <b:Last>Gambacorta</b:Last>
            <b:First>Leonardo</b:First>
          </b:Person>
          <b:Person>
            <b:Last>Lombardo</b:Last>
            <b:First>Giovanni</b:First>
          </b:Person>
          <b:Person>
            <b:Last>Silva</b:Last>
            <b:First>Luiz</b:First>
            <b:Middle>A. Pereira da</b:Middle>
          </b:Person>
        </b:NameList>
      </b:Author>
    </b:Author>
    <b:RefOrder>20</b:RefOrder>
  </b:Source>
  <b:Source>
    <b:Tag>Koe78</b:Tag>
    <b:SourceType>JournalArticle</b:SourceType>
    <b:Guid>{CB4CD893-F41D-D24D-9907-AE861FA84B7E}</b:Guid>
    <b:Author>
      <b:Author>
        <b:NameList>
          <b:Person>
            <b:Last>Koenker</b:Last>
            <b:First>Roger</b:First>
          </b:Person>
          <b:Person>
            <b:Last>Bassett</b:Last>
            <b:First>Gilbert</b:First>
          </b:Person>
        </b:NameList>
      </b:Author>
    </b:Author>
    <b:Title>Regression Quantiles</b:Title>
    <b:JournalName>Econometrica</b:JournalName>
    <b:Year>1978</b:Year>
    <b:Pages>33, 10.2307/1913643</b:Pages>
    <b:Volume>46</b:Volume>
    <b:Issue>1</b:Issue>
    <b:RefOrder>7</b:RefOrder>
  </b:Source>
  <b:Source>
    <b:Tag>Kip22</b:Tag>
    <b:SourceType>JournalArticle</b:SourceType>
    <b:Guid>{83FF5C7D-74B2-2E41-9D39-B6D419E841EE}</b:Guid>
    <b:Author>
      <b:Author>
        <b:NameList>
          <b:Person>
            <b:Last>Kipriyanov</b:Last>
            <b:First>Aleksei</b:First>
          </b:Person>
        </b:NameList>
      </b:Author>
    </b:Author>
    <b:Title>Comparison of Models for Growth-at-Risk Forecasting</b:Title>
    <b:JournalName>Russian journal of money and finance</b:JournalName>
    <b:Year>2022</b:Year>
    <b:Pages>23-45, 10.31477/rjmf.202201.23</b:Pages>
    <b:Volume>81</b:Volume>
    <b:Issue>1</b:Issue>
    <b:RefOrder>8</b:RefOrder>
  </b:Source>
  <b:Source>
    <b:Tag>Hol12</b:Tag>
    <b:SourceType>JournalArticle</b:SourceType>
    <b:Guid>{F3B3DBD9-20A0-9647-8044-532BCB8BF92F}</b:Guid>
    <b:Author>
      <b:Author>
        <b:NameList>
          <b:Person>
            <b:Last>Holló</b:Last>
            <b:First>Dániel</b:First>
          </b:Person>
          <b:Person>
            <b:Last>Kremer</b:Last>
            <b:First>Manfred</b:First>
          </b:Person>
          <b:Person>
            <b:Last>Lo Duca</b:Last>
            <b:First>Marco</b:First>
          </b:Person>
        </b:NameList>
      </b:Author>
    </b:Author>
    <b:Title>A Composite Indicator of Systemic Stress in the Financial System</b:Title>
    <b:JournalName>ECB Working Paper 1426</b:JournalName>
    <b:Year>2012</b:Year>
    <b:Publisher>European Central Bank</b:Publisher>
    <b:RefOrder>1</b:RefOrder>
  </b:Source>
  <b:Source>
    <b:Tag>Pla14</b:Tag>
    <b:SourceType>JournalArticle</b:SourceType>
    <b:Guid>{F95D2416-55AC-A24D-ABBC-FF80E2C559DD}</b:Guid>
    <b:Author>
      <b:Author>
        <b:NameList>
          <b:Person>
            <b:Last>Plašil</b:Last>
            <b:First>Miroslav</b:First>
          </b:Person>
          <b:Person>
            <b:Last>Seidler</b:Last>
            <b:First>Jakub</b:First>
          </b:Person>
          <b:Person>
            <b:Last>Hlaváč</b:Last>
            <b:First>Petr</b:First>
          </b:Person>
          <b:Person>
            <b:Last>Konečný</b:Last>
            <b:First>Tomáš</b:First>
          </b:Person>
        </b:NameList>
      </b:Author>
    </b:Author>
    <b:Title>An indicator of the financial cycle in the Czech economy</b:Title>
    <b:JournalName>Czech Financial Stability Report 2013/2014</b:JournalName>
    <b:Year>2014</b:Year>
    <b:Publisher>Czech National Bank</b:Publisher>
    <b:RefOrder>2</b:RefOrder>
  </b:Source>
  <b:Source>
    <b:Tag>IMF24</b:Tag>
    <b:SourceType>JournalArticle</b:SourceType>
    <b:Guid>{5D03B0DD-FAEC-8A4E-A15C-2FA8DE507F59}</b:Guid>
    <b:Author>
      <b:Author>
        <b:NameList>
          <b:Person>
            <b:Last>IMF</b:Last>
          </b:Person>
        </b:NameList>
      </b:Author>
    </b:Author>
    <b:Title>International Financial Statistics</b:Title>
    <b:Year>2024</b:Year>
    <b:RefOrder>21</b:RefOrder>
  </b:Source>
  <b:Source>
    <b:Tag>IMF241</b:Tag>
    <b:SourceType>JournalArticle</b:SourceType>
    <b:Guid>{F1C77720-BD87-DF47-B8EE-C2BA86A70CB6}</b:Guid>
    <b:Author>
      <b:Author>
        <b:NameList>
          <b:Person>
            <b:Last>IMF</b:Last>
          </b:Person>
        </b:NameList>
      </b:Author>
    </b:Author>
    <b:Title>Financial Soundness Indicators</b:Title>
    <b:Year>2024</b:Year>
    <b:RefOrder>22</b:RefOrder>
  </b:Source>
  <b:Source>
    <b:Tag>Wor23</b:Tag>
    <b:SourceType>JournalArticle</b:SourceType>
    <b:Guid>{E2009B9C-63B0-2949-95F7-498C59255153}</b:Guid>
    <b:Author>
      <b:Author>
        <b:NameList>
          <b:Person>
            <b:Last>World Bank</b:Last>
          </b:Person>
        </b:NameList>
      </b:Author>
    </b:Author>
    <b:Title>Global Economic Monitor (GEM) [Data set]</b:Title>
    <b:Year>2023</b:Year>
    <b:Pages>https://databank.worldbank.org/source/global-economic-monitor-(gem)</b:Pages>
    <b:RefOrder>23</b:RefOrder>
  </b:Source>
  <b:Source>
    <b:Tag>Jor15</b:Tag>
    <b:SourceType>JournalArticle</b:SourceType>
    <b:Guid>{4EF830C3-D7CE-EF47-8F74-DC6FF2AC1812}</b:Guid>
    <b:Title>Leveraged bubbles</b:Title>
    <b:JournalName>Journal of Monetary Economics</b:JournalName>
    <b:Year>2015</b:Year>
    <b:Pages>S1-S20, 10.1016/j.jmoneco.2015.08.005</b:Pages>
    <b:Author>
      <b:Author>
        <b:NameList>
          <b:Person>
            <b:Last>Jordà</b:Last>
            <b:First>Òscar</b:First>
          </b:Person>
          <b:Person>
            <b:Last>Schularick</b:Last>
            <b:First>Moritz</b:First>
          </b:Person>
          <b:Person>
            <b:Last>Taylor</b:Last>
            <b:First>Alan</b:First>
            <b:Middle>M.</b:Middle>
          </b:Person>
        </b:NameList>
      </b:Author>
    </b:Author>
    <b:Volume>76</b:Volume>
    <b:RefOrder>6</b:RefOrder>
  </b:Source>
</b:Sources>
</file>

<file path=customXml/itemProps1.xml><?xml version="1.0" encoding="utf-8"?>
<ds:datastoreItem xmlns:ds="http://schemas.openxmlformats.org/officeDocument/2006/customXml" ds:itemID="{D0E692C2-D0BE-4612-A636-0A340A43F5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8875c8-43a9-487a-8483-c93934f2a15b"/>
    <ds:schemaRef ds:uri="0822d87c-9f4b-4af0-9aff-df69078804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FD7228-1354-4EFB-A4EC-BB725330CC3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460A41E-572B-49C8-8C8C-07157C22081B}">
  <ds:schemaRefs>
    <ds:schemaRef ds:uri="http://schemas.microsoft.com/sharepoint/v3/contenttype/forms"/>
  </ds:schemaRefs>
</ds:datastoreItem>
</file>

<file path=customXml/itemProps4.xml><?xml version="1.0" encoding="utf-8"?>
<ds:datastoreItem xmlns:ds="http://schemas.openxmlformats.org/officeDocument/2006/customXml" ds:itemID="{95979FD3-1FF1-F741-87BD-E5BCB77EF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1467</TotalTime>
  <Pages>16</Pages>
  <Words>4296</Words>
  <Characters>24493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ACM</Company>
  <LinksUpToDate>false</LinksUpToDate>
  <CharactersWithSpaces>28732</CharactersWithSpaces>
  <SharedDoc>false</SharedDoc>
  <HLinks>
    <vt:vector size="48" baseType="variant">
      <vt:variant>
        <vt:i4>1900618</vt:i4>
      </vt:variant>
      <vt:variant>
        <vt:i4>84</vt:i4>
      </vt:variant>
      <vt:variant>
        <vt:i4>0</vt:i4>
      </vt:variant>
      <vt:variant>
        <vt:i4>5</vt:i4>
      </vt:variant>
      <vt:variant>
        <vt:lpwstr>http://www.acm.org/publications/submissions/latex_style</vt:lpwstr>
      </vt:variant>
      <vt:variant>
        <vt:lpwstr/>
      </vt:variant>
      <vt:variant>
        <vt:i4>65624</vt:i4>
      </vt:variant>
      <vt:variant>
        <vt:i4>48</vt:i4>
      </vt:variant>
      <vt:variant>
        <vt:i4>0</vt:i4>
      </vt:variant>
      <vt:variant>
        <vt:i4>5</vt:i4>
      </vt:variant>
      <vt:variant>
        <vt:lpwstr>http://sheridanprinting.com/typedept/ACM-distilling-settings.htm</vt:lpwstr>
      </vt:variant>
      <vt:variant>
        <vt:lpwstr/>
      </vt:variant>
      <vt:variant>
        <vt:i4>4259861</vt:i4>
      </vt:variant>
      <vt:variant>
        <vt:i4>45</vt:i4>
      </vt:variant>
      <vt:variant>
        <vt:i4>0</vt:i4>
      </vt:variant>
      <vt:variant>
        <vt:i4>5</vt:i4>
      </vt:variant>
      <vt:variant>
        <vt:lpwstr>http://chi2014.acm.org/authors/guide-to-an-accessible-submission</vt:lpwstr>
      </vt:variant>
      <vt:variant>
        <vt:lpwstr/>
      </vt:variant>
      <vt:variant>
        <vt:i4>1900618</vt:i4>
      </vt:variant>
      <vt:variant>
        <vt:i4>21</vt:i4>
      </vt:variant>
      <vt:variant>
        <vt:i4>0</vt:i4>
      </vt:variant>
      <vt:variant>
        <vt:i4>5</vt:i4>
      </vt:variant>
      <vt:variant>
        <vt:lpwstr>http://www.acm.org/publications/submissions/latex_style</vt:lpwstr>
      </vt:variant>
      <vt:variant>
        <vt:lpwstr/>
      </vt:variant>
      <vt:variant>
        <vt:i4>786512</vt:i4>
      </vt:variant>
      <vt:variant>
        <vt:i4>6</vt:i4>
      </vt:variant>
      <vt:variant>
        <vt:i4>0</vt:i4>
      </vt:variant>
      <vt:variant>
        <vt:i4>5</vt:i4>
      </vt:variant>
      <vt:variant>
        <vt:lpwstr>http://www.acm.org/publications/policies/copyright_policy</vt:lpwstr>
      </vt:variant>
      <vt:variant>
        <vt:lpwstr/>
      </vt:variant>
      <vt:variant>
        <vt:i4>5898367</vt:i4>
      </vt:variant>
      <vt:variant>
        <vt:i4>0</vt:i4>
      </vt:variant>
      <vt:variant>
        <vt:i4>0</vt:i4>
      </vt:variant>
      <vt:variant>
        <vt:i4>5</vt:i4>
      </vt:variant>
      <vt:variant>
        <vt:lpwstr>http://dl.acm.org/ccs.cfm</vt:lpwstr>
      </vt:variant>
      <vt:variant>
        <vt:lpwstr/>
      </vt:variant>
      <vt:variant>
        <vt:i4>2490451</vt:i4>
      </vt:variant>
      <vt:variant>
        <vt:i4>7276</vt:i4>
      </vt:variant>
      <vt:variant>
        <vt:i4>1025</vt:i4>
      </vt:variant>
      <vt:variant>
        <vt:i4>1</vt:i4>
      </vt:variant>
      <vt:variant>
        <vt:lpwstr>MIT-campus1</vt:lpwstr>
      </vt:variant>
      <vt:variant>
        <vt:lpwstr/>
      </vt:variant>
      <vt:variant>
        <vt:i4>4980759</vt:i4>
      </vt:variant>
      <vt:variant>
        <vt:i4>10435</vt:i4>
      </vt:variant>
      <vt:variant>
        <vt:i4>1026</vt:i4>
      </vt:variant>
      <vt:variant>
        <vt:i4>1</vt:i4>
      </vt:variant>
      <vt:variant>
        <vt:lpwstr>DevicesCrop-Outlines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SIGCHI</dc:creator>
  <cp:keywords>Guides, instructions, Author's kit, Conference Publications</cp:keywords>
  <dc:description/>
  <cp:lastModifiedBy>Victor Yerz</cp:lastModifiedBy>
  <cp:revision>119</cp:revision>
  <cp:lastPrinted>2018-12-26T15:25:00Z</cp:lastPrinted>
  <dcterms:created xsi:type="dcterms:W3CDTF">2021-09-24T18:46:00Z</dcterms:created>
  <dcterms:modified xsi:type="dcterms:W3CDTF">2024-07-22T13:52:00Z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vt:lpwstr>
  </property>
  <property fmtid="{D5CDD505-2E9C-101B-9397-08002B2CF9AE}" pid="4" name="ContentTypeId">
    <vt:lpwstr>0x010100CDFA67BB8893134191D9394909D4A940</vt:lpwstr>
  </property>
  <property fmtid="{D5CDD505-2E9C-101B-9397-08002B2CF9AE}" pid="5" name="Order">
    <vt:r8>3217400</vt:r8>
  </property>
  <property fmtid="{D5CDD505-2E9C-101B-9397-08002B2CF9AE}" pid="6" name="ComplianceAssetId">
    <vt:lpwstr/>
  </property>
</Properties>
</file>