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10A9E" w:rsidRPr="008C49F5" w:rsidRDefault="009B25BA">
      <w:pPr>
        <w:rPr>
          <w:b/>
          <w:lang w:val="en-US"/>
        </w:rPr>
      </w:pPr>
      <w:r w:rsidRPr="008C49F5">
        <w:rPr>
          <w:b/>
          <w:lang w:val="en-US"/>
        </w:rPr>
        <w:t>Abstract</w:t>
      </w:r>
    </w:p>
    <w:p w:rsidR="00385984" w:rsidRDefault="00385984" w:rsidP="00385984">
      <w:pPr>
        <w:rPr>
          <w:lang w:val="en-US"/>
        </w:rPr>
      </w:pPr>
    </w:p>
    <w:p w:rsidR="00385984" w:rsidRPr="00385984" w:rsidRDefault="00385984" w:rsidP="00385984">
      <w:pPr>
        <w:rPr>
          <w:lang w:val="en-US"/>
        </w:rPr>
      </w:pPr>
      <w:r w:rsidRPr="00385984">
        <w:rPr>
          <w:lang w:val="en-US"/>
        </w:rPr>
        <w:t>In recent years macroprudential policy has been evolving, with the aim to more closely manage the build-up of cyclical vulnerabilities in the financial system. The materialization of financial stress can trigger downside risks for growth in the medium term, but the realization of these risks can be mitigated through the effective use of macroprudential tools. This paper aims to quantify these risks and the effects of macroprudential policy on them, through the use of empirical growth-at-risk (</w:t>
      </w:r>
      <w:proofErr w:type="spellStart"/>
      <w:r w:rsidRPr="00385984">
        <w:rPr>
          <w:lang w:val="en-US"/>
        </w:rPr>
        <w:t>GaR</w:t>
      </w:r>
      <w:proofErr w:type="spellEnd"/>
      <w:r w:rsidRPr="00385984">
        <w:rPr>
          <w:lang w:val="en-US"/>
        </w:rPr>
        <w:t>) frameworks. It also aims to augment the process of decision-making by proposing methods for designing a policy rule for macroprudential policy. These rules shouldn't be viewed as binding constraints, but rather as guidelines that could serve as a basis for preemptive action.</w:t>
      </w:r>
    </w:p>
    <w:p w:rsidR="00385984" w:rsidRPr="00385984" w:rsidRDefault="00385984" w:rsidP="00385984">
      <w:pPr>
        <w:rPr>
          <w:lang w:val="en-US"/>
        </w:rPr>
      </w:pPr>
      <w:r w:rsidRPr="00385984">
        <w:rPr>
          <w:lang w:val="en-US"/>
        </w:rPr>
        <w:t xml:space="preserve"> In this paper, we focus on designing them for the case of the Armenian financial system. To estimate the model, a panel dataset is used, with 43 countries and 30+ variables. This analysis is very close in its logic and spirit to </w:t>
      </w:r>
      <w:proofErr w:type="spellStart"/>
      <w:r w:rsidRPr="00385984">
        <w:rPr>
          <w:lang w:val="en-US"/>
        </w:rPr>
        <w:t>Galán</w:t>
      </w:r>
      <w:proofErr w:type="spellEnd"/>
      <w:r w:rsidRPr="00385984">
        <w:rPr>
          <w:lang w:val="en-US"/>
        </w:rPr>
        <w:t xml:space="preserve"> (2020) and Aikman et al. (2019), who used quantile regressions to derive the effects of macroprudential policy on the distribution of the GDP growth. The ultimate goal of the analysis is to get a quantitative estimate of the effectiveness of macroprudential policy by comparing its short-term costs (a decline in GDP) with long-term benefits (reduction of risks captured by the shrinking tail of GDP distribution). Meanwhile, for designing the policy rule, this paper uses the work of Javier Suarez (2021) as its main reference, while also proposing a novel approach to macroprudential decision-making, the “frontier approach,” inspired by modern portfolio theory. </w:t>
      </w:r>
    </w:p>
    <w:p w:rsidR="008C49F5" w:rsidRPr="008C49F5" w:rsidRDefault="00385984" w:rsidP="00385984">
      <w:pPr>
        <w:rPr>
          <w:lang w:val="en-US"/>
        </w:rPr>
      </w:pPr>
      <w:r w:rsidRPr="00385984">
        <w:rPr>
          <w:lang w:val="en-US"/>
        </w:rPr>
        <w:t>We have performed the analysis with a strong intention to use it in the policymaking procedure while also contributing to the existing research.</w:t>
      </w:r>
    </w:p>
    <w:sectPr w:rsidR="008C49F5" w:rsidRPr="008C49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HEA Grapalat">
    <w:altName w:val="Sylfaen"/>
    <w:panose1 w:val="020B0604020202020204"/>
    <w:charset w:val="00"/>
    <w:family w:val="modern"/>
    <w:pitch w:val="variable"/>
    <w:sig w:usb0="A00006AF" w:usb1="5000204B"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9226B"/>
    <w:multiLevelType w:val="hybridMultilevel"/>
    <w:tmpl w:val="1E225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4813D7"/>
    <w:multiLevelType w:val="hybridMultilevel"/>
    <w:tmpl w:val="A7840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3926697">
    <w:abstractNumId w:val="0"/>
  </w:num>
  <w:num w:numId="2" w16cid:durableId="8241983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5BA"/>
    <w:rsid w:val="000D6865"/>
    <w:rsid w:val="00375011"/>
    <w:rsid w:val="00385984"/>
    <w:rsid w:val="007D5FE1"/>
    <w:rsid w:val="00810A9E"/>
    <w:rsid w:val="008C49F5"/>
    <w:rsid w:val="009B25BA"/>
    <w:rsid w:val="00B575C7"/>
    <w:rsid w:val="00F20E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ABD3F"/>
  <w15:chartTrackingRefBased/>
  <w15:docId w15:val="{5F8EB282-12F3-4FC0-98F6-B0E624843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HEA Grapalat" w:eastAsiaTheme="minorHAnsi" w:hAnsi="GHEA Grapalat" w:cstheme="minorBidi"/>
        <w:sz w:val="22"/>
        <w:szCs w:val="22"/>
        <w:lang w:val="en-US" w:eastAsia="en-US" w:bidi="ar-SA"/>
      </w:rPr>
    </w:rPrDefault>
    <w:pPrDefault>
      <w:pPr>
        <w:spacing w:after="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hy-AM"/>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50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Pages>
  <Words>274</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c:creator>
  <cp:keywords/>
  <dc:description/>
  <cp:lastModifiedBy>Victor Yerz</cp:lastModifiedBy>
  <cp:revision>2</cp:revision>
  <dcterms:created xsi:type="dcterms:W3CDTF">2024-03-29T14:37:00Z</dcterms:created>
  <dcterms:modified xsi:type="dcterms:W3CDTF">2024-03-29T18:57:00Z</dcterms:modified>
</cp:coreProperties>
</file>