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9rm8bdmb5n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mbx27ah3vfj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Бизнес-постановка задачи и ML-задача: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Цель: снижение оттока клиентов в онлайн кинотеатре, который предоставляет доступ к фильмам по модели подписки. </w:t>
        <w:br w:type="textWrapping"/>
        <w:t xml:space="preserve">Проблема: большое количество пользователей отменяют подписку через определённое время, что негативно сказывается на доходах компании. </w:t>
        <w:br w:type="textWrapping"/>
        <w:t xml:space="preserve">Бизнес-задача: разработать систему предсказания оттока клиентов для онлайн-кинотеатра, которая поможет маркетинговой команде своевременно реагировать и разрабатывать программы лояльности.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Задача машинного обучения заключается в построении модели бинарной классификации, которая на основе исторических данных о поведении пользователей сможет предсказывать, откажется клиент от подписки или нет.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/>
      </w:pPr>
      <w:bookmarkStart w:colFirst="0" w:colLast="0" w:name="_ovn67i6uw7dr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Набор данных: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Демографические данные (возраст, пол, регион).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История подписки (время подписки, время отмены).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Потребительская активность (количество просмотров, жанры предпочитаемого контента).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Информация о платежах (способ оплаты, наличие просрочек, использование промо-кодов).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Обратная связь (оценки контента, жалобы, обращения в поддержку).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 набора взят из открытых источников. Набора данных: Kaggle: Telco Customer Churn Dataset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https://www.kaggle.com/datasets/blastchar/telco-customer-churn</w:t>
        </w:r>
      </w:hyperlink>
      <w:r w:rsidDel="00000000" w:rsidR="00000000" w:rsidRPr="00000000">
        <w:rPr>
          <w:rtl w:val="0"/>
        </w:rPr>
        <w:t xml:space="preserve"> ), который можно адаптировать для стримингового сервиса, заменив телеком-услуги на контентные.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v1wr4sdf3ua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Выбор и обоснование метрики для измерения качества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задачи предсказания оттока клиентов у нас может быть дисбаланс классов: подавляющее большинство пользователей останутся на сервисе, и только малая доля клиентов уйдет. В таких случаях метрика Accuracy (точность) может быть недостаточно информативной, так как модель, предсказывающая "остается" для всех клиентов, будет иметь высокую точность, но не будет полезна.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нашей задачи наиболее подходящие метрики: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Precision — доля правильных предсказаний от всех предсказаний "отток". Важно минимизировать ложные срабатывания (false positives), чтобы маркетинг не тратил ресурсы на тех, кто не собирается уходить.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Recall — доля правильно предсказанных уходящих клиентов от всех реальных уходящих клиентов. Важно захватить как можно больше пользователей, которые действительно уйдут.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F1-score — гармоническое среднее между Precision и Recall, которое балансирует между тем, чтобы находить максимальное количество уходящих клиентов и минимизировать ложные срабатывания.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ROC-AUC (Area Under the Curve) — метрика, которая показывает, как хорошо модель различает классы. Она полезна для оценки классификаторов на разных уровнях порогов.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F1-score будет ключевой метрикой, так как она учитывает и Precision, и Recall, что важно при дисбалансе классов. Мы стремимся найти как можно больше клиентов, которые могут уйти, при этом минимизируя ложные тревоги.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ROC-AUC будет дополнительной метрикой для оценки общей способности модели различать классы, особенно на ранних этапах.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Выбор метрик: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Основная метрика — F1-score.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Дополнительная метрика — ROC-AUC.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oqzmme3lwdf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Проведение EDA (Exploratory Data Analysis)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Для начала, посмотрим на типы и характеристики набора данных: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86188" cy="348662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3486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Я буду рассматривать данные для телеком компании без интерпретации для онлайн кинотеатра</w:t>
      </w:r>
      <w:r w:rsidDel="00000000" w:rsidR="00000000" w:rsidRPr="00000000">
        <w:rPr>
          <w:rtl w:val="0"/>
        </w:rPr>
        <w:t xml:space="preserve">. Большинство признаков в наборе данных являются категориальными. Поэтому такие показатели, как среднее значение и медиана, могут применяться только к числовым признакам, например, к сроку пребывания и расходам.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Имеется четыре характеристики клиента, которые описывают его индивидуальный профиль: пол (мужчина/женщина), наличие партнера (да/нет), наличие иждивенцев (да/нет) и статус пенсионера (да/нет). Другие 16 признаков касаются предоставляемых услуг (Телефон/Интернет) и конкретных опций в этих услугах. Каждый клиент пользуется либо телефонной связью, либо интернет-услугами у нас.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Срок действия услуг измеряется в месяцах: минимальный срок составляет 0 месяцев (для клиентов, которые недавно начали пользоваться услугами), а максимальный срок — 72 месяца (6 лет), что включает клиентов, пользующихся нашими услугами более 6 лет.</w:t>
      </w:r>
    </w:p>
    <w:p w:rsidR="00000000" w:rsidDel="00000000" w:rsidP="00000000" w:rsidRDefault="00000000" w:rsidRPr="00000000" w14:paraId="00000020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68688" cy="198405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8688" cy="1984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 6 лет общее количество клиентов составило 7043.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83% клиентов — это работающие/студенческие группы клиентов, 54% из которых имеют как телефон, так и интернет-услуги. В этой группе клиентов наблюдается отток в размере 25% за эти годы.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Однако среди пенсионеров наблюдается большее отток, большинство из них находятся на ежемесячном плане обслуживания. Это может быть связано с финансовыми причинами.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20054" cy="311983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0054" cy="3119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70% клиентов нет никаких зависимостей, а у 50% клиентов нет никаких партнеров. Так что может быть, что в основном есть клиенты с подписками на услуги только для себя.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Клиенты с партнерами и/или иждивенцами предпочитают годовые подписки и меньше оттоков. Клиенты с ближайшими родственниками (рабочий класс) не предпочли бы постоянно менять оператора услуг.</w:t>
      </w:r>
    </w:p>
    <w:p w:rsidR="00000000" w:rsidDel="00000000" w:rsidP="00000000" w:rsidRDefault="00000000" w:rsidRPr="00000000" w14:paraId="00000027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06538" cy="216792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6538" cy="2167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нас на 12% больше подписок на телефонные услуги, чем на интернет-подписки. Мы можем выдвинуть гипотезу, что наши клиенты рассматривают нас как компанию телефонных услуг.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Общий процент оттока составил 26,5%, при этом 93% этих клиентов имеют подключение к Интернету.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69% отошедших клиентов выбрали оптоволоконный сервис по сравнению с 24,5% отошедших клиентов с DSL-сервисами. Это может быть связано с отсутствием интернет-услуг с оптоволоконным сервисом из-за плохой инфраструктуры или плохой пропускной способности. 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kaggle.com/datasets/blastchar/telco-customer-churn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