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МИНИСТЕРСТВО НАУКИ И ВЫСШЕГО ОБРАЗОВАНИЯ РОССИЙСКОЙ ФЕДЕРАЦИИ   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6885"/>
        <w:tblGridChange w:id="0">
          <w:tblGrid>
            <w:gridCol w:w="2070"/>
            <w:gridCol w:w="6885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</w:rPr>
              <w:drawing>
                <wp:inline distB="114300" distT="114300" distL="114300" distR="114300">
                  <wp:extent cx="927100" cy="9271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100" cy="92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ФЕДЕРАЛЬНОЕ ГОСУДАРСТВЕННОЕ БЮДЖЕТНОЕ ОБРАЗОВАТЕЛЬНОЕ УЧРЕЖДЕНИЕ ВЫСШЕГО ОБРАЗОВАНИЯ   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   «КАЛУЖСКИЙ ГОСУДАРСТВЕННЫЙ УНИВЕРСИТЕТ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им. К.Э. ЦИОЛКОВСКОГО»</w:t>
            </w:r>
          </w:p>
        </w:tc>
      </w:tr>
    </w:tbl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    </w:t>
      </w:r>
    </w:p>
    <w:p w:rsidR="00000000" w:rsidDel="00000000" w:rsidP="00000000" w:rsidRDefault="00000000" w:rsidRPr="00000000" w14:paraId="0000000A">
      <w:pPr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  </w:t>
      </w:r>
    </w:p>
    <w:p w:rsidR="00000000" w:rsidDel="00000000" w:rsidP="00000000" w:rsidRDefault="00000000" w:rsidRPr="00000000" w14:paraId="0000000B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КАФЕДРА ИНФОРМАТИКИ И ИНФОРМАЦИОННЫХ ТЕХНОЛОГИЙ</w:t>
      </w:r>
    </w:p>
    <w:p w:rsidR="00000000" w:rsidDel="00000000" w:rsidP="00000000" w:rsidRDefault="00000000" w:rsidRPr="00000000" w14:paraId="0000000C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60" w:line="264" w:lineRule="auto"/>
        <w:jc w:val="center"/>
        <w:rPr>
          <w:sz w:val="24"/>
          <w:szCs w:val="24"/>
        </w:rPr>
      </w:pPr>
      <w:r w:rsidDel="00000000" w:rsidR="00000000" w:rsidRPr="00000000">
        <w:rPr>
          <w:color w:val="212529"/>
          <w:sz w:val="24"/>
          <w:szCs w:val="24"/>
          <w:rtl w:val="0"/>
        </w:rPr>
        <w:t xml:space="preserve">Современные языки программирования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160" w:line="264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tbl>
      <w:tblPr>
        <w:tblStyle w:val="Table2"/>
        <w:tblW w:w="8925.0" w:type="dxa"/>
        <w:jc w:val="left"/>
        <w:tblBorders>
          <w:top w:color="d9d9d9" w:space="0" w:sz="5" w:val="single"/>
          <w:left w:color="d9d9d9" w:space="0" w:sz="5" w:val="single"/>
          <w:bottom w:color="d9d9d9" w:space="0" w:sz="5" w:val="single"/>
          <w:right w:color="d9d9d9" w:space="0" w:sz="5" w:val="single"/>
          <w:insideH w:color="d9d9d9" w:space="0" w:sz="5" w:val="single"/>
          <w:insideV w:color="d9d9d9" w:space="0" w:sz="5" w:val="single"/>
        </w:tblBorders>
        <w:tblLayout w:type="fixed"/>
        <w:tblLook w:val="0600"/>
      </w:tblPr>
      <w:tblGrid>
        <w:gridCol w:w="2940"/>
        <w:gridCol w:w="5985"/>
        <w:tblGridChange w:id="0">
          <w:tblGrid>
            <w:gridCol w:w="2940"/>
            <w:gridCol w:w="5985"/>
          </w:tblGrid>
        </w:tblGridChange>
      </w:tblGrid>
      <w:tr>
        <w:trPr>
          <w:cantSplit w:val="0"/>
          <w:trHeight w:val="840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64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7">
            <w:pPr>
              <w:spacing w:line="264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Выполнил: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64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9">
            <w:pP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_________________________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‌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/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Нагиев В.Э.</w:t>
            </w:r>
          </w:p>
          <w:p w:rsidR="00000000" w:rsidDel="00000000" w:rsidP="00000000" w:rsidRDefault="00000000" w:rsidRPr="00000000" w14:paraId="0000001A">
            <w:pPr>
              <w:spacing w:line="264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                      </w:t>
              <w:tab/>
              <w:t xml:space="preserve">подпись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120" w:line="264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Группа: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120"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Б-ИСиТ-22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64" w:lineRule="auto"/>
              <w:jc w:val="righ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0">
            <w:pPr>
              <w:spacing w:line="264" w:lineRule="auto"/>
              <w:jc w:val="righ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Преподаватель:</w:t>
            </w:r>
          </w:p>
        </w:tc>
        <w:tc>
          <w:tcPr>
            <w:tcBorders>
              <w:top w:color="d9d9d9" w:space="0" w:sz="5" w:val="single"/>
              <w:left w:color="d9d9d9" w:space="0" w:sz="5" w:val="single"/>
              <w:bottom w:color="d9d9d9" w:space="0" w:sz="5" w:val="single"/>
              <w:right w:color="d9d9d9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64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2">
            <w:pPr>
              <w:spacing w:line="26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‌_________________________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‌ </w:t>
            </w:r>
            <w:r w:rsidDel="00000000" w:rsidR="00000000" w:rsidRPr="00000000">
              <w:rPr>
                <w:rtl w:val="0"/>
              </w:rPr>
              <w:t xml:space="preserve">/ </w:t>
            </w: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Чернявский И.В.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3">
            <w:pPr>
              <w:spacing w:line="264" w:lineRule="auto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                       </w:t>
              <w:tab/>
              <w:t xml:space="preserve">подпись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after="160" w:line="26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after="160" w:line="264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Калуга, 2026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Этап 1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Запуск.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ListenAndServe(":8080", mux)</w:t>
      </w:r>
      <w:r w:rsidDel="00000000" w:rsidR="00000000" w:rsidRPr="00000000">
        <w:rPr>
          <w:rtl w:val="0"/>
        </w:rPr>
        <w:t xml:space="preserve"> открывает порт и ждёт запросов.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Приход запроса.</w:t>
      </w:r>
      <w:r w:rsidDel="00000000" w:rsidR="00000000" w:rsidRPr="00000000">
        <w:rPr>
          <w:rtl w:val="0"/>
        </w:rPr>
        <w:t xml:space="preserve"> Браузер или curl отправляет HTTP-запрос: метод, путь, заголовки, данные формы.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Разбор.</w:t>
      </w:r>
      <w:r w:rsidDel="00000000" w:rsidR="00000000" w:rsidRPr="00000000">
        <w:rPr>
          <w:rtl w:val="0"/>
        </w:rPr>
        <w:t xml:space="preserve"> Go превращает запрос в объект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*http.Request</w:t>
      </w:r>
      <w:r w:rsidDel="00000000" w:rsidR="00000000" w:rsidRPr="00000000">
        <w:rPr>
          <w:rtl w:val="0"/>
        </w:rPr>
        <w:t xml:space="preserve"> и обрабатывает его в отдельной горутине.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Маршрутизация.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ServeMux</w:t>
      </w:r>
      <w:r w:rsidDel="00000000" w:rsidR="00000000" w:rsidRPr="00000000">
        <w:rPr>
          <w:rtl w:val="0"/>
        </w:rPr>
        <w:t xml:space="preserve"> по методу и пути выбирает обработчик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Обработчик.</w:t>
      </w:r>
      <w:r w:rsidDel="00000000" w:rsidR="00000000" w:rsidRPr="00000000">
        <w:rPr>
          <w:rtl w:val="0"/>
        </w:rPr>
        <w:t xml:space="preserve"> Читает данные из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</w:t>
      </w:r>
      <w:r w:rsidDel="00000000" w:rsidR="00000000" w:rsidRPr="00000000">
        <w:rPr>
          <w:rtl w:val="0"/>
        </w:rPr>
        <w:t xml:space="preserve">, проверяет их и работает со срезом трат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store.All()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store.Add()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Ответ.</w:t>
      </w:r>
      <w:r w:rsidDel="00000000" w:rsidR="00000000" w:rsidRPr="00000000">
        <w:rPr>
          <w:rtl w:val="0"/>
        </w:rPr>
        <w:t xml:space="preserve"> Страница собирается из шаблонов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layout.html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{{range}}</w:t>
      </w:r>
      <w:r w:rsidDel="00000000" w:rsidR="00000000" w:rsidRPr="00000000">
        <w:rPr>
          <w:rtl w:val="0"/>
        </w:rPr>
        <w:t xml:space="preserve">) и пишется в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</w:t>
      </w:r>
      <w:r w:rsidDel="00000000" w:rsidR="00000000" w:rsidRPr="00000000">
        <w:rPr>
          <w:rtl w:val="0"/>
        </w:rPr>
        <w:t xml:space="preserve">. После добавления траты отправляется редирект 303 на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/expenses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Отправка.</w:t>
      </w:r>
      <w:r w:rsidDel="00000000" w:rsidR="00000000" w:rsidRPr="00000000">
        <w:rPr>
          <w:rtl w:val="0"/>
        </w:rPr>
        <w:t xml:space="preserve"> Когда обработчик завершается, Go сам отправляет ответ клиенту.</w:t>
      </w:r>
    </w:p>
    <w:p w:rsidR="00000000" w:rsidDel="00000000" w:rsidP="00000000" w:rsidRDefault="00000000" w:rsidRPr="00000000" w14:paraId="0000003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Этап 2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5731200" cy="2882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