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нмц"/>
    <w:p>
      <w:pPr>
        <w:pStyle w:val="Heading1"/>
      </w:pPr>
      <w:r>
        <w:t xml:space="preserve">НМЦ</w:t>
      </w:r>
    </w:p>
    <w:bookmarkStart w:id="20" w:name="знание.-нмц"/>
    <w:p>
      <w:pPr>
        <w:pStyle w:val="Heading5"/>
      </w:pPr>
      <w:r>
        <w:t xml:space="preserve">Знание. НМЦ</w:t>
      </w:r>
    </w:p>
    <w:p>
      <w:pPr>
        <w:pStyle w:val="FirstParagraph"/>
      </w:pPr>
      <w:r>
        <w:rPr>
          <w:b/>
          <w:bCs/>
        </w:rPr>
        <w:t xml:space="preserve">НМЦ</w:t>
      </w:r>
      <w:r>
        <w:t xml:space="preserve">- это начальная максимальная цена. Это означает, что если наша цена будет выше НМЦ, то нас отклонят, либо не допустят до подачи заявки на процедуру закупки.</w:t>
      </w:r>
    </w:p>
    <w:p>
      <w:pPr>
        <w:pStyle w:val="BodyText"/>
      </w:pPr>
      <w:r>
        <w:t xml:space="preserve">Бывает два вида</w:t>
      </w:r>
      <w:r>
        <w:t xml:space="preserve"> </w:t>
      </w:r>
      <w:r>
        <w:rPr>
          <w:b/>
          <w:bCs/>
        </w:rPr>
        <w:t xml:space="preserve">НМЦ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i/>
          <w:iCs/>
        </w:rPr>
        <w:t xml:space="preserve">НМЦ договора</w:t>
      </w:r>
      <w:r>
        <w:t xml:space="preserve"> </w:t>
      </w:r>
      <w:r>
        <w:t xml:space="preserve">(1) (суммарная по всему рассчитываемому проекту);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i/>
          <w:iCs/>
        </w:rPr>
        <w:t xml:space="preserve">НМЦ за единицу товара</w:t>
      </w:r>
      <w:r>
        <w:t xml:space="preserve"> </w:t>
      </w:r>
      <w:r>
        <w:t xml:space="preserve">(2).</w:t>
      </w:r>
    </w:p>
    <w:p>
      <w:pPr>
        <w:pStyle w:val="FirstParagraph"/>
      </w:pPr>
      <w:r>
        <w:t xml:space="preserve">В извещении может быть указано: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НМЦ договора</w:t>
      </w:r>
      <w:r>
        <w:t xml:space="preserve"> </w:t>
      </w:r>
      <w:r>
        <w:t xml:space="preserve">(1),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i/>
          <w:iCs/>
        </w:rPr>
        <w:t xml:space="preserve">НМЦ за единицу товара</w:t>
      </w:r>
      <w:r>
        <w:t xml:space="preserve"> </w:t>
      </w:r>
      <w:r>
        <w:t xml:space="preserve">(2)</w:t>
      </w:r>
      <w:r>
        <w:t xml:space="preserve"> </w:t>
      </w:r>
      <w:r>
        <w:t xml:space="preserve">- и</w:t>
      </w:r>
      <w:r>
        <w:t xml:space="preserve"> </w:t>
      </w:r>
      <w:r>
        <w:rPr>
          <w:b/>
          <w:bCs/>
          <w:i/>
          <w:iCs/>
        </w:rPr>
        <w:t xml:space="preserve">НМЦ договора</w:t>
      </w:r>
      <w:r>
        <w:t xml:space="preserve"> </w:t>
      </w:r>
      <w:r>
        <w:t xml:space="preserve">(1) и</w:t>
      </w:r>
      <w:r>
        <w:t xml:space="preserve"> </w:t>
      </w:r>
      <w:r>
        <w:rPr>
          <w:b/>
          <w:bCs/>
          <w:i/>
          <w:iCs/>
        </w:rPr>
        <w:t xml:space="preserve">НМЦ за единицу товара</w:t>
      </w:r>
      <w:r>
        <w:t xml:space="preserve"> </w:t>
      </w:r>
      <w:r>
        <w:t xml:space="preserve">(2).</w:t>
      </w:r>
    </w:p>
    <w:p>
      <w:pPr>
        <w:pStyle w:val="BodyText"/>
      </w:pPr>
      <w:r>
        <w:rPr>
          <w:b/>
          <w:bCs/>
        </w:rPr>
        <w:t xml:space="preserve">Где найти ?</w:t>
      </w:r>
    </w:p>
    <w:p>
      <w:pPr>
        <w:pStyle w:val="BodyText"/>
      </w:pPr>
      <w:r>
        <w:rPr>
          <w:b/>
          <w:bCs/>
        </w:rPr>
        <w:t xml:space="preserve">НМЦ</w:t>
      </w:r>
      <w:r>
        <w:t xml:space="preserve"> </w:t>
      </w:r>
      <w:r>
        <w:t xml:space="preserve">прописывается в Извещении (Файлы тендера). Также в извещении может быть указана ссылка на документ, в котором установлены эти НМЦ. (например ТЗ или отдельный файл или Сводная таблица стоимости).</w:t>
      </w:r>
    </w:p>
    <w:p>
      <w:pPr>
        <w:pStyle w:val="BodyText"/>
      </w:pPr>
      <w:r>
        <w:rPr>
          <w:b/>
          <w:bCs/>
        </w:rPr>
        <w:t xml:space="preserve">Проверка НМЦ</w:t>
      </w:r>
    </w:p>
    <w:p>
      <w:pPr>
        <w:pStyle w:val="BodyText"/>
      </w:pPr>
      <w:r>
        <w:t xml:space="preserve">В теории</w:t>
      </w:r>
      <w:r>
        <w:t xml:space="preserve"> </w:t>
      </w:r>
      <w:r>
        <w:rPr>
          <w:b/>
          <w:bCs/>
          <w:i/>
          <w:iCs/>
        </w:rPr>
        <w:t xml:space="preserve">НМЦ договора(1)</w:t>
      </w:r>
      <w:r>
        <w:t xml:space="preserve"> </w:t>
      </w:r>
      <w:r>
        <w:t xml:space="preserve">должно равняться сумме произведений</w:t>
      </w:r>
      <w:r>
        <w:t xml:space="preserve"> </w:t>
      </w:r>
      <w:r>
        <w:rPr>
          <w:b/>
          <w:bCs/>
          <w:i/>
          <w:iCs/>
        </w:rPr>
        <w:t xml:space="preserve">НМЦ за единицу товара</w:t>
      </w:r>
      <w:r>
        <w:t xml:space="preserve">(2) на количество данного товара (НМЦ i * кол-во i (Где i- порядковый номер позиции)).</w:t>
      </w:r>
    </w:p>
    <w:p>
      <w:pPr>
        <w:pStyle w:val="BodyText"/>
      </w:pPr>
      <w:r>
        <w:t xml:space="preserve">Автоматический контроль позволяет оперативно выявить ошибки в расчете НМЦ по каждой позиции.</w:t>
      </w:r>
    </w:p>
    <w:p>
      <w:pPr>
        <w:pStyle w:val="BodyText"/>
      </w:pPr>
      <w:r>
        <w:t xml:space="preserve">Алгоритм верификации данных: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Сверьте итоговые значения</w:t>
      </w:r>
      <w:r>
        <w:t xml:space="preserve">. Проверьте равенство НМЦ договора, указанной в Извещении, и расчетного (итогового) значения в нижней строке таблицы.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Локализация ошибки</w:t>
      </w:r>
      <w:r>
        <w:t xml:space="preserve">. Расхождение сумм указывает на некорректность данных. Распространенная причина — несовпадение порядка следования позиций в Извещении и Техническом задании (ТЗ).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Действие при сбое</w:t>
      </w:r>
      <w:r>
        <w:t xml:space="preserve">. Если контрольная сумма не совпадает, проведите построчную сверку внесенных единичных НМЦ для каждого товара из спецификации.</w:t>
      </w:r>
    </w:p>
    <w:bookmarkEnd w:id="20"/>
    <w:bookmarkEnd w:id="21"/>
    <w:sectPr>
      <w:footnotePr>
        <w:numFmt w:val="decimal"/>
      </w:footnotePr>
      <w:type w:val="nextPage"/>
      <w:pgSz w:h="12240" w:orient="landscape" w:w="15840"/>
      <w:pgMar w:bottom="600" w:footer="0" w:gutter="0" w:header="0" w:left="1620" w:right="1440" w:top="555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Lora">
    <w:charset w:val="01"/>
    <w:family w:val="roman"/>
    <w:pitch w:val="variable"/>
  </w:font>
  <w:font w:name="Calibri">
    <w:charset w:val="01"/>
    <w:family w:val="roman"/>
    <w:pitch w:val="variable"/>
  </w:font>
  <w:font w:name="Nimbus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643"/>
  <w:autoHyphenation w:val="tru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</w:compat>
  <w:rsids>
  </w:rsids>
  <w:themeFontLang w:bidi="" w:eastAsia="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uppressAutoHyphens w:val="true"/>
      <w:bidi w:val="0"/>
      <w:spacing w:after="200" w:before="0"/>
      <w:jc w:val="left"/>
    </w:pPr>
    <w:rPr>
      <w:rFonts w:ascii="Lora" w:cs="" w:cstheme="minorBidi" w:eastAsia="Cambria" w:eastAsiaTheme="minorHAnsi" w:hAnsi="Lora"/>
      <w:color w:val="auto"/>
      <w:kern w:val="0"/>
      <w:sz w:val="28"/>
      <w:szCs w:val="24"/>
      <w:lang w:bidi="ar-SA" w:eastAsia="en-US" w:val="en-US"/>
    </w:rPr>
  </w:style>
  <w:style w:styleId="Heading1" w:type="paragraph">
    <w:name w:val="Heading 1"/>
    <w:basedOn w:val="Normal"/>
    <w:next w:val="BodyText"/>
    <w:uiPriority w:val="9"/>
    <w:qFormat/>
    <w:pPr>
      <w:keepNext w:val="true"/>
      <w:keepLines/>
      <w:spacing w:after="0" w:before="480"/>
      <w:jc w:val="center"/>
      <w:outlineLvl w:val="0"/>
    </w:pPr>
    <w:rPr>
      <w:rFonts w:ascii="Lora" w:cs="" w:cstheme="majorBidi" w:eastAsia="" w:eastAsiaTheme="majorEastAsia" w:hAnsi="Lora"/>
      <w:b w:val="false"/>
      <w:bCs/>
      <w:color w:val="000000"/>
      <w:sz w:val="7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 w:val="true"/>
      <w:keepLines/>
      <w:spacing w:after="0" w:before="1701"/>
      <w:jc w:val="center"/>
      <w:outlineLvl w:val="1"/>
    </w:pPr>
    <w:rPr>
      <w:rFonts w:ascii="Lora" w:cs="" w:cstheme="majorBidi" w:eastAsia="" w:eastAsiaTheme="majorEastAsia" w:hAnsi="Lora"/>
      <w:b/>
      <w:bCs/>
      <w:color w:val="580000"/>
      <w:sz w:val="6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 w:val="true"/>
      <w:keepLines/>
      <w:spacing w:after="0" w:before="200"/>
      <w:outlineLvl w:val="2"/>
    </w:pPr>
    <w:rPr>
      <w:rFonts w:ascii="Lora" w:cs="" w:cstheme="majorBidi" w:eastAsia="" w:eastAsiaTheme="majorEastAsia" w:hAnsi="Lora"/>
      <w:b/>
      <w:bCs/>
      <w:color w:val="1E6A39"/>
      <w:sz w:val="48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 w:val="true"/>
      <w:keepLines/>
      <w:spacing w:after="0" w:before="200"/>
      <w:outlineLvl w:val="3"/>
    </w:pPr>
    <w:rPr>
      <w:rFonts w:ascii="Lora" w:cs="" w:cstheme="majorBidi" w:eastAsia="" w:eastAsiaTheme="majorEastAsia" w:hAnsi="Lora"/>
      <w:bCs/>
      <w:i w:val="false"/>
      <w:color w:themeColor="accent1" w:val="4F81BD"/>
      <w:sz w:val="40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 w:val="true"/>
      <w:keepLines/>
      <w:spacing w:after="0" w:before="200"/>
      <w:outlineLvl w:val="4"/>
    </w:pPr>
    <w:rPr>
      <w:rFonts w:ascii="Lora" w:cs="" w:cstheme="majorBidi" w:eastAsia="" w:eastAsiaTheme="majorEastAsia" w:hAnsi="Lora"/>
      <w:i/>
      <w:iCs/>
      <w:color w:themeColor="accent1" w:val="4F81BD"/>
      <w:sz w:val="40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 w:val="true"/>
      <w:keepLines/>
      <w:pBdr/>
      <w:spacing w:after="0" w:before="200"/>
      <w:outlineLvl w:val="5"/>
    </w:pPr>
    <w:rPr>
      <w:rFonts w:ascii="Lora" w:cs="" w:cstheme="majorBidi" w:eastAsia="" w:eastAsiaTheme="majorEastAsia" w:hAnsi="Lora"/>
      <w:b w:val="false"/>
      <w:outline w:val="false"/>
      <w:color w:val="B00000"/>
      <w:sz w:val="40"/>
      <w:szCs w:val="24"/>
      <w:shd w:fill="auto" w:val="clear"/>
    </w:rPr>
  </w:style>
  <w:style w:styleId="Heading7" w:type="paragraph">
    <w:name w:val="Heading 7"/>
    <w:basedOn w:val="Normal"/>
    <w:next w:val="BodyText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default="1" w:styleId="DefaultParagraphFont" w:type="character">
    <w:name w:val="Default Paragraph Font"/>
    <w:semiHidden/>
    <w:unhideWhenUsed/>
    <w:qFormat/>
    <w:rPr/>
  </w:style>
  <w:style w:customStyle="1" w:styleId="BodyTextChar" w:type="character">
    <w:name w:val="Body Text Char"/>
    <w:basedOn w:val="DefaultParagraphFont"/>
    <w:qFormat/>
    <w:rPr/>
  </w:style>
  <w:style w:customStyle="1" w:styleId="VerbatimChar" w:type="character">
    <w:name w:val="Verbatim Char"/>
    <w:basedOn w:val="BodyTextChar"/>
    <w:qFormat/>
    <w:rPr>
      <w:rFonts w:ascii="Nimbus Roman" w:hAnsi="Nimbus Roman"/>
      <w:b/>
      <w:i/>
      <w:sz w:val="28"/>
    </w:rPr>
  </w:style>
  <w:style w:customStyle="1" w:styleId="SectionNumber" w:type="character">
    <w:name w:val="Section Number"/>
    <w:basedOn w:val="BodyTextChar"/>
    <w:qFormat/>
    <w:rPr/>
  </w:style>
  <w:style w:styleId="Style5" w:type="character">
    <w:name w:val="Символ сноски"/>
    <w:qFormat/>
    <w:rPr>
      <w:vertAlign w:val="superscript"/>
    </w:rPr>
  </w:style>
  <w:style w:styleId="FootnoteReference" w:type="character">
    <w:name w:val="Footnote Reference"/>
    <w:rPr>
      <w:vertAlign w:val="superscript"/>
    </w:rPr>
  </w:style>
  <w:style w:styleId="Hyperlink" w:type="character">
    <w:name w:val="Hyperlink"/>
    <w:basedOn w:val="BodyTextChar"/>
    <w:rPr>
      <w:color w:val="0000B0"/>
      <w:sz w:val="28"/>
      <w:u w:val="single"/>
    </w:rPr>
  </w:style>
  <w:style w:styleId="Style6" w:type="character">
    <w:name w:val="Символ концевой сноски"/>
    <w:qFormat/>
    <w:rPr/>
  </w:style>
  <w:style w:styleId="EndnoteReference" w:type="character">
    <w:name w:val="Endnote Reference"/>
    <w:rPr>
      <w:vertAlign w:val="superscript"/>
    </w:rPr>
  </w:style>
  <w:style w:styleId="Style7" w:type="paragraph">
    <w:name w:val="Заголовок"/>
    <w:basedOn w:val="Normal"/>
    <w:next w:val="BodyText"/>
    <w:qFormat/>
    <w:pPr>
      <w:keepNext w:val="true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/>
  </w:style>
  <w:style w:styleId="List" w:type="paragraph">
    <w:name w:val="List"/>
    <w:basedOn w:val="BodyText"/>
    <w:pPr/>
    <w:rPr>
      <w:rFonts w:cs="Noto Sans Devanagari"/>
    </w:rPr>
  </w:style>
  <w:style w:styleId="Caption" w:type="paragraph">
    <w:name w:val="Caption"/>
    <w:basedOn w:val="Normal"/>
    <w:link w:val="BodyTextChar"/>
    <w:qFormat/>
    <w:pPr>
      <w:spacing w:after="120" w:before="0"/>
    </w:pPr>
    <w:rPr>
      <w:i/>
    </w:rPr>
  </w:style>
  <w:style w:styleId="Style8" w:type="paragraph">
    <w:name w:val="Указатель"/>
    <w:basedOn w:val="Normal"/>
    <w:qFormat/>
    <w:pPr>
      <w:suppressLineNumbers/>
    </w:pPr>
    <w:rPr>
      <w:rFonts w:cs="Noto Sans Devanagari"/>
    </w:rPr>
  </w:style>
  <w:style w:customStyle="1" w:styleId="FirstParagraph" w:type="paragraph">
    <w:name w:val="First Paragraph"/>
    <w:basedOn w:val="BodyText"/>
    <w:next w:val="BodyText"/>
    <w:qFormat/>
    <w:pPr/>
    <w:rPr/>
  </w:style>
  <w:style w:customStyle="1" w:styleId="Compact" w:type="paragraph">
    <w:name w:val="Compact"/>
    <w:basedOn w:val="BodyText"/>
    <w:qFormat/>
    <w:pPr>
      <w:spacing w:after="36" w:before="36"/>
    </w:pPr>
    <w:rPr/>
  </w:style>
  <w:style w:styleId="Title" w:type="paragraph">
    <w:name w:val="Title"/>
    <w:basedOn w:val="Normal"/>
    <w:next w:val="BodyText"/>
    <w:qFormat/>
    <w:pPr>
      <w:keepNext w:val="true"/>
      <w:keepLines/>
      <w:spacing w:after="240" w:before="480" w:line="276" w:lineRule="auto"/>
      <w:ind w:left="283" w:right="283"/>
      <w:jc w:val="center"/>
    </w:pPr>
    <w:rPr>
      <w:rFonts w:ascii="Lora" w:cs="" w:cstheme="majorBidi" w:eastAsia="" w:eastAsiaTheme="majorEastAsia" w:hAnsi="Lora"/>
      <w:b/>
      <w:bCs/>
      <w:color w:val="000000"/>
      <w:sz w:val="60"/>
      <w:szCs w:val="36"/>
    </w:rPr>
  </w:style>
  <w:style w:styleId="Subtitle" w:type="paragraph">
    <w:name w:val="Subtitle"/>
    <w:basedOn w:val="Title"/>
    <w:next w:val="BodyText"/>
    <w:qFormat/>
    <w:pPr>
      <w:keepNext w:val="true"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 w:val="true"/>
      <w:keepLines/>
      <w:widowControl/>
      <w:suppressAutoHyphens w:val="true"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BodyText"/>
    <w:qFormat/>
    <w:pPr>
      <w:keepNext w:val="true"/>
      <w:keepLines/>
      <w:widowControl/>
      <w:suppressAutoHyphens w:val="true"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Title" w:type="paragraph">
    <w:name w:val="Abstract Title"/>
    <w:basedOn w:val="Normal"/>
    <w:next w:val="Abstract"/>
    <w:qFormat/>
    <w:pPr>
      <w:keepNext w:val="true"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 w:val="true"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hanging="0" w:left="480" w:right="480"/>
    </w:pPr>
    <w:rPr/>
  </w:style>
  <w:style w:styleId="FootnoteText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customStyle="1" w:styleId="TableCaption" w:type="paragraph">
    <w:name w:val="Table Caption"/>
    <w:basedOn w:val="Caption"/>
    <w:qFormat/>
    <w:pPr>
      <w:keepNext w:val="true"/>
    </w:pPr>
    <w:rPr/>
  </w:style>
  <w:style w:customStyle="1" w:styleId="ImageCaption" w:type="paragraph">
    <w:name w:val="Image Caption"/>
    <w:basedOn w:val="Caption"/>
    <w:qFormat/>
    <w:pPr/>
    <w:rPr/>
  </w:style>
  <w:style w:customStyle="1" w:styleId="Style9" w:type="paragraph">
    <w:name w:val="Фигура"/>
    <w:basedOn w:val="Normal"/>
    <w:qFormat/>
    <w:pPr/>
    <w:rPr/>
  </w:style>
  <w:style w:customStyle="1" w:styleId="CaptionedFigure" w:type="paragraph">
    <w:name w:val="Captioned Figure"/>
    <w:basedOn w:val="Style9"/>
    <w:qFormat/>
    <w:pPr>
      <w:keepNext w:val="true"/>
    </w:pPr>
    <w:rPr/>
  </w:style>
  <w:style w:styleId="IndexHeading" w:type="paragraph">
    <w:name w:val="Index Heading"/>
    <w:basedOn w:val="Style7"/>
    <w:pPr/>
    <w:rPr/>
  </w:style>
  <w:style w:styleId="TOCHeading" w:type="paragraph">
    <w:name w:val="TOC Heading"/>
    <w:basedOn w:val="Heading1"/>
    <w:next w:val="BodyText"/>
    <w:uiPriority w:val="39"/>
    <w:unhideWhenUsed/>
    <w:qFormat/>
    <w:pPr>
      <w:spacing w:after="0" w:before="240" w:line="259" w:lineRule="auto"/>
      <w:outlineLvl w:val="9"/>
    </w:pPr>
    <w:rPr>
      <w:rFonts w:ascii="Calibri" w:asciiTheme="majorHAnsi" w:cs="" w:cstheme="majorBidi" w:eastAsia="" w:eastAsiaTheme="majorEastAsia" w:hAnsi="Calibri" w:hAnsiTheme="majorHAnsi"/>
      <w:b w:val="false"/>
      <w:bCs w:val="false"/>
      <w:color w:themeColor="accent1" w:themeShade="bf" w:val="365F91"/>
    </w:rPr>
  </w:style>
  <w:style w:styleId="TOC8" w:type="paragraph">
    <w:name w:val="TOC 8"/>
    <w:basedOn w:val="Style8"/>
    <w:pPr>
      <w:tabs>
        <w:tab w:pos="643" w:val="clear"/>
        <w:tab w:leader="dot" w:pos="7376" w:val="right"/>
      </w:tabs>
      <w:ind w:hanging="0" w:left="1984"/>
    </w:pPr>
    <w:rPr/>
  </w:style>
  <w:style w:default="1" w:styleId="Table" w:type="table">
    <w:name w:val="Table"/>
    <w:basedOn w:val="TableNormal"/>
    <w:semiHidden/>
    <w:unhideWhenUsed/>
    <w:qFormat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val="single"/>
        </w:tcBorders>
        <w:vAlign w:val="bottom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Application>LibreOffice/24.2.7.2$Linux_X86_64 LibreOffice_project/420$Build-2</Application>
  <AppVersion>15.0000</AppVersion>
  <Pages>2</Pages>
  <Words>53</Words>
  <Characters>281</Characters>
  <CharactersWithSpaces>370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2026-10-12T11:40:27Z</dcterms:created>
  <dcterms:modified xsi:type="dcterms:W3CDTF">2026-10-12T11:40:27Z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