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1d1cd1bdf458599fac1aa874e370e79339280c"/>
    <w:p>
      <w:pPr>
        <w:pStyle w:val="Heading1"/>
      </w:pPr>
      <w:r>
        <w:t xml:space="preserve">Инструкция по работе с таблицами для специалиста по расчету</w:t>
      </w:r>
    </w:p>
    <w:bookmarkStart w:id="23" w:name="оглавление"/>
    <w:p>
      <w:pPr>
        <w:pStyle w:val="Heading2"/>
      </w:pPr>
      <w:r>
        <w:t xml:space="preserve">Оглавление</w:t>
      </w:r>
    </w:p>
    <w:p>
      <w:pPr>
        <w:pStyle w:val="FirstParagraph"/>
      </w:pPr>
      <w:r>
        <w:rPr>
          <w:b/>
          <w:bCs/>
        </w:rPr>
        <w:t xml:space="preserve">Навигация / Путь в системе</w:t>
      </w:r>
    </w:p>
    <w:p>
      <w:pPr>
        <w:numPr>
          <w:ilvl w:val="0"/>
          <w:numId w:val="1001"/>
        </w:numPr>
      </w:pPr>
      <w:r>
        <w:t xml:space="preserve">Ссылка на этот документ:</w:t>
      </w:r>
      <w:r>
        <w:t xml:space="preserve"> </w:t>
      </w:r>
      <w:hyperlink r:id="rId20">
        <w:r>
          <w:rPr>
            <w:rStyle w:val="Hyperlink"/>
          </w:rPr>
          <w:t xml:space="preserve">https://docs.google.com/document/d/11eTuSaQf7HREOITpHmTdXXPwOpzwD9rvnOdQXezd_PU/edit</w:t>
        </w:r>
      </w:hyperlink>
    </w:p>
    <w:p>
      <w:pPr>
        <w:numPr>
          <w:ilvl w:val="0"/>
          <w:numId w:val="1001"/>
        </w:numPr>
      </w:pPr>
      <w:r>
        <w:t xml:space="preserve">Ссылка на чистую таблицу:</w:t>
      </w:r>
      <w:r>
        <w:t xml:space="preserve"> </w:t>
      </w:r>
      <w:hyperlink r:id="rId21">
        <w:r>
          <w:rPr>
            <w:rStyle w:val="Hyperlink"/>
          </w:rPr>
          <w:t xml:space="preserve">https://docs.google.com/spreadsheets/d/1FCJJs6AUgq90yVyvy3RWEiuv17h1scgKM2kuBFbdt9w/edit</w:t>
        </w:r>
      </w:hyperlink>
    </w:p>
    <w:p>
      <w:pPr>
        <w:numPr>
          <w:ilvl w:val="0"/>
          <w:numId w:val="1001"/>
        </w:numPr>
      </w:pPr>
      <w:r>
        <w:t xml:space="preserve">Ссылка на папку</w:t>
      </w:r>
      <w:r>
        <w:t xml:space="preserve"> </w:t>
      </w:r>
      <w:r>
        <w:t xml:space="preserve">“Почтовые вложение”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https://drive.google.com/drive/folders/1LZ9dF6iXZrH8YC-Z6xX5T2zAABhUGTGr</w:t>
        </w:r>
      </w:hyperlink>
    </w:p>
    <w:p>
      <w:pPr>
        <w:pStyle w:val="FirstParagraph"/>
      </w:pPr>
      <w:r>
        <w:rPr>
          <w:b/>
          <w:bCs/>
        </w:rPr>
        <w:t xml:space="preserve">Основные пользователи</w:t>
      </w:r>
      <w:r>
        <w:t xml:space="preserve"> </w:t>
      </w:r>
      <w:r>
        <w:t xml:space="preserve">* элемент списка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Ответственный за расчет и тех. часть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spreadsheet@haiverk.ru</w:t>
      </w:r>
    </w:p>
    <w:p>
      <w:pPr>
        <w:pStyle w:val="FirstParagraph"/>
      </w:pPr>
      <w:r>
        <w:rPr>
          <w:b/>
          <w:bCs/>
        </w:rPr>
        <w:t xml:space="preserve">Этапы CRM</w:t>
      </w:r>
    </w:p>
    <w:p>
      <w:pPr>
        <w:pStyle w:val="Compact"/>
        <w:numPr>
          <w:ilvl w:val="0"/>
          <w:numId w:val="1003"/>
        </w:numPr>
      </w:pPr>
      <w:r>
        <w:t xml:space="preserve">Воронка</w:t>
      </w:r>
      <w:r>
        <w:t xml:space="preserve"> </w:t>
      </w:r>
      <w:r>
        <w:t xml:space="preserve">“Сделка”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Расчет</w:t>
      </w:r>
    </w:p>
    <w:p>
      <w:pPr>
        <w:pStyle w:val="Compact"/>
        <w:numPr>
          <w:ilvl w:val="0"/>
          <w:numId w:val="1003"/>
        </w:numPr>
      </w:pPr>
      <w:r>
        <w:t xml:space="preserve">Воронка смарт-процесса</w:t>
      </w:r>
      <w:r>
        <w:t xml:space="preserve"> </w:t>
      </w:r>
      <w:r>
        <w:t xml:space="preserve">“Расчет”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Создать таблицу рассылки</w:t>
      </w:r>
    </w:p>
    <w:p>
      <w:pPr>
        <w:pStyle w:val="Compact"/>
        <w:numPr>
          <w:ilvl w:val="1"/>
          <w:numId w:val="1005"/>
        </w:numPr>
      </w:pPr>
      <w:r>
        <w:t xml:space="preserve">Согласовать запросы</w:t>
      </w:r>
    </w:p>
    <w:p>
      <w:pPr>
        <w:pStyle w:val="Compact"/>
        <w:numPr>
          <w:ilvl w:val="1"/>
          <w:numId w:val="1005"/>
        </w:numPr>
      </w:pPr>
      <w:r>
        <w:t xml:space="preserve">Разослать письма</w:t>
      </w:r>
    </w:p>
    <w:p>
      <w:pPr>
        <w:pStyle w:val="Compact"/>
        <w:numPr>
          <w:ilvl w:val="1"/>
          <w:numId w:val="1005"/>
        </w:numPr>
      </w:pPr>
      <w:r>
        <w:t xml:space="preserve">Есть товары у которых нет цен</w:t>
      </w:r>
    </w:p>
    <w:p>
      <w:pPr>
        <w:pStyle w:val="Compact"/>
        <w:numPr>
          <w:ilvl w:val="1"/>
          <w:numId w:val="1005"/>
        </w:numPr>
      </w:pPr>
      <w:r>
        <w:t xml:space="preserve">Есть товары у которых меньше 3х цен</w:t>
      </w:r>
    </w:p>
    <w:p>
      <w:pPr>
        <w:pStyle w:val="Compact"/>
        <w:numPr>
          <w:ilvl w:val="1"/>
          <w:numId w:val="1005"/>
        </w:numPr>
      </w:pPr>
      <w:r>
        <w:t xml:space="preserve">Принять решение о необходимости экспертизы</w:t>
      </w:r>
    </w:p>
    <w:p>
      <w:pPr>
        <w:pStyle w:val="Compact"/>
        <w:numPr>
          <w:ilvl w:val="1"/>
          <w:numId w:val="1005"/>
        </w:numPr>
      </w:pPr>
      <w:r>
        <w:t xml:space="preserve">Тех экспертиза проекта</w:t>
      </w:r>
    </w:p>
    <w:p>
      <w:pPr>
        <w:pStyle w:val="Compact"/>
        <w:numPr>
          <w:ilvl w:val="1"/>
          <w:numId w:val="1005"/>
        </w:numPr>
      </w:pPr>
      <w:r>
        <w:t xml:space="preserve">Подготовка ТП</w:t>
      </w:r>
    </w:p>
    <w:p>
      <w:pPr>
        <w:pStyle w:val="Compact"/>
        <w:numPr>
          <w:ilvl w:val="1"/>
          <w:numId w:val="1005"/>
        </w:numPr>
      </w:pPr>
      <w:r>
        <w:t xml:space="preserve">Завершить</w:t>
      </w:r>
    </w:p>
    <w:p>
      <w:pPr>
        <w:pStyle w:val="FirstParagraph"/>
      </w:pPr>
      <w:r>
        <w:rPr>
          <w:b/>
          <w:bCs/>
        </w:rPr>
        <w:t xml:space="preserve">Описание</w:t>
      </w:r>
      <w:r>
        <w:t xml:space="preserve"> </w:t>
      </w:r>
      <w:r>
        <w:t xml:space="preserve">Эта инструкции содержит пошаговое руководство по созданию рабочей таблицы расчетов (таблицы проекта) , заполнение таблицы списком товаров, подготовки и рассылки писем и сбору цен на товары.</w:t>
      </w:r>
    </w:p>
    <w:bookmarkEnd w:id="23"/>
    <w:bookmarkStart w:id="33" w:name="знания-умения-инструкции"/>
    <w:p>
      <w:pPr>
        <w:pStyle w:val="Heading2"/>
      </w:pPr>
      <w:r>
        <w:t xml:space="preserve">Знания / Умения / Инструкции</w:t>
      </w:r>
    </w:p>
    <w:bookmarkStart w:id="24" w:name="знание.-нмц"/>
    <w:p>
      <w:pPr>
        <w:pStyle w:val="Heading5"/>
      </w:pPr>
      <w:r>
        <w:t xml:space="preserve">Знание. НМЦ</w:t>
      </w:r>
    </w:p>
    <w:p>
      <w:pPr>
        <w:pStyle w:val="FirstParagraph"/>
      </w:pPr>
      <w:r>
        <w:rPr>
          <w:b/>
          <w:bCs/>
        </w:rPr>
        <w:t xml:space="preserve">НМЦ</w:t>
      </w:r>
      <w:r>
        <w:t xml:space="preserve">- это начальная максимальная цена. Это означает, что если наша цена будет выше НМЦ, то нас отклонят, либо не допустят до подачи заявки на процедуру закупки.</w:t>
      </w:r>
    </w:p>
    <w:p>
      <w:pPr>
        <w:pStyle w:val="BodyText"/>
      </w:pPr>
      <w:r>
        <w:t xml:space="preserve">Бывает два вида</w:t>
      </w:r>
      <w:r>
        <w:t xml:space="preserve"> </w:t>
      </w:r>
      <w:r>
        <w:rPr>
          <w:b/>
          <w:bCs/>
        </w:rPr>
        <w:t xml:space="preserve">НМЦ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b/>
          <w:bCs/>
          <w:i/>
          <w:iCs/>
        </w:rPr>
        <w:t xml:space="preserve">НМЦ договора</w:t>
      </w:r>
      <w:r>
        <w:t xml:space="preserve"> </w:t>
      </w:r>
      <w:r>
        <w:t xml:space="preserve">(1) (суммарная по всему рассчитываемому проекту);</w:t>
      </w:r>
      <w:r>
        <w:br/>
      </w:r>
      <w:r>
        <w:t xml:space="preserve">2.</w:t>
      </w:r>
      <w:r>
        <w:t xml:space="preserve"> </w:t>
      </w:r>
      <w:r>
        <w:rPr>
          <w:b/>
          <w:bCs/>
          <w:i/>
          <w:iCs/>
        </w:rPr>
        <w:t xml:space="preserve">НМЦ за единицу товара</w:t>
      </w:r>
      <w:r>
        <w:t xml:space="preserve"> </w:t>
      </w:r>
      <w:r>
        <w:t xml:space="preserve">(2).</w:t>
      </w:r>
    </w:p>
    <w:p>
      <w:pPr>
        <w:pStyle w:val="BodyText"/>
      </w:pPr>
      <w:r>
        <w:t xml:space="preserve">В извещении может быть указано:</w:t>
      </w:r>
      <w:r>
        <w:br/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НМЦ договора</w:t>
      </w:r>
      <w:r>
        <w:t xml:space="preserve"> </w:t>
      </w:r>
      <w:r>
        <w:t xml:space="preserve">(1),</w:t>
      </w:r>
      <w:r>
        <w:br/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НМЦ за единицу товара</w:t>
      </w:r>
      <w:r>
        <w:t xml:space="preserve"> </w:t>
      </w:r>
      <w:r>
        <w:t xml:space="preserve">(2)</w:t>
      </w:r>
      <w:r>
        <w:br/>
      </w:r>
      <w:r>
        <w:t xml:space="preserve">- и</w:t>
      </w:r>
      <w:r>
        <w:t xml:space="preserve"> </w:t>
      </w:r>
      <w:r>
        <w:rPr>
          <w:b/>
          <w:bCs/>
          <w:i/>
          <w:iCs/>
        </w:rPr>
        <w:t xml:space="preserve">НМЦ договора</w:t>
      </w:r>
      <w:r>
        <w:t xml:space="preserve"> </w:t>
      </w:r>
      <w:r>
        <w:t xml:space="preserve">(1) и</w:t>
      </w:r>
      <w:r>
        <w:t xml:space="preserve"> </w:t>
      </w:r>
      <w:r>
        <w:rPr>
          <w:b/>
          <w:bCs/>
          <w:i/>
          <w:iCs/>
        </w:rPr>
        <w:t xml:space="preserve">НМЦ за единицу товара</w:t>
      </w:r>
      <w:r>
        <w:t xml:space="preserve"> </w:t>
      </w:r>
      <w:r>
        <w:t xml:space="preserve">(2).</w:t>
      </w:r>
    </w:p>
    <w:p>
      <w:pPr>
        <w:pStyle w:val="BodyText"/>
      </w:pPr>
      <w:r>
        <w:rPr>
          <w:b/>
          <w:bCs/>
        </w:rPr>
        <w:t xml:space="preserve">Где найти ?</w:t>
      </w:r>
    </w:p>
    <w:p>
      <w:pPr>
        <w:pStyle w:val="BodyText"/>
      </w:pPr>
      <w:r>
        <w:rPr>
          <w:b/>
          <w:bCs/>
        </w:rPr>
        <w:t xml:space="preserve">НМЦ</w:t>
      </w:r>
      <w:r>
        <w:t xml:space="preserve"> </w:t>
      </w:r>
      <w:r>
        <w:t xml:space="preserve">прописывается в Извещении (Файлы тендера). Также в извещении может быть указана ссылка на документ, в котором установлены эти НМЦ. (например ТЗ или отдельный файл или Сводная таблица стоимости).</w:t>
      </w:r>
    </w:p>
    <w:p>
      <w:pPr>
        <w:pStyle w:val="BodyText"/>
      </w:pPr>
      <w:r>
        <w:rPr>
          <w:b/>
          <w:bCs/>
        </w:rPr>
        <w:t xml:space="preserve">Проверка НМЦ</w:t>
      </w:r>
    </w:p>
    <w:p>
      <w:pPr>
        <w:pStyle w:val="BodyText"/>
      </w:pPr>
      <w:r>
        <w:t xml:space="preserve">В теории</w:t>
      </w:r>
      <w:r>
        <w:t xml:space="preserve"> </w:t>
      </w:r>
      <w:r>
        <w:rPr>
          <w:b/>
          <w:bCs/>
          <w:i/>
          <w:iCs/>
        </w:rPr>
        <w:t xml:space="preserve">НМЦ договора(1)</w:t>
      </w:r>
      <w:r>
        <w:t xml:space="preserve"> </w:t>
      </w:r>
      <w:r>
        <w:t xml:space="preserve">должно равняться сумме произведений</w:t>
      </w:r>
      <w:r>
        <w:t xml:space="preserve"> </w:t>
      </w:r>
      <w:r>
        <w:rPr>
          <w:b/>
          <w:bCs/>
          <w:i/>
          <w:iCs/>
        </w:rPr>
        <w:t xml:space="preserve">НМЦ за единицу товара</w:t>
      </w:r>
      <w:r>
        <w:t xml:space="preserve">(2) на количество данного товара (НМЦ i * кол-во i (Где i- порядковый номер позиции)).</w:t>
      </w:r>
    </w:p>
    <w:p>
      <w:pPr>
        <w:pStyle w:val="BodyText"/>
      </w:pPr>
      <w:r>
        <w:t xml:space="preserve">Автоматический контроль позволяет оперативно выявить ошибки в расчете НМЦ по каждой позиции.</w:t>
      </w:r>
    </w:p>
    <w:p>
      <w:pPr>
        <w:pStyle w:val="BodyText"/>
      </w:pPr>
      <w:r>
        <w:t xml:space="preserve">Алгоритм верификации данных: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Сверьте итоговые значения</w:t>
      </w:r>
      <w:r>
        <w:t xml:space="preserve">. Проверьте равенство НМЦ договора, указанной в Извещении, и расчетного (итогового) значения в нижней строке таблицы.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Локализация ошибки</w:t>
      </w:r>
      <w:r>
        <w:t xml:space="preserve">. Расхождение сумм указывает на некорректность данных. Распространенная причина — несовпадение порядка следования позиций в Извещении и Техническом задании (ТЗ).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Действие при сбое</w:t>
      </w:r>
      <w:r>
        <w:t xml:space="preserve">. Если контрольная сумма не совпадает, проведите построчную сверку внесенных единичных НМЦ для каждого товара из спецификации.</w:t>
      </w:r>
    </w:p>
    <w:bookmarkEnd w:id="24"/>
    <w:bookmarkStart w:id="32" w:name="X8d56ef98029009a50adf582f38d3cc311c6c092"/>
    <w:p>
      <w:pPr>
        <w:pStyle w:val="Heading5"/>
      </w:pPr>
      <w:r>
        <w:t xml:space="preserve">Знание. Цвета раскраски емайлов (todo) (Добавить ссылку на внешний файл)</w:t>
      </w:r>
    </w:p>
    <w:p>
      <w:pPr>
        <w:pStyle w:val="FirstParagraph"/>
      </w:pPr>
      <w:bookmarkStart w:id="25" w:name="умение-вставляете-только-значения"/>
      <w:r>
        <w:rPr>
          <w:b/>
          <w:bCs/>
        </w:rPr>
        <w:t xml:space="preserve">Умение. Вставляете только значения</w:t>
      </w:r>
      <w:bookmarkEnd w:id="25"/>
      <w:r>
        <w:t xml:space="preserve"> </w:t>
      </w:r>
      <w:r>
        <w:t xml:space="preserve">(todo) (Добавить ссылку на внешний файл)</w:t>
      </w:r>
    </w:p>
    <w:p>
      <w:pPr>
        <w:pStyle w:val="BodyText"/>
      </w:pPr>
      <w:bookmarkStart w:id="26" w:name="умение-числа-без-пробелов"/>
      <w:r>
        <w:rPr>
          <w:b/>
          <w:bCs/>
        </w:rPr>
        <w:t xml:space="preserve">Умение. Числа без пробелов</w:t>
      </w:r>
      <w:bookmarkEnd w:id="26"/>
      <w:r>
        <w:t xml:space="preserve"> </w:t>
      </w:r>
      <w:r>
        <w:t xml:space="preserve">(todo) (Добавить ссылку на внешний файл)</w:t>
      </w:r>
    </w:p>
    <w:p>
      <w:pPr>
        <w:pStyle w:val="BodyText"/>
      </w:pPr>
      <w:bookmarkStart w:id="27" w:name="инструкция-группировка-товаров"/>
      <w:r>
        <w:rPr>
          <w:b/>
          <w:bCs/>
        </w:rPr>
        <w:t xml:space="preserve">Инструкция. Группировка товаров</w:t>
      </w:r>
      <w:bookmarkEnd w:id="27"/>
      <w:r>
        <w:t xml:space="preserve"> </w:t>
      </w:r>
      <w:r>
        <w:t xml:space="preserve">(todo) (Добавить ссылку на внешний файл)</w:t>
      </w:r>
    </w:p>
    <w:p>
      <w:pPr>
        <w:pStyle w:val="BodyText"/>
      </w:pPr>
      <w:bookmarkStart w:id="28" w:name="инструкция-авторизация-скриптов"/>
      <w:r>
        <w:rPr>
          <w:b/>
          <w:bCs/>
        </w:rPr>
        <w:t xml:space="preserve">Инструкция. Авторизация Скриптов</w:t>
      </w:r>
      <w:bookmarkEnd w:id="28"/>
      <w:r>
        <w:t xml:space="preserve"> </w:t>
      </w:r>
      <w:r>
        <w:t xml:space="preserve">(Добавить ссылку на внешний файл)</w:t>
      </w:r>
    </w:p>
    <w:p>
      <w:pPr>
        <w:pStyle w:val="BodyText"/>
      </w:pPr>
      <w:bookmarkStart w:id="29" w:name="инструкция-запуск-триггеров"/>
      <w:r>
        <w:rPr>
          <w:b/>
          <w:bCs/>
        </w:rPr>
        <w:t xml:space="preserve">Инструкция. Запуск триггеров</w:t>
      </w:r>
      <w:bookmarkEnd w:id="29"/>
      <w:r>
        <w:t xml:space="preserve"> </w:t>
      </w:r>
      <w:r>
        <w:t xml:space="preserve">(Добавить ссылку на внешний файл)</w:t>
      </w:r>
    </w:p>
    <w:p>
      <w:pPr>
        <w:pStyle w:val="BodyText"/>
      </w:pPr>
      <w:bookmarkStart w:id="30" w:name="инструкция-удаление-лишних-строк"/>
      <w:r>
        <w:rPr>
          <w:b/>
          <w:bCs/>
        </w:rPr>
        <w:t xml:space="preserve">Инструкция. Удаление лишних строк</w:t>
      </w:r>
      <w:bookmarkEnd w:id="30"/>
      <w:r>
        <w:t xml:space="preserve"> </w:t>
      </w:r>
      <w:r>
        <w:t xml:space="preserve">(Добавить ссылку на внешний файл)</w:t>
      </w:r>
    </w:p>
    <w:p>
      <w:pPr>
        <w:pStyle w:val="BodyText"/>
      </w:pPr>
      <w:bookmarkStart w:id="31" w:name="X6ceb60f317288b95c2470c7f0475cf242ca1053"/>
      <w:r>
        <w:rPr>
          <w:b/>
          <w:bCs/>
        </w:rPr>
        <w:t xml:space="preserve">Инструкция. Цены, сроки и модели от поставщиков</w:t>
      </w:r>
      <w:bookmarkEnd w:id="31"/>
      <w:r>
        <w:t xml:space="preserve">(Добавить ссылку на внешний файл)</w:t>
      </w:r>
    </w:p>
    <w:bookmarkEnd w:id="32"/>
    <w:bookmarkEnd w:id="33"/>
    <w:bookmarkEnd w:id="34"/>
    <w:sectPr>
      <w:footnotePr>
        <w:numFmt w:val="decimal"/>
      </w:footnotePr>
      <w:type w:val="nextPage"/>
      <w:pgSz w:h="12240" w:orient="landscape" w:w="15840"/>
      <w:pgMar w:bottom="600" w:footer="0" w:gutter="0" w:header="0" w:left="1620" w:right="1440" w:top="555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ora">
    <w:charset w:val="01"/>
    <w:family w:val="roman"/>
    <w:pitch w:val="variable"/>
  </w:font>
  <w:font w:name="Calibri">
    <w:charset w:val="01"/>
    <w:family w:val="roman"/>
    <w:pitch w:val="variable"/>
  </w:font>
  <w:font w:name="Nimbus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643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Lora" w:cs="" w:cstheme="minorBidi" w:eastAsia="Cambria" w:eastAsiaTheme="minorHAnsi" w:hAnsi="Lora"/>
      <w:color w:val="auto"/>
      <w:kern w:val="0"/>
      <w:sz w:val="28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jc w:val="center"/>
      <w:outlineLvl w:val="0"/>
    </w:pPr>
    <w:rPr>
      <w:rFonts w:ascii="Lora" w:cs="" w:cstheme="majorBidi" w:eastAsia="" w:eastAsiaTheme="majorEastAsia" w:hAnsi="Lora"/>
      <w:b w:val="false"/>
      <w:bCs/>
      <w:color w:val="000000"/>
      <w:sz w:val="7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1701"/>
      <w:jc w:val="center"/>
      <w:outlineLvl w:val="1"/>
    </w:pPr>
    <w:rPr>
      <w:rFonts w:ascii="Lora" w:cs="" w:cstheme="majorBidi" w:eastAsia="" w:eastAsiaTheme="majorEastAsia" w:hAnsi="Lora"/>
      <w:b/>
      <w:bCs/>
      <w:color w:val="580000"/>
      <w:sz w:val="6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Lora" w:cs="" w:cstheme="majorBidi" w:eastAsia="" w:eastAsiaTheme="majorEastAsia" w:hAnsi="Lora"/>
      <w:b/>
      <w:bCs/>
      <w:color w:val="1E6A39"/>
      <w:sz w:val="4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Lora" w:cs="" w:cstheme="majorBidi" w:eastAsia="" w:eastAsiaTheme="majorEastAsia" w:hAnsi="Lora"/>
      <w:bCs/>
      <w:i w:val="false"/>
      <w:color w:themeColor="accent1" w:val="4F81BD"/>
      <w:sz w:val="4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Lora" w:cs="" w:cstheme="majorBidi" w:eastAsia="" w:eastAsiaTheme="majorEastAsia" w:hAnsi="Lora"/>
      <w:i/>
      <w:iCs/>
      <w:color w:themeColor="accent1" w:val="4F81BD"/>
      <w:sz w:val="40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pBdr/>
      <w:spacing w:after="0" w:before="200"/>
      <w:outlineLvl w:val="5"/>
    </w:pPr>
    <w:rPr>
      <w:rFonts w:ascii="Lora" w:cs="" w:cstheme="majorBidi" w:eastAsia="" w:eastAsiaTheme="majorEastAsia" w:hAnsi="Lora"/>
      <w:b w:val="false"/>
      <w:outline w:val="false"/>
      <w:color w:val="B00000"/>
      <w:sz w:val="40"/>
      <w:szCs w:val="24"/>
      <w:shd w:fill="auto" w:val="clear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Nimbus Roman" w:hAnsi="Nimbus Roman"/>
      <w:b/>
      <w:i/>
      <w:sz w:val="28"/>
    </w:rPr>
  </w:style>
  <w:style w:customStyle="1" w:styleId="SectionNumber" w:type="character">
    <w:name w:val="Section Number"/>
    <w:basedOn w:val="BodyTextChar"/>
    <w:qFormat/>
    <w:rPr/>
  </w:style>
  <w:style w:styleId="Style5" w:type="character">
    <w:name w:val="Символ сноски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val="0000B0"/>
      <w:sz w:val="28"/>
      <w:u w:val="single"/>
    </w:rPr>
  </w:style>
  <w:style w:styleId="Style6" w:type="character">
    <w:name w:val="Символ концевой сноски"/>
    <w:qFormat/>
    <w:rPr/>
  </w:style>
  <w:style w:styleId="EndnoteReference" w:type="character">
    <w:name w:val="Endnote Reference"/>
    <w:rPr>
      <w:vertAlign w:val="superscript"/>
    </w:rPr>
  </w:style>
  <w:style w:styleId="Style7" w:type="paragraph">
    <w:name w:val="Заголовок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Style8" w:type="paragraph">
    <w:name w:val="Указатель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 w:line="276" w:lineRule="auto"/>
      <w:ind w:left="283" w:right="283"/>
      <w:jc w:val="center"/>
    </w:pPr>
    <w:rPr>
      <w:rFonts w:ascii="Lora" w:cs="" w:cstheme="majorBidi" w:eastAsia="" w:eastAsiaTheme="majorEastAsia" w:hAnsi="Lora"/>
      <w:b/>
      <w:bCs/>
      <w:color w:val="000000"/>
      <w:sz w:val="60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Style9" w:type="paragraph">
    <w:name w:val="Фигура"/>
    <w:basedOn w:val="Normal"/>
    <w:qFormat/>
    <w:pPr/>
    <w:rPr/>
  </w:style>
  <w:style w:customStyle="1" w:styleId="CaptionedFigure" w:type="paragraph">
    <w:name w:val="Captioned Figure"/>
    <w:basedOn w:val="Style9"/>
    <w:qFormat/>
    <w:pPr>
      <w:keepNext w:val="true"/>
    </w:pPr>
    <w:rPr/>
  </w:style>
  <w:style w:styleId="IndexHeading" w:type="paragraph">
    <w:name w:val="Index Heading"/>
    <w:basedOn w:val="Style7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styleId="TOC8" w:type="paragraph">
    <w:name w:val="TOC 8"/>
    <w:basedOn w:val="Style8"/>
    <w:pPr>
      <w:tabs>
        <w:tab w:pos="643" w:val="clear"/>
        <w:tab w:leader="dot" w:pos="7376" w:val="right"/>
      </w:tabs>
      <w:ind w:hanging="0" w:left="1984"/>
    </w:pPr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cs.google.com/document/d/11eTuSaQf7HREOITpHmTdXXPwOpzwD9rvnOdQXezd_PU/edit" TargetMode="External" /><Relationship Type="http://schemas.openxmlformats.org/officeDocument/2006/relationships/hyperlink" Id="rId21" Target="https://docs.google.com/spreadsheets/d/1FCJJs6AUgq90yVyvy3RWEiuv17h1scgKM2kuBFbdt9w/edit" TargetMode="External" /><Relationship Type="http://schemas.openxmlformats.org/officeDocument/2006/relationships/hyperlink" Id="rId22" Target="https://drive.google.com/drive/folders/1LZ9dF6iXZrH8YC-Z6xX5T2zAABhUGTG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cs.google.com/document/d/11eTuSaQf7HREOITpHmTdXXPwOpzwD9rvnOdQXezd_PU/edit" TargetMode="External" /><Relationship Type="http://schemas.openxmlformats.org/officeDocument/2006/relationships/hyperlink" Id="rId21" Target="https://docs.google.com/spreadsheets/d/1FCJJs6AUgq90yVyvy3RWEiuv17h1scgKM2kuBFbdt9w/edit" TargetMode="External" /><Relationship Type="http://schemas.openxmlformats.org/officeDocument/2006/relationships/hyperlink" Id="rId22" Target="https://drive.google.com/drive/folders/1LZ9dF6iXZrH8YC-Z6xX5T2zAABhUGTGr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2026-10-12T11:40:28Z</dcterms:created>
  <dcterms:modified xsi:type="dcterms:W3CDTF">2026-10-12T11:40:28Z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