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критерии-группировки-товаров"/>
    <w:p>
      <w:pPr>
        <w:pStyle w:val="Heading1"/>
      </w:pPr>
      <w:r>
        <w:rPr>
          <w:b/>
          <w:bCs/>
        </w:rPr>
        <w:t xml:space="preserve">Критерии группировки товаров</w:t>
      </w:r>
    </w:p>
    <w:p>
      <w:pPr>
        <w:pStyle w:val="FirstParagraph"/>
      </w:pPr>
      <w:r>
        <w:rPr>
          <w:b/>
          <w:bCs/>
        </w:rPr>
        <w:t xml:space="preserve">Цель процесса</w:t>
      </w:r>
      <w:r>
        <w:t xml:space="preserve">: Распределить спецификацию по одноуровневым категориям, чтобы исключить нецелевую рассылку запросов (спам) поставщикам. Каждый контрагент должен получать письма строго по своему профилю деятельности.</w:t>
      </w:r>
    </w:p>
    <w:p>
      <w:r>
        <w:pict>
          <v:rect style="width:0;height:1.5pt" o:hralign="center" o:hrstd="t" o:hr="t"/>
        </w:pict>
      </w:r>
    </w:p>
    <w:bookmarkStart w:id="20" w:name="по-типу-товара"/>
    <w:p>
      <w:pPr>
        <w:pStyle w:val="Heading2"/>
      </w:pPr>
      <w:r>
        <w:rPr>
          <w:b/>
          <w:bCs/>
        </w:rPr>
        <w:t xml:space="preserve">1. По типу товара</w:t>
      </w:r>
    </w:p>
    <w:p>
      <w:pPr>
        <w:pStyle w:val="FirstParagraph"/>
      </w:pPr>
      <w:r>
        <w:rPr>
          <w:b/>
          <w:bCs/>
        </w:rPr>
        <w:t xml:space="preserve">Описание</w:t>
      </w:r>
      <w:r>
        <w:t xml:space="preserve">: Объединение позиций по их функциональному назначению.</w:t>
      </w:r>
      <w:r>
        <w:t xml:space="preserve"> </w:t>
      </w:r>
      <w:r>
        <w:rPr>
          <w:b/>
          <w:bCs/>
        </w:rPr>
        <w:t xml:space="preserve">Правила выявления</w:t>
      </w:r>
      <w:r>
        <w:t xml:space="preserve">:</w:t>
      </w:r>
      <w:r>
        <w:t xml:space="preserve"> </w:t>
      </w:r>
      <w:r>
        <w:t xml:space="preserve">1. Анализ наименования на ключевые слова (например:</w:t>
      </w:r>
      <w:r>
        <w:t xml:space="preserve"> </w:t>
      </w:r>
      <w:r>
        <w:rPr>
          <w:i/>
          <w:iCs/>
        </w:rPr>
        <w:t xml:space="preserve">«вилка»</w:t>
      </w:r>
      <w:r>
        <w:t xml:space="preserve">,</w:t>
      </w:r>
      <w:r>
        <w:t xml:space="preserve"> </w:t>
      </w:r>
      <w:r>
        <w:rPr>
          <w:i/>
          <w:iCs/>
        </w:rPr>
        <w:t xml:space="preserve">«кабель»</w:t>
      </w:r>
      <w:r>
        <w:t xml:space="preserve">).</w:t>
      </w:r>
      <w:r>
        <w:t xml:space="preserve"> </w:t>
      </w:r>
      <w:r>
        <w:t xml:space="preserve">2. Проверка столбца</w:t>
      </w:r>
      <w:r>
        <w:t xml:space="preserve"> </w:t>
      </w:r>
      <w:r>
        <w:rPr>
          <w:i/>
          <w:iCs/>
        </w:rPr>
        <w:t xml:space="preserve">«Характеристики»</w:t>
      </w:r>
      <w:r>
        <w:t xml:space="preserve"> </w:t>
      </w:r>
      <w:r>
        <w:t xml:space="preserve">на маркеры типа (например:</w:t>
      </w:r>
      <w:r>
        <w:t xml:space="preserve"> </w:t>
      </w:r>
      <w:r>
        <w:rPr>
          <w:i/>
          <w:iCs/>
        </w:rPr>
        <w:t xml:space="preserve">«220V»</w:t>
      </w:r>
      <w:r>
        <w:t xml:space="preserve">,</w:t>
      </w:r>
      <w:r>
        <w:t xml:space="preserve"> </w:t>
      </w:r>
      <w:r>
        <w:rPr>
          <w:i/>
          <w:iCs/>
        </w:rPr>
        <w:t xml:space="preserve">«IP65»</w:t>
      </w:r>
      <w:r>
        <w:t xml:space="preserve">).</w:t>
      </w:r>
      <w:r>
        <w:t xml:space="preserve"> </w:t>
      </w:r>
      <w:r>
        <w:t xml:space="preserve">3. Ручная классификация позиций с неочевидной принадлежностью.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Пример</w:t>
      </w:r>
      <w:r>
        <w:t xml:space="preserve">:</w:t>
      </w:r>
      <w:r>
        <w:t xml:space="preserve"> </w:t>
      </w:r>
      <w:r>
        <w:rPr>
          <w:i/>
          <w:iCs/>
        </w:rPr>
        <w:t xml:space="preserve">«Кабель NYM 3x1.5»</w:t>
      </w:r>
      <w:r>
        <w:t xml:space="preserve"> </w:t>
      </w:r>
      <w:r>
        <w:t xml:space="preserve">→ группа</w:t>
      </w:r>
      <w:r>
        <w:t xml:space="preserve"> </w:t>
      </w:r>
      <w:r>
        <w:rPr>
          <w:i/>
          <w:iCs/>
        </w:rPr>
        <w:t xml:space="preserve">«Электротовары / Кабели и провода»</w:t>
      </w:r>
      <w:r>
        <w:t xml:space="preserve"> </w:t>
      </w:r>
      <w:r>
        <w:t xml:space="preserve">(по ключевому слову «кабель»).</w:t>
      </w:r>
    </w:p>
    <w:p>
      <w:r>
        <w:pict>
          <v:rect style="width:0;height:1.5pt" o:hralign="center" o:hrstd="t" o:hr="t"/>
        </w:pict>
      </w:r>
    </w:p>
    <w:bookmarkEnd w:id="20"/>
    <w:bookmarkStart w:id="21" w:name="по-производителю"/>
    <w:p>
      <w:pPr>
        <w:pStyle w:val="Heading2"/>
      </w:pPr>
      <w:r>
        <w:rPr>
          <w:b/>
          <w:bCs/>
        </w:rPr>
        <w:t xml:space="preserve">2. По производителю</w:t>
      </w:r>
    </w:p>
    <w:p>
      <w:pPr>
        <w:pStyle w:val="FirstParagraph"/>
      </w:pPr>
      <w:r>
        <w:rPr>
          <w:b/>
          <w:bCs/>
        </w:rPr>
        <w:t xml:space="preserve">Описание</w:t>
      </w:r>
      <w:r>
        <w:t xml:space="preserve">: Группировка товаров по бренду или заводу-изготовителю.</w:t>
      </w:r>
      <w:r>
        <w:t xml:space="preserve"> </w:t>
      </w:r>
      <w:r>
        <w:rPr>
          <w:b/>
          <w:bCs/>
        </w:rPr>
        <w:t xml:space="preserve">Правила выявления</w:t>
      </w:r>
      <w:r>
        <w:t xml:space="preserve">:</w:t>
      </w:r>
      <w:r>
        <w:t xml:space="preserve"> </w:t>
      </w:r>
      <w:r>
        <w:t xml:space="preserve">1. Поиск имени бренда в наименовании или столбце</w:t>
      </w:r>
      <w:r>
        <w:t xml:space="preserve"> </w:t>
      </w:r>
      <w:r>
        <w:rPr>
          <w:i/>
          <w:iCs/>
        </w:rPr>
        <w:t xml:space="preserve">«Производитель»</w:t>
      </w:r>
      <w:r>
        <w:t xml:space="preserve">.</w:t>
      </w:r>
      <w:r>
        <w:t xml:space="preserve"> </w:t>
      </w:r>
      <w:r>
        <w:t xml:space="preserve">2. Сопоставление через базу синонимов и дочерних брендов (например:</w:t>
      </w:r>
      <w:r>
        <w:t xml:space="preserve"> </w:t>
      </w:r>
      <w:r>
        <w:rPr>
          <w:i/>
          <w:iCs/>
        </w:rPr>
        <w:t xml:space="preserve">Bticino</w:t>
      </w:r>
      <w:r>
        <w:t xml:space="preserve"> </w:t>
      </w:r>
      <w:r>
        <w:t xml:space="preserve">→ группа</w:t>
      </w:r>
      <w:r>
        <w:t xml:space="preserve"> </w:t>
      </w:r>
      <w:r>
        <w:rPr>
          <w:i/>
          <w:iCs/>
        </w:rPr>
        <w:t xml:space="preserve">Legrand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Пример</w:t>
      </w:r>
      <w:r>
        <w:t xml:space="preserve">:</w:t>
      </w:r>
      <w:r>
        <w:t xml:space="preserve"> </w:t>
      </w:r>
      <w:r>
        <w:rPr>
          <w:i/>
          <w:iCs/>
        </w:rPr>
        <w:t xml:space="preserve">«Розетка Legrand Mosaic»</w:t>
      </w:r>
      <w:r>
        <w:t xml:space="preserve"> </w:t>
      </w:r>
      <w:r>
        <w:t xml:space="preserve">→ группа</w:t>
      </w:r>
      <w:r>
        <w:t xml:space="preserve"> </w:t>
      </w:r>
      <w:r>
        <w:rPr>
          <w:i/>
          <w:iCs/>
        </w:rPr>
        <w:t xml:space="preserve">«Legrand»</w:t>
      </w:r>
      <w:r>
        <w:t xml:space="preserve"> </w:t>
      </w:r>
      <w:r>
        <w:t xml:space="preserve">(по совпадению бренда).</w:t>
      </w:r>
    </w:p>
    <w:p>
      <w:r>
        <w:pict>
          <v:rect style="width:0;height:1.5pt" o:hralign="center" o:hrstd="t" o:hr="t"/>
        </w:pict>
      </w:r>
    </w:p>
    <w:bookmarkEnd w:id="21"/>
    <w:bookmarkStart w:id="22" w:name="по-ключевым-словам-и-характеристикам"/>
    <w:p>
      <w:pPr>
        <w:pStyle w:val="Heading2"/>
      </w:pPr>
      <w:r>
        <w:rPr>
          <w:b/>
          <w:bCs/>
        </w:rPr>
        <w:t xml:space="preserve">3. По ключевым словам и характеристикам</w:t>
      </w:r>
    </w:p>
    <w:p>
      <w:pPr>
        <w:pStyle w:val="FirstParagraph"/>
      </w:pPr>
      <w:r>
        <w:rPr>
          <w:b/>
          <w:bCs/>
        </w:rPr>
        <w:t xml:space="preserve">Описание</w:t>
      </w:r>
      <w:r>
        <w:t xml:space="preserve">: Связывание специфических параметров со специализацией поставщика.</w:t>
      </w:r>
      <w:r>
        <w:t xml:space="preserve"> </w:t>
      </w:r>
      <w:r>
        <w:rPr>
          <w:b/>
          <w:bCs/>
        </w:rPr>
        <w:t xml:space="preserve">Правила выявления</w:t>
      </w:r>
      <w:r>
        <w:t xml:space="preserve">:</w:t>
      </w:r>
      <w:r>
        <w:t xml:space="preserve"> </w:t>
      </w:r>
      <w:r>
        <w:t xml:space="preserve">1. Сканирование наименования и технических столбцов на уникальные маркеры (например:</w:t>
      </w:r>
      <w:r>
        <w:t xml:space="preserve"> </w:t>
      </w:r>
      <w:r>
        <w:rPr>
          <w:i/>
          <w:iCs/>
        </w:rPr>
        <w:t xml:space="preserve">«RJ45»</w:t>
      </w:r>
      <w:r>
        <w:t xml:space="preserve">,</w:t>
      </w:r>
      <w:r>
        <w:t xml:space="preserve"> </w:t>
      </w:r>
      <w:r>
        <w:rPr>
          <w:i/>
          <w:iCs/>
        </w:rPr>
        <w:t xml:space="preserve">«Класс безопасности 4»</w:t>
      </w:r>
      <w:r>
        <w:t xml:space="preserve">,</w:t>
      </w:r>
      <w:r>
        <w:t xml:space="preserve"> </w:t>
      </w:r>
      <w:r>
        <w:rPr>
          <w:i/>
          <w:iCs/>
        </w:rPr>
        <w:t xml:space="preserve">«Сейсмостойкость III»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Пример</w:t>
      </w:r>
      <w:r>
        <w:t xml:space="preserve">: Характеристика</w:t>
      </w:r>
      <w:r>
        <w:t xml:space="preserve"> </w:t>
      </w:r>
      <w:r>
        <w:rPr>
          <w:i/>
          <w:iCs/>
        </w:rPr>
        <w:t xml:space="preserve">«Защита IP67»</w:t>
      </w:r>
      <w:r>
        <w:t xml:space="preserve"> </w:t>
      </w:r>
      <w:r>
        <w:t xml:space="preserve">→ подбор поставщиков, специализирующихся на пыле-влагозащищенном оборудовании.</w:t>
      </w:r>
    </w:p>
    <w:p>
      <w:r>
        <w:pict>
          <v:rect style="width:0;height:1.5pt" o:hralign="center" o:hrstd="t" o:hr="t"/>
        </w:pict>
      </w:r>
    </w:p>
    <w:bookmarkEnd w:id="22"/>
    <w:bookmarkStart w:id="23" w:name="X44cc08ff51ed47a705d3a08671d5f1bd9ae5ca2"/>
    <w:p>
      <w:pPr>
        <w:pStyle w:val="Heading2"/>
      </w:pPr>
      <w:r>
        <w:rPr>
          <w:b/>
          <w:bCs/>
        </w:rPr>
        <w:t xml:space="preserve">4. Альтернативный метод: Группировка с помощью AI (Нейросетей)</w:t>
      </w:r>
    </w:p>
    <w:p>
      <w:pPr>
        <w:pStyle w:val="FirstParagraph"/>
      </w:pPr>
      <w:r>
        <w:rPr>
          <w:b/>
          <w:bCs/>
        </w:rPr>
        <w:t xml:space="preserve">Описание</w:t>
      </w:r>
      <w:r>
        <w:t xml:space="preserve">: Профессиональная компетенция специалиста, позволяющая автоматизировать процесс классификации и подбора кодов через языковые модели (ChatGPT, Claude, YandexGPT и др.).</w:t>
      </w:r>
    </w:p>
    <w:p>
      <w:pPr>
        <w:pStyle w:val="BodyText"/>
      </w:pPr>
      <w:r>
        <w:rPr>
          <w:b/>
          <w:bCs/>
        </w:rPr>
        <w:t xml:space="preserve">Правила применения</w:t>
      </w:r>
      <w:r>
        <w:t xml:space="preserve">:</w:t>
      </w:r>
      <w:r>
        <w:t xml:space="preserve"> </w:t>
      </w:r>
      <w:r>
        <w:t xml:space="preserve">1. Исполнитель использует</w:t>
      </w:r>
      <w:r>
        <w:t xml:space="preserve"> </w:t>
      </w:r>
      <w:r>
        <w:rPr>
          <w:b/>
          <w:bCs/>
        </w:rPr>
        <w:t xml:space="preserve">готовый рабочий промт</w:t>
      </w:r>
      <w:r>
        <w:t xml:space="preserve"> </w:t>
      </w:r>
      <w:r>
        <w:t xml:space="preserve">(см. Приложение №1).</w:t>
      </w:r>
      <w:r>
        <w:t xml:space="preserve"> </w:t>
      </w:r>
      <w:r>
        <w:t xml:space="preserve">2. В конец промта вставляется необработанный список товаров (допускается копирование напрямую из Таблицы с сохранением ID строк и характеристик).</w:t>
      </w:r>
      <w:r>
        <w:t xml:space="preserve"> </w:t>
      </w:r>
      <w:r>
        <w:t xml:space="preserve">3. Нейросеть автоматически выполняет комплексный анализ (по типу, бренду, спец-свойствам), распределяет позиции по плоским группам и подбирает цифровые коды</w:t>
      </w:r>
      <w:r>
        <w:t xml:space="preserve"> </w:t>
      </w:r>
      <w:r>
        <w:rPr>
          <w:b/>
          <w:bCs/>
        </w:rPr>
        <w:t xml:space="preserve">ОКПД 2</w:t>
      </w:r>
      <w:r>
        <w:t xml:space="preserve">.</w:t>
      </w:r>
      <w:r>
        <w:t xml:space="preserve"> </w:t>
      </w:r>
      <w:r>
        <w:t xml:space="preserve">4. Специалист проводит верификацию (проверку) полученного от AI результата перед загрузкой в CRM/ERP.</w:t>
      </w:r>
    </w:p>
    <w:p>
      <w:r>
        <w:pict>
          <v:rect style="width:0;height:1.5pt" o:hralign="center" o:hrstd="t" o:hr="t"/>
        </w:pict>
      </w:r>
    </w:p>
    <w:bookmarkEnd w:id="23"/>
    <w:bookmarkStart w:id="24" w:name="приложение-1.-готовый-промт-для-ai"/>
    <w:p>
      <w:pPr>
        <w:pStyle w:val="Heading2"/>
      </w:pPr>
      <w:r>
        <w:rPr>
          <w:b/>
          <w:bCs/>
        </w:rPr>
        <w:t xml:space="preserve">Приложение №1. Готовый промт для AI</w:t>
      </w:r>
    </w:p>
    <w:p>
      <w:pPr>
        <w:pStyle w:val="SourceCode"/>
      </w:pPr>
      <w:r>
        <w:rPr>
          <w:rStyle w:val="VerbatimChar"/>
        </w:rPr>
        <w:t xml:space="preserve">Ты — эксперт по автоматизации закупок, категорийному менеджменту и работе с классификаторами продукции.</w:t>
      </w:r>
      <w:r>
        <w:br/>
      </w:r>
      <w:r>
        <w:br/>
      </w:r>
      <w:r>
        <w:rPr>
          <w:rStyle w:val="VerbatimChar"/>
        </w:rPr>
        <w:t xml:space="preserve">Моя цель: автоматически распределить список товаров по плоским (одноуровневым) категориям и подобрать код ОКПД 2 для каждой позиции. </w:t>
      </w:r>
      <w:r>
        <w:br/>
      </w:r>
      <w:r>
        <w:rPr>
          <w:rStyle w:val="VerbatimChar"/>
        </w:rPr>
        <w:t xml:space="preserve">Главная задача: сгруппировать позиции так, чтобы исключить ошибочную рассылку (спам) поставщикам. Если компания поставляет товары из одной группы, она не должна получать письма по товарам из другой.</w:t>
      </w:r>
      <w:r>
        <w:br/>
      </w:r>
      <w:r>
        <w:br/>
      </w:r>
      <w:r>
        <w:rPr>
          <w:rStyle w:val="VerbatimChar"/>
        </w:rPr>
        <w:t xml:space="preserve">При классификации жестко руководствуйся следующими правилами и критериями:</w:t>
      </w:r>
      <w:r>
        <w:br/>
      </w:r>
      <w:r>
        <w:br/>
      </w:r>
      <w:r>
        <w:rPr>
          <w:rStyle w:val="VerbatimChar"/>
        </w:rPr>
        <w:t xml:space="preserve">1. Группировка по типу товара и ключевым словам (Из регламента):</w:t>
      </w:r>
      <w:r>
        <w:br/>
      </w:r>
      <w:r>
        <w:rPr>
          <w:rStyle w:val="VerbatimChar"/>
        </w:rPr>
        <w:t xml:space="preserve">- Сканируй название товара на наличие корневых ключевых слов (например, "насос", "вентилятор", "клапан", "уплотнение"). </w:t>
      </w:r>
      <w:r>
        <w:br/>
      </w:r>
      <w:r>
        <w:rPr>
          <w:rStyle w:val="VerbatimChar"/>
        </w:rPr>
        <w:t xml:space="preserve">- Объединяй товары со схожим функционалом в одну укрупненную категорию.</w:t>
      </w:r>
      <w:r>
        <w:br/>
      </w:r>
      <w:r>
        <w:br/>
      </w:r>
      <w:r>
        <w:rPr>
          <w:rStyle w:val="VerbatimChar"/>
        </w:rPr>
        <w:t xml:space="preserve">2. Группировка по производителю и бренду (Из регламента):</w:t>
      </w:r>
      <w:r>
        <w:br/>
      </w:r>
      <w:r>
        <w:rPr>
          <w:rStyle w:val="VerbatimChar"/>
        </w:rPr>
        <w:t xml:space="preserve">- Ищи в названии бренда производителя (например, "Лиссант", "SNR"). Если бренд указывает на узкую специализацию компании (например, SNR — подшипники и уплотнения), используй это для точного определения категории.</w:t>
      </w:r>
      <w:r>
        <w:br/>
      </w:r>
      <w:r>
        <w:br/>
      </w:r>
      <w:r>
        <w:rPr>
          <w:rStyle w:val="VerbatimChar"/>
        </w:rPr>
        <w:t xml:space="preserve">3. Группировка по характеристикам (Из регламента):</w:t>
      </w:r>
      <w:r>
        <w:br/>
      </w:r>
      <w:r>
        <w:rPr>
          <w:rStyle w:val="VerbatimChar"/>
        </w:rPr>
        <w:t xml:space="preserve">- Анализируй сопутствующий текст в кавычках (класс безопасности, категория сейсмостойкости). Специфические свойства (например, Сейсмостойкость I или III для АЭС/опасных объектов) указывают на то, что поставщик должен иметь особые лицензии. Учитывай это, чтобы товары для обычного общепрома и спец-объектов не смешивались, если это критично для рынка поставщиков.</w:t>
      </w:r>
      <w:r>
        <w:br/>
      </w:r>
      <w:r>
        <w:br/>
      </w:r>
      <w:r>
        <w:rPr>
          <w:rStyle w:val="VerbatimChar"/>
        </w:rPr>
        <w:t xml:space="preserve">Правила вывода результата:</w:t>
      </w:r>
      <w:r>
        <w:br/>
      </w:r>
      <w:r>
        <w:rPr>
          <w:rStyle w:val="VerbatimChar"/>
        </w:rPr>
        <w:t xml:space="preserve">- Выведи строго плоский список категорий (БЕЗ подкатегорий). Каждая категория — это готовый рынок для рассылки пула поставщиков.</w:t>
      </w:r>
      <w:r>
        <w:br/>
      </w:r>
      <w:r>
        <w:rPr>
          <w:rStyle w:val="VerbatimChar"/>
        </w:rPr>
        <w:t xml:space="preserve">- Внутри категорий выведи позиции списком.</w:t>
      </w:r>
      <w:r>
        <w:br/>
      </w:r>
      <w:r>
        <w:rPr>
          <w:rStyle w:val="VerbatimChar"/>
        </w:rPr>
        <w:t xml:space="preserve">- ОБЯЗАТЕЛЬНО сохраняй исходную нумерацию строк (ID) перед названием товара. Не схлопывай одинаковые товары с разными ID.</w:t>
      </w:r>
      <w:r>
        <w:br/>
      </w:r>
      <w:r>
        <w:rPr>
          <w:rStyle w:val="VerbatimChar"/>
        </w:rPr>
        <w:t xml:space="preserve">- ОБЯЗАТЕЛЬНО сохраняй сопутствующие характеристики товара в кавычках.</w:t>
      </w:r>
      <w:r>
        <w:br/>
      </w:r>
      <w:r>
        <w:rPr>
          <w:rStyle w:val="VerbatimChar"/>
        </w:rPr>
        <w:t xml:space="preserve">- В конце каждой строки через тире ДОБАВЬ наиболее точный цифровой код ОКПД 2 (от 4 до 9 знаков).</w:t>
      </w:r>
      <w:r>
        <w:br/>
      </w:r>
      <w:r>
        <w:br/>
      </w:r>
      <w:r>
        <w:br/>
      </w:r>
      <w:r>
        <w:rPr>
          <w:rStyle w:val="VerbatimChar"/>
        </w:rPr>
        <w:t xml:space="preserve">Вот список товаров для группировки:</w:t>
      </w:r>
      <w:r>
        <w:br/>
      </w:r>
      <w:r>
        <w:br/>
      </w:r>
      <w:r>
        <w:br/>
      </w:r>
      <w:r>
        <w:rPr>
          <w:rStyle w:val="VerbatimChar"/>
        </w:rPr>
        <w:t xml:space="preserve">[ВСТАВИТЬ СПИСОК ТОВАРОВ ИХ ПОРЯДКОВЫЕ НОМЕРА И ХАРАКТЕРИСТИКИ]</w:t>
      </w:r>
      <w:r>
        <w:br/>
      </w:r>
    </w:p>
    <w:bookmarkEnd w:id="24"/>
    <w:bookmarkEnd w:id="25"/>
    <w:sectPr>
      <w:footnotePr>
        <w:numFmt w:val="decimal"/>
      </w:footnotePr>
      <w:type w:val="nextPage"/>
      <w:pgSz w:h="12240" w:orient="landscape" w:w="15840"/>
      <w:pgMar w:bottom="600" w:footer="0" w:gutter="0" w:header="0" w:left="1620" w:right="1440" w:top="555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Lora">
    <w:charset w:val="01"/>
    <w:family w:val="roman"/>
    <w:pitch w:val="variable"/>
  </w:font>
  <w:font w:name="Calibri">
    <w:charset w:val="01"/>
    <w:family w:val="roman"/>
    <w:pitch w:val="variable"/>
  </w:font>
  <w:font w:name="Nimbus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643"/>
  <w:autoHyphenation w:val="tru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uppressAutoHyphens w:val="true"/>
      <w:bidi w:val="0"/>
      <w:spacing w:after="200" w:before="0"/>
      <w:jc w:val="left"/>
    </w:pPr>
    <w:rPr>
      <w:rFonts w:ascii="Lora" w:cs="" w:cstheme="minorBidi" w:eastAsia="Cambria" w:eastAsiaTheme="minorHAnsi" w:hAnsi="Lora"/>
      <w:color w:val="auto"/>
      <w:kern w:val="0"/>
      <w:sz w:val="28"/>
      <w:szCs w:val="24"/>
      <w:lang w:bidi="ar-SA" w:eastAsia="en-US" w:val="en-US"/>
    </w:rPr>
  </w:style>
  <w:style w:styleId="Heading1" w:type="paragraph">
    <w:name w:val="Heading 1"/>
    <w:basedOn w:val="Normal"/>
    <w:next w:val="BodyText"/>
    <w:uiPriority w:val="9"/>
    <w:qFormat/>
    <w:pPr>
      <w:keepNext w:val="true"/>
      <w:keepLines/>
      <w:spacing w:after="0" w:before="480"/>
      <w:jc w:val="center"/>
      <w:outlineLvl w:val="0"/>
    </w:pPr>
    <w:rPr>
      <w:rFonts w:ascii="Lora" w:cs="" w:cstheme="majorBidi" w:eastAsia="" w:eastAsiaTheme="majorEastAsia" w:hAnsi="Lora"/>
      <w:b w:val="false"/>
      <w:bCs/>
      <w:color w:val="000000"/>
      <w:sz w:val="7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 w:val="true"/>
      <w:keepLines/>
      <w:spacing w:after="0" w:before="1701"/>
      <w:jc w:val="center"/>
      <w:outlineLvl w:val="1"/>
    </w:pPr>
    <w:rPr>
      <w:rFonts w:ascii="Lora" w:cs="" w:cstheme="majorBidi" w:eastAsia="" w:eastAsiaTheme="majorEastAsia" w:hAnsi="Lora"/>
      <w:b/>
      <w:bCs/>
      <w:color w:val="580000"/>
      <w:sz w:val="6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 w:val="true"/>
      <w:keepLines/>
      <w:spacing w:after="0" w:before="200"/>
      <w:outlineLvl w:val="2"/>
    </w:pPr>
    <w:rPr>
      <w:rFonts w:ascii="Lora" w:cs="" w:cstheme="majorBidi" w:eastAsia="" w:eastAsiaTheme="majorEastAsia" w:hAnsi="Lora"/>
      <w:b/>
      <w:bCs/>
      <w:color w:val="1E6A39"/>
      <w:sz w:val="48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 w:val="true"/>
      <w:keepLines/>
      <w:spacing w:after="0" w:before="200"/>
      <w:outlineLvl w:val="3"/>
    </w:pPr>
    <w:rPr>
      <w:rFonts w:ascii="Lora" w:cs="" w:cstheme="majorBidi" w:eastAsia="" w:eastAsiaTheme="majorEastAsia" w:hAnsi="Lora"/>
      <w:bCs/>
      <w:i w:val="false"/>
      <w:color w:themeColor="accent1" w:val="4F81BD"/>
      <w:sz w:val="40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 w:val="true"/>
      <w:keepLines/>
      <w:spacing w:after="0" w:before="200"/>
      <w:outlineLvl w:val="4"/>
    </w:pPr>
    <w:rPr>
      <w:rFonts w:ascii="Lora" w:cs="" w:cstheme="majorBidi" w:eastAsia="" w:eastAsiaTheme="majorEastAsia" w:hAnsi="Lora"/>
      <w:i/>
      <w:iCs/>
      <w:color w:themeColor="accent1" w:val="4F81BD"/>
      <w:sz w:val="40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 w:val="true"/>
      <w:keepLines/>
      <w:pBdr/>
      <w:spacing w:after="0" w:before="200"/>
      <w:outlineLvl w:val="5"/>
    </w:pPr>
    <w:rPr>
      <w:rFonts w:ascii="Lora" w:cs="" w:cstheme="majorBidi" w:eastAsia="" w:eastAsiaTheme="majorEastAsia" w:hAnsi="Lora"/>
      <w:b w:val="false"/>
      <w:outline w:val="false"/>
      <w:color w:val="B00000"/>
      <w:sz w:val="40"/>
      <w:szCs w:val="24"/>
      <w:shd w:fill="auto" w:val="clear"/>
    </w:rPr>
  </w:style>
  <w:style w:styleId="Heading7" w:type="paragraph">
    <w:name w:val="Heading 7"/>
    <w:basedOn w:val="Normal"/>
    <w:next w:val="BodyText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Nimbus Roman" w:hAnsi="Nimbus Roman"/>
      <w:b/>
      <w:i/>
      <w:sz w:val="28"/>
    </w:rPr>
  </w:style>
  <w:style w:customStyle="1" w:styleId="SectionNumber" w:type="character">
    <w:name w:val="Section Number"/>
    <w:basedOn w:val="BodyTextChar"/>
    <w:qFormat/>
    <w:rPr/>
  </w:style>
  <w:style w:styleId="Style5" w:type="character">
    <w:name w:val="Символ сноски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val="0000B0"/>
      <w:sz w:val="28"/>
      <w:u w:val="single"/>
    </w:rPr>
  </w:style>
  <w:style w:styleId="Style6" w:type="character">
    <w:name w:val="Символ концевой сноски"/>
    <w:qFormat/>
    <w:rPr/>
  </w:style>
  <w:style w:styleId="EndnoteReference" w:type="character">
    <w:name w:val="Endnote Reference"/>
    <w:rPr>
      <w:vertAlign w:val="superscript"/>
    </w:rPr>
  </w:style>
  <w:style w:styleId="Style7" w:type="paragraph">
    <w:name w:val="Заголовок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Style8" w:type="paragraph">
    <w:name w:val="Указатель"/>
    <w:basedOn w:val="Normal"/>
    <w:qFormat/>
    <w:pPr>
      <w:suppressLineNumbers/>
    </w:pPr>
    <w:rPr>
      <w:rFonts w:cs="Noto Sans Devanagari"/>
    </w:rPr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BodyText"/>
    <w:qFormat/>
    <w:pPr>
      <w:spacing w:after="36" w:before="36"/>
    </w:pPr>
    <w:rPr/>
  </w:style>
  <w:style w:styleId="Title" w:type="paragraph">
    <w:name w:val="Title"/>
    <w:basedOn w:val="Normal"/>
    <w:next w:val="BodyText"/>
    <w:qFormat/>
    <w:pPr>
      <w:keepNext w:val="true"/>
      <w:keepLines/>
      <w:spacing w:after="240" w:before="480" w:line="276" w:lineRule="auto"/>
      <w:ind w:left="283" w:right="283"/>
      <w:jc w:val="center"/>
    </w:pPr>
    <w:rPr>
      <w:rFonts w:ascii="Lora" w:cs="" w:cstheme="majorBidi" w:eastAsia="" w:eastAsiaTheme="majorEastAsia" w:hAnsi="Lora"/>
      <w:b/>
      <w:bCs/>
      <w:color w:val="000000"/>
      <w:sz w:val="60"/>
      <w:szCs w:val="36"/>
    </w:rPr>
  </w:style>
  <w:style w:styleId="Subtitle" w:type="paragraph">
    <w:name w:val="Subtitle"/>
    <w:basedOn w:val="Title"/>
    <w:next w:val="BodyText"/>
    <w:qFormat/>
    <w:pPr>
      <w:keepNext w:val="true"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 w:val="true"/>
      <w:keepLines/>
      <w:widowControl/>
      <w:suppressAutoHyphens w:val="true"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BodyText"/>
    <w:qFormat/>
    <w:pPr>
      <w:keepNext w:val="true"/>
      <w:keepLines/>
      <w:widowControl/>
      <w:suppressAutoHyphens w:val="true"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hanging="0" w:left="480" w:righ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/>
  </w:style>
  <w:style w:customStyle="1" w:styleId="Style9" w:type="paragraph">
    <w:name w:val="Фигура"/>
    <w:basedOn w:val="Normal"/>
    <w:qFormat/>
    <w:pPr/>
    <w:rPr/>
  </w:style>
  <w:style w:customStyle="1" w:styleId="CaptionedFigure" w:type="paragraph">
    <w:name w:val="Captioned Figure"/>
    <w:basedOn w:val="Style9"/>
    <w:qFormat/>
    <w:pPr>
      <w:keepNext w:val="true"/>
    </w:pPr>
    <w:rPr/>
  </w:style>
  <w:style w:styleId="IndexHeading" w:type="paragraph">
    <w:name w:val="Index Heading"/>
    <w:basedOn w:val="Style7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240" w:line="259" w:lineRule="auto"/>
      <w:outlineLvl w:val="9"/>
    </w:pPr>
    <w:rPr>
      <w:rFonts w:ascii="Calibri" w:asciiTheme="majorHAnsi" w:cs="" w:cstheme="majorBidi" w:eastAsia="" w:eastAsiaTheme="majorEastAsia" w:hAnsi="Calibri" w:hAnsiTheme="majorHAnsi"/>
      <w:b w:val="false"/>
      <w:bCs w:val="false"/>
      <w:color w:themeColor="accent1" w:themeShade="bf" w:val="365F91"/>
    </w:rPr>
  </w:style>
  <w:style w:styleId="TOC8" w:type="paragraph">
    <w:name w:val="TOC 8"/>
    <w:basedOn w:val="Style8"/>
    <w:pPr>
      <w:tabs>
        <w:tab w:pos="643" w:val="clear"/>
        <w:tab w:leader="dot" w:pos="7376" w:val="right"/>
      </w:tabs>
      <w:ind w:hanging="0" w:left="1984"/>
    </w:pPr>
    <w:rPr/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Application>LibreOffice/24.2.7.2$Linux_X86_64 LibreOffice_project/420$Build-2</Application>
  <AppVersion>15.0000</AppVersion>
  <Pages>2</Pages>
  <Words>53</Words>
  <Characters>281</Characters>
  <CharactersWithSpaces>370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2026-10-12T11:40:25Z</dcterms:created>
  <dcterms:modified xsi:type="dcterms:W3CDTF">2026-10-12T11:40:25Z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