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цвета-раскраски-емайлов"/>
    <w:p>
      <w:pPr>
        <w:pStyle w:val="Heading1"/>
      </w:pPr>
      <w:r>
        <w:t xml:space="preserve">Цвета раскраски емайлов</w:t>
      </w:r>
    </w:p>
    <w:bookmarkStart w:id="36" w:name="знание.-цвета-раскраски-емайлов"/>
    <w:p>
      <w:pPr>
        <w:pStyle w:val="Heading5"/>
      </w:pPr>
      <w:r>
        <w:t xml:space="preserve">Знание. Цвета раскраски емайлов</w:t>
      </w:r>
    </w:p>
    <w:p>
      <w:pPr>
        <w:pStyle w:val="FirstParagraph"/>
      </w:pPr>
      <w:r>
        <w:t xml:space="preserve">Цвет фона (заливки) ячейки с</w:t>
      </w:r>
      <w:r>
        <w:t xml:space="preserve"> </w:t>
      </w:r>
      <w:r>
        <w:rPr>
          <w:b/>
          <w:bCs/>
        </w:rPr>
        <w:t xml:space="preserve">Email-адресом поставщика</w:t>
      </w:r>
      <w:r>
        <w:t xml:space="preserve"> </w:t>
      </w:r>
      <w:r>
        <w:t xml:space="preserve">может быть раскрашен разними цветами. Расшифровка (смысл, значение) цвета зависит от листа и зоны (места на листе) в которой расположен</w:t>
      </w:r>
      <w:r>
        <w:t xml:space="preserve"> </w:t>
      </w:r>
      <w:r>
        <w:rPr>
          <w:b/>
          <w:bCs/>
          <w:i/>
          <w:iCs/>
        </w:rPr>
        <w:t xml:space="preserve">Email-адрес поставщика</w:t>
      </w:r>
      <w:r>
        <w:t xml:space="preserve">, то есть один и тот же цвет в разных частях таблицы может иметь разную расшифровку.</w:t>
      </w:r>
    </w:p>
    <w:p>
      <w:pPr>
        <w:pStyle w:val="BodyText"/>
      </w:pPr>
      <w:r>
        <w:t xml:space="preserve">Краткую справку с цветами и их значениями можно найти на листе</w:t>
      </w:r>
      <w:r>
        <w:t xml:space="preserve"> </w:t>
      </w:r>
      <w:r>
        <w:t xml:space="preserve">“3-3 Выбор поставщиков”</w:t>
      </w:r>
      <w:r>
        <w:t xml:space="preserve"> </w:t>
      </w:r>
      <w:r>
        <w:t xml:space="preserve">в нижней части листа правее столбца</w:t>
      </w:r>
      <w:r>
        <w:t xml:space="preserve"> </w:t>
      </w:r>
      <w:r>
        <w:rPr>
          <w:b/>
          <w:bCs/>
        </w:rPr>
        <w:t xml:space="preserve">AA</w:t>
      </w:r>
    </w:p>
    <w:bookmarkStart w:id="35" w:name="фото"/>
    <w:p>
      <w:pPr>
        <w:pStyle w:val="Heading6"/>
      </w:pPr>
      <w:r>
        <w:t xml:space="preserve">Фото</w:t>
      </w:r>
    </w:p>
    <w:p>
      <w:pPr>
        <w:pStyle w:val="FirstParagraph"/>
      </w:pPr>
      <w:r>
        <w:drawing>
          <wp:inline>
            <wp:extent cx="8115300" cy="4564856"/>
            <wp:effectExtent b="0" l="0" r="0" t="0"/>
            <wp:docPr descr="alt text" title="" id="21" name="Picture"/>
            <a:graphic>
              <a:graphicData uri="http://schemas.openxmlformats.org/drawingml/2006/picture">
                <pic:pic>
                  <pic:nvPicPr>
                    <pic:cNvPr descr="imgs/2026-08-13_20-0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24" name="Picture"/>
            <a:graphic>
              <a:graphicData uri="http://schemas.openxmlformats.org/drawingml/2006/picture">
                <pic:pic>
                  <pic:nvPicPr>
                    <pic:cNvPr descr="imgs/2026-08-14_01-0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27" name="Picture"/>
            <a:graphic>
              <a:graphicData uri="http://schemas.openxmlformats.org/drawingml/2006/picture">
                <pic:pic>
                  <pic:nvPicPr>
                    <pic:cNvPr descr="imgs/2026-08-14_01-1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30" name="Picture"/>
            <a:graphic>
              <a:graphicData uri="http://schemas.openxmlformats.org/drawingml/2006/picture">
                <pic:pic>
                  <pic:nvPicPr>
                    <pic:cNvPr descr="imgs/2026-08-14_01-1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alt text" title="" id="33" name="Picture"/>
            <a:graphic>
              <a:graphicData uri="http://schemas.openxmlformats.org/drawingml/2006/picture">
                <pic:pic>
                  <pic:nvPicPr>
                    <pic:cNvPr descr="imgs/2026-08-14_01-1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</w:t>
      </w:r>
    </w:p>
    <w:p>
      <w:pPr>
        <w:pStyle w:val="Compact"/>
        <w:numPr>
          <w:ilvl w:val="0"/>
          <w:numId w:val="1001"/>
        </w:numPr>
      </w:pPr>
      <w:r>
        <w:t xml:space="preserve">Краткая справка с цветами.</w:t>
      </w:r>
    </w:p>
    <w:p>
      <w:pPr>
        <w:pStyle w:val="Compact"/>
        <w:numPr>
          <w:ilvl w:val="0"/>
          <w:numId w:val="1001"/>
        </w:numPr>
      </w:pPr>
      <w:r>
        <w:t xml:space="preserve">Основные обозначение поставщика</w:t>
      </w:r>
    </w:p>
    <w:p>
      <w:pPr>
        <w:pStyle w:val="Compact"/>
        <w:numPr>
          <w:ilvl w:val="0"/>
          <w:numId w:val="1001"/>
        </w:numPr>
      </w:pPr>
      <w:r>
        <w:t xml:space="preserve">Поставщики с одинаковой ценой</w:t>
      </w:r>
    </w:p>
    <w:p>
      <w:pPr>
        <w:pStyle w:val="Compact"/>
        <w:numPr>
          <w:ilvl w:val="0"/>
          <w:numId w:val="1001"/>
        </w:numPr>
      </w:pPr>
      <w:r>
        <w:t xml:space="preserve">Рейтинг поставщиков</w:t>
      </w:r>
    </w:p>
    <w:p>
      <w:pPr>
        <w:pStyle w:val="Compact"/>
        <w:numPr>
          <w:ilvl w:val="0"/>
          <w:numId w:val="1001"/>
        </w:numPr>
      </w:pPr>
      <w:r>
        <w:t xml:space="preserve">Раскраска отправленных писем</w:t>
      </w:r>
    </w:p>
    <w:bookmarkEnd w:id="35"/>
    <w:bookmarkEnd w:id="36"/>
    <w:bookmarkStart w:id="44" w:name="группы-раскраски"/>
    <w:p>
      <w:pPr>
        <w:pStyle w:val="Heading4"/>
      </w:pPr>
      <w:r>
        <w:t xml:space="preserve">Группы раскраски</w:t>
      </w:r>
    </w:p>
    <w:bookmarkStart w:id="37" w:name="основные-обозначение-поставщика"/>
    <w:p>
      <w:pPr>
        <w:pStyle w:val="Heading5"/>
      </w:pPr>
      <w:r>
        <w:t xml:space="preserve">Основные обозначение поставщика</w:t>
      </w:r>
    </w:p>
    <w:p>
      <w:pPr>
        <w:pStyle w:val="FirstParagraph"/>
      </w:pPr>
      <w:r>
        <w:t xml:space="preserve">Эта группа статусов предназначена для экспресс-оценки надёжности, рисков и технического соответствия поставщика на этапах сбора коммерческих предложений (КП), проработки товарных групп и финального выбора исполнителя. Раскраска встречается на листах</w:t>
      </w:r>
      <w:r>
        <w:t xml:space="preserve"> </w:t>
      </w:r>
      <w:r>
        <w:rPr>
          <w:b/>
          <w:bCs/>
          <w:i/>
          <w:iCs/>
        </w:rPr>
        <w:t xml:space="preserve">1-1 Сбор КП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1-2 Запросы по товарным группам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3-3 Выбор поставщиков</w:t>
      </w:r>
      <w:r>
        <w:t xml:space="preserve">.</w:t>
      </w:r>
      <w:r>
        <w:t xml:space="preserve"> </w:t>
      </w:r>
      <w:r>
        <w:t xml:space="preserve">- Официальный дилер</w:t>
      </w:r>
      <w:r>
        <w:t xml:space="preserve"> </w:t>
      </w:r>
      <w:r>
        <w:t xml:space="preserve">- Покупали раньше у него</w:t>
      </w:r>
      <w:r>
        <w:t xml:space="preserve"> </w:t>
      </w:r>
      <w:r>
        <w:t xml:space="preserve">- Предлагает аналог</w:t>
      </w:r>
      <w:r>
        <w:t xml:space="preserve"> </w:t>
      </w:r>
      <w:r>
        <w:t xml:space="preserve">- Плохой</w:t>
      </w:r>
    </w:p>
    <w:bookmarkEnd w:id="37"/>
    <w:bookmarkStart w:id="38" w:name="поставщики-с-одинаковой-ценой"/>
    <w:p>
      <w:pPr>
        <w:pStyle w:val="Heading5"/>
      </w:pPr>
      <w:r>
        <w:t xml:space="preserve">Поставщики с одинаковой ценой</w:t>
      </w:r>
    </w:p>
    <w:p>
      <w:pPr>
        <w:pStyle w:val="FirstParagraph"/>
      </w:pPr>
      <w:r>
        <w:t xml:space="preserve">Группирует поставщиков и их предложения с одинаковой ценой на листе</w:t>
      </w:r>
      <w:r>
        <w:t xml:space="preserve"> </w:t>
      </w:r>
      <w:r>
        <w:rPr>
          <w:b/>
          <w:bCs/>
          <w:i/>
          <w:iCs/>
        </w:rPr>
        <w:t xml:space="preserve">“3-3 Выбор поставщиков”</w:t>
      </w:r>
      <w:r>
        <w:t xml:space="preserve"> </w:t>
      </w:r>
      <w:r>
        <w:t xml:space="preserve">в 7 блоках с информацией о предложение от поставщиков где раскрашиваются не только ячейки с поставщиком, но и все ячейки этих предложений.</w:t>
      </w:r>
      <w:r>
        <w:t xml:space="preserve"> </w:t>
      </w:r>
      <w:r>
        <w:t xml:space="preserve">- Первая группа с одинаковой ценой</w:t>
      </w:r>
      <w:r>
        <w:t xml:space="preserve"> </w:t>
      </w:r>
      <w:r>
        <w:t xml:space="preserve">- Вторая группа с одинаковой ценой</w:t>
      </w:r>
      <w:r>
        <w:t xml:space="preserve"> </w:t>
      </w:r>
      <w:r>
        <w:t xml:space="preserve">- Третья группа с одинаковой ценой</w:t>
      </w:r>
    </w:p>
    <w:bookmarkEnd w:id="38"/>
    <w:bookmarkStart w:id="39" w:name="рейтинг-поставщиков"/>
    <w:p>
      <w:pPr>
        <w:pStyle w:val="Heading5"/>
      </w:pPr>
      <w:r>
        <w:t xml:space="preserve">Рейтинг поставщиков</w:t>
      </w:r>
    </w:p>
    <w:p>
      <w:pPr>
        <w:pStyle w:val="FirstParagraph"/>
      </w:pPr>
      <w:r>
        <w:t xml:space="preserve">Рейтинг известных нам поставщиков и их надежность по нашей оценки и опыту взаимодействия с ними Эта группа встречается на листах</w:t>
      </w:r>
      <w:r>
        <w:t xml:space="preserve"> </w:t>
      </w:r>
      <w:r>
        <w:rPr>
          <w:b/>
          <w:bCs/>
          <w:i/>
          <w:iCs/>
        </w:rPr>
        <w:t xml:space="preserve">1-2 Запросы по товарным группам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3-3 Выбор поставщиков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Плохой</w:t>
      </w:r>
    </w:p>
    <w:p>
      <w:pPr>
        <w:pStyle w:val="Compact"/>
        <w:numPr>
          <w:ilvl w:val="0"/>
          <w:numId w:val="1002"/>
        </w:numPr>
      </w:pPr>
      <w:r>
        <w:t xml:space="preserve">Хороший</w:t>
      </w:r>
    </w:p>
    <w:p>
      <w:pPr>
        <w:pStyle w:val="Compact"/>
        <w:numPr>
          <w:ilvl w:val="0"/>
          <w:numId w:val="1002"/>
        </w:numPr>
      </w:pPr>
      <w:r>
        <w:t xml:space="preserve">Средний</w:t>
      </w:r>
    </w:p>
    <w:p>
      <w:pPr>
        <w:pStyle w:val="Compact"/>
        <w:numPr>
          <w:ilvl w:val="0"/>
          <w:numId w:val="1002"/>
        </w:numPr>
      </w:pPr>
      <w:r>
        <w:t xml:space="preserve">Не понятно</w:t>
      </w:r>
    </w:p>
    <w:bookmarkEnd w:id="39"/>
    <w:bookmarkStart w:id="40" w:name="раскраска-отправленных-писем."/>
    <w:p>
      <w:pPr>
        <w:pStyle w:val="Heading5"/>
      </w:pPr>
      <w:r>
        <w:t xml:space="preserve">Раскраска отправленных писем.</w:t>
      </w:r>
    </w:p>
    <w:p>
      <w:pPr>
        <w:pStyle w:val="FirstParagraph"/>
      </w:pPr>
      <w:r>
        <w:t xml:space="preserve">Раскраска информирует о результате отправки письма поставщику используется на листе</w:t>
      </w:r>
      <w:r>
        <w:t xml:space="preserve"> </w:t>
      </w:r>
      <w:r>
        <w:rPr>
          <w:b/>
          <w:bCs/>
          <w:i/>
          <w:iCs/>
        </w:rPr>
        <w:t xml:space="preserve">1-2 Запросы по товарным группам</w:t>
      </w:r>
      <w:r>
        <w:t xml:space="preserve">.</w:t>
      </w:r>
    </w:p>
    <w:p>
      <w:pPr>
        <w:pStyle w:val="BodyText"/>
      </w:pPr>
      <w:r>
        <w:t xml:space="preserve">Не отправляли при белом цвете заливки.</w:t>
      </w:r>
      <w:r>
        <w:t xml:space="preserve"> </w:t>
      </w:r>
      <w:r>
        <w:t xml:space="preserve">Ошибка отправки</w:t>
      </w:r>
      <w:r>
        <w:t xml:space="preserve"> </w:t>
      </w:r>
      <w:r>
        <w:t xml:space="preserve">E-mail отправлен</w:t>
      </w:r>
      <w:r>
        <w:t xml:space="preserve"> </w:t>
      </w:r>
      <w:r>
        <w:t xml:space="preserve">От данного E-mail получен ответ</w:t>
      </w:r>
    </w:p>
    <w:bookmarkEnd w:id="40"/>
    <w:bookmarkStart w:id="41" w:name="лист.-1-1-сбор-кп"/>
    <w:p>
      <w:pPr>
        <w:pStyle w:val="Heading5"/>
      </w:pPr>
      <w:r>
        <w:t xml:space="preserve">Лист. 1-1 Сбор КП</w:t>
      </w:r>
    </w:p>
    <w:p>
      <w:pPr>
        <w:pStyle w:val="Compact"/>
        <w:numPr>
          <w:ilvl w:val="0"/>
          <w:numId w:val="1003"/>
        </w:numPr>
      </w:pPr>
      <w:r>
        <w:t xml:space="preserve">Основные обозначение поставщика. Используется шапке листа в блоке с предложениями товаров</w:t>
      </w:r>
    </w:p>
    <w:p>
      <w:pPr>
        <w:pStyle w:val="Compact"/>
        <w:numPr>
          <w:ilvl w:val="0"/>
          <w:numId w:val="1003"/>
        </w:numPr>
      </w:pPr>
      <w:r>
        <w:t xml:space="preserve">Рейтинг поставщиков. Используется шапке листа в блоке с предложениями товаров</w:t>
      </w:r>
    </w:p>
    <w:bookmarkEnd w:id="41"/>
    <w:bookmarkStart w:id="42" w:name="лист.-1-2-запросы-по-товарным-группам"/>
    <w:p>
      <w:pPr>
        <w:pStyle w:val="Heading5"/>
      </w:pPr>
      <w:r>
        <w:t xml:space="preserve">Лист. 1-2 Запросы по товарным группам</w:t>
      </w:r>
    </w:p>
    <w:p>
      <w:pPr>
        <w:pStyle w:val="FirstParagraph"/>
      </w:pPr>
      <w:r>
        <w:rPr>
          <w:b/>
          <w:bCs/>
        </w:rPr>
        <w:t xml:space="preserve">Используются раскраски</w:t>
      </w:r>
      <w:r>
        <w:t xml:space="preserve"> </w:t>
      </w:r>
      <w:r>
        <w:t xml:space="preserve">- Раскраска отправленных писем. Используется во второй строке группы товаров в блоке с email поставщиков.</w:t>
      </w:r>
      <w:r>
        <w:t xml:space="preserve"> </w:t>
      </w:r>
      <w:r>
        <w:t xml:space="preserve">- Рейтинг поставщиков. Используется в первой строке группы товаров в блоке с email поставщиков.</w:t>
      </w:r>
      <w:r>
        <w:t xml:space="preserve"> </w:t>
      </w:r>
      <w:r>
        <w:t xml:space="preserve">- Основные обозначение поставщика. Используется в первой строке группы товаров в блоке с email поставщиков.</w:t>
      </w:r>
    </w:p>
    <w:bookmarkEnd w:id="42"/>
    <w:bookmarkStart w:id="43" w:name="лист.-3-3-выбор-поставщиков"/>
    <w:p>
      <w:pPr>
        <w:pStyle w:val="Heading5"/>
      </w:pPr>
      <w:r>
        <w:t xml:space="preserve">Лист. 3-3 Выбор поставщиков</w:t>
      </w:r>
    </w:p>
    <w:p>
      <w:pPr>
        <w:pStyle w:val="Compact"/>
        <w:numPr>
          <w:ilvl w:val="0"/>
          <w:numId w:val="1004"/>
        </w:numPr>
      </w:pPr>
      <w:r>
        <w:t xml:space="preserve">Поставщики с одинаковой ценой. Используется в 7 блоках с информацией о предложение от поставщиков.</w:t>
      </w:r>
    </w:p>
    <w:p>
      <w:pPr>
        <w:pStyle w:val="Compact"/>
        <w:numPr>
          <w:ilvl w:val="0"/>
          <w:numId w:val="1004"/>
        </w:numPr>
      </w:pPr>
      <w:r>
        <w:t xml:space="preserve">Рейтинг поставщиков. Используется в 7 блоках с информацией о предложение от поставщиков.</w:t>
      </w:r>
    </w:p>
    <w:p>
      <w:pPr>
        <w:pStyle w:val="Compact"/>
        <w:numPr>
          <w:ilvl w:val="0"/>
          <w:numId w:val="1004"/>
        </w:numPr>
      </w:pPr>
      <w:r>
        <w:t xml:space="preserve">Основные обозначение поставщика. Используется в 7 блоках с информацией о предложение от поставщиков.</w:t>
      </w:r>
    </w:p>
    <w:bookmarkEnd w:id="43"/>
    <w:bookmarkEnd w:id="44"/>
    <w:bookmarkEnd w:id="45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2026-10-12T11:40:27Z</dcterms:created>
  <dcterms:modified xsi:type="dcterms:W3CDTF">2026-10-12T11:40:27Z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