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Example Table with Merged Cells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gridSpan w:val="4"/>
          </w:tcPr>
          <w:p w:rsidR="00000000" w:rsidDel="00000000" w:rsidP="00000000" w:rsidRDefault="00000000" w:rsidRPr="00000000" w14:paraId="00000002">
            <w:pPr>
              <w:rPr/>
            </w:pPr>
            <w:r w:rsidDel="00000000" w:rsidR="00000000" w:rsidRPr="00000000">
              <w:rPr>
                <w:rtl w:val="0"/>
              </w:rPr>
              <w:t xml:space="preserve">Header Row - This cell spans across all four columns and provides a title or summary for the entire table content below.</w:t>
            </w:r>
          </w:p>
        </w:tc>
      </w:tr>
      <w:tr>
        <w:trPr>
          <w:cantSplit w:val="0"/>
          <w:tblHeader w:val="0"/>
        </w:trPr>
        <w:tc>
          <w:tcPr>
            <w:vMerge w:val="restart"/>
          </w:tcPr>
          <w:p w:rsidR="00000000" w:rsidDel="00000000" w:rsidP="00000000" w:rsidRDefault="00000000" w:rsidRPr="00000000" w14:paraId="00000006">
            <w:pPr>
              <w:rPr/>
            </w:pPr>
            <w:r w:rsidDel="00000000" w:rsidR="00000000" w:rsidRPr="00000000">
              <w:rPr>
                <w:rtl w:val="0"/>
              </w:rPr>
              <w:t xml:space="preserve">Merged Vertically - This cell spans two rows and typically contains category labels or descriptive data.</w:t>
            </w:r>
          </w:p>
        </w:tc>
        <w:tc>
          <w:tcPr/>
          <w:p w:rsidR="00000000" w:rsidDel="00000000" w:rsidP="00000000" w:rsidRDefault="00000000" w:rsidRPr="00000000" w14:paraId="00000007">
            <w:pPr>
              <w:rPr/>
            </w:pPr>
            <w:r w:rsidDel="00000000" w:rsidR="00000000" w:rsidRPr="00000000">
              <w:rPr>
                <w:rtl w:val="0"/>
              </w:rPr>
              <w:t xml:space="preserve">This is cell (1,1) with additional details explaining its purpose.</w:t>
            </w:r>
          </w:p>
        </w:tc>
        <w:tc>
          <w:tcPr/>
          <w:p w:rsidR="00000000" w:rsidDel="00000000" w:rsidP="00000000" w:rsidRDefault="00000000" w:rsidRPr="00000000" w14:paraId="00000008">
            <w:pPr>
              <w:rPr/>
            </w:pPr>
            <w:r w:rsidDel="00000000" w:rsidR="00000000" w:rsidRPr="00000000">
              <w:rPr>
                <w:rtl w:val="0"/>
              </w:rPr>
              <w:t xml:space="preserve">This is cell (1,2), often used for notes or extended content.</w:t>
            </w:r>
          </w:p>
        </w:tc>
        <w:tc>
          <w:tcPr/>
          <w:p w:rsidR="00000000" w:rsidDel="00000000" w:rsidP="00000000" w:rsidRDefault="00000000" w:rsidRPr="00000000" w14:paraId="00000009">
            <w:pPr>
              <w:rPr/>
            </w:pPr>
            <w:r w:rsidDel="00000000" w:rsidR="00000000" w:rsidRPr="00000000">
              <w:rPr>
                <w:rtl w:val="0"/>
              </w:rPr>
              <w:t xml:space="preserve">This is cell (1,3) which can hold further explanations or data.</w:t>
            </w:r>
          </w:p>
        </w:tc>
      </w:tr>
      <w:tr>
        <w:trPr>
          <w:cantSplit w:val="0"/>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This is cell (2,1), part of the same row as the vertically merged cell.</w:t>
            </w:r>
          </w:p>
        </w:tc>
        <w:tc>
          <w:tcPr/>
          <w:p w:rsidR="00000000" w:rsidDel="00000000" w:rsidP="00000000" w:rsidRDefault="00000000" w:rsidRPr="00000000" w14:paraId="0000000C">
            <w:pPr>
              <w:rPr/>
            </w:pPr>
            <w:r w:rsidDel="00000000" w:rsidR="00000000" w:rsidRPr="00000000">
              <w:rPr>
                <w:rtl w:val="0"/>
              </w:rPr>
              <w:t xml:space="preserve">This is cell (2,2) with more in-depth information.</w:t>
            </w:r>
          </w:p>
        </w:tc>
        <w:tc>
          <w:tcPr/>
          <w:p w:rsidR="00000000" w:rsidDel="00000000" w:rsidP="00000000" w:rsidRDefault="00000000" w:rsidRPr="00000000" w14:paraId="0000000D">
            <w:pPr>
              <w:rPr/>
            </w:pPr>
            <w:r w:rsidDel="00000000" w:rsidR="00000000" w:rsidRPr="00000000">
              <w:rPr>
                <w:rtl w:val="0"/>
              </w:rPr>
              <w:t xml:space="preserve">This is cell (2,3), sometimes used to reference other data.</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Cell (3,0) begins a new row and could indicate a different section.</w:t>
            </w:r>
          </w:p>
        </w:tc>
        <w:tc>
          <w:tcPr/>
          <w:p w:rsidR="00000000" w:rsidDel="00000000" w:rsidP="00000000" w:rsidRDefault="00000000" w:rsidRPr="00000000" w14:paraId="0000000F">
            <w:pPr>
              <w:rPr/>
            </w:pPr>
            <w:r w:rsidDel="00000000" w:rsidR="00000000" w:rsidRPr="00000000">
              <w:rPr>
                <w:rtl w:val="0"/>
              </w:rPr>
              <w:t xml:space="preserve">Cell (3,1) continues with additional section-specific content.</w:t>
            </w:r>
          </w:p>
        </w:tc>
        <w:tc>
          <w:tcPr/>
          <w:p w:rsidR="00000000" w:rsidDel="00000000" w:rsidP="00000000" w:rsidRDefault="00000000" w:rsidRPr="00000000" w14:paraId="00000010">
            <w:pPr>
              <w:rPr/>
            </w:pPr>
            <w:r w:rsidDel="00000000" w:rsidR="00000000" w:rsidRPr="00000000">
              <w:rPr>
                <w:rtl w:val="0"/>
              </w:rPr>
              <w:t xml:space="preserve">Cell (3,2) may contain summaries or statistical info.</w:t>
            </w:r>
          </w:p>
        </w:tc>
        <w:tc>
          <w:tcPr/>
          <w:p w:rsidR="00000000" w:rsidDel="00000000" w:rsidP="00000000" w:rsidRDefault="00000000" w:rsidRPr="00000000" w14:paraId="00000011">
            <w:pPr>
              <w:rPr/>
            </w:pPr>
            <w:r w:rsidDel="00000000" w:rsidR="00000000" w:rsidRPr="00000000">
              <w:rPr>
                <w:rtl w:val="0"/>
              </w:rPr>
              <w:t xml:space="preserve">Cell (3,3) typically concludes a row with results or notes.</w:t>
            </w:r>
          </w:p>
        </w:tc>
      </w:tr>
    </w:tbl>
    <w:p w:rsidR="00000000" w:rsidDel="00000000" w:rsidP="00000000" w:rsidRDefault="00000000" w:rsidRPr="00000000" w14:paraId="00000012">
      <w:pPr>
        <w:pStyle w:val="Heading1"/>
        <w:rPr>
          <w:rFonts w:ascii="Arial" w:cs="Arial" w:eastAsia="Arial" w:hAnsi="Arial"/>
        </w:rPr>
      </w:pPr>
      <w:bookmarkStart w:colFirst="0" w:colLast="0" w:name="_heading=h.nlvjyofsydd1" w:id="0"/>
      <w:bookmarkEnd w:id="0"/>
      <w:r w:rsidDel="00000000" w:rsidR="00000000" w:rsidRPr="00000000">
        <w:rPr>
          <w:rtl w:val="0"/>
        </w:rPr>
        <w:t xml:space="preserve">Example Table with Long context</w:t>
      </w:r>
      <w:r w:rsidDel="00000000" w:rsidR="00000000" w:rsidRPr="00000000">
        <w:rPr>
          <w:rtl w:val="0"/>
        </w:rPr>
      </w:r>
    </w:p>
    <w:tbl>
      <w:tblPr>
        <w:tblStyle w:val="Table2"/>
        <w:tblpPr w:leftFromText="180" w:rightFromText="180" w:topFromText="180" w:bottomFromText="180" w:vertAnchor="text" w:horzAnchor="text" w:tblpX="0" w:tblpY="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5"/>
        <w:gridCol w:w="4641"/>
        <w:tblGridChange w:id="0">
          <w:tblGrid>
            <w:gridCol w:w="4375"/>
            <w:gridCol w:w="4641"/>
          </w:tblGrid>
        </w:tblGridChange>
      </w:tblGrid>
      <w:tr>
        <w:trPr>
          <w:cantSplit w:val="0"/>
          <w:tblHeader w:val="0"/>
        </w:trPr>
        <w:tc>
          <w:tcPr>
            <w:shd w:fill="d9f2d0" w:val="clear"/>
          </w:tcPr>
          <w:p w:rsidR="00000000" w:rsidDel="00000000" w:rsidP="00000000" w:rsidRDefault="00000000" w:rsidRPr="00000000" w14:paraId="00000013">
            <w:pPr>
              <w:jc w:val="both"/>
              <w:rPr>
                <w:rFonts w:ascii="Georgia" w:cs="Georgia" w:eastAsia="Georgia" w:hAnsi="Georgia"/>
              </w:rPr>
            </w:pPr>
            <w:r w:rsidDel="00000000" w:rsidR="00000000" w:rsidRPr="00000000">
              <w:rPr>
                <w:rFonts w:ascii="Georgia" w:cs="Georgia" w:eastAsia="Georgia" w:hAnsi="Georgia"/>
                <w:rtl w:val="0"/>
              </w:rPr>
              <w:t xml:space="preserve">Optiunea I</w:t>
            </w:r>
          </w:p>
        </w:tc>
        <w:tc>
          <w:tcPr>
            <w:shd w:fill="d9f2d0" w:val="clear"/>
          </w:tcPr>
          <w:p w:rsidR="00000000" w:rsidDel="00000000" w:rsidP="00000000" w:rsidRDefault="00000000" w:rsidRPr="00000000" w14:paraId="00000014">
            <w:pPr>
              <w:jc w:val="both"/>
              <w:rPr>
                <w:rFonts w:ascii="Georgia" w:cs="Georgia" w:eastAsia="Georgia" w:hAnsi="Georgia"/>
              </w:rPr>
            </w:pPr>
            <w:r w:rsidDel="00000000" w:rsidR="00000000" w:rsidRPr="00000000">
              <w:rPr>
                <w:rFonts w:ascii="Georgia" w:cs="Georgia" w:eastAsia="Georgia" w:hAnsi="Georgia"/>
                <w:rtl w:val="0"/>
              </w:rPr>
              <w:t xml:space="preserve">Optiunea II</w:t>
            </w:r>
          </w:p>
        </w:tc>
      </w:tr>
      <w:tr>
        <w:trPr>
          <w:cantSplit w:val="0"/>
          <w:tblHeader w:val="0"/>
        </w:trPr>
        <w:tc>
          <w:tcPr/>
          <w:p w:rsidR="00000000" w:rsidDel="00000000" w:rsidP="00000000" w:rsidRDefault="00000000" w:rsidRPr="00000000" w14:paraId="00000015">
            <w:pPr>
              <w:jc w:val="both"/>
              <w:rPr>
                <w:rFonts w:ascii="Georgia" w:cs="Georgia" w:eastAsia="Georgia" w:hAnsi="Georgia"/>
              </w:rPr>
            </w:pPr>
            <w:r w:rsidDel="00000000" w:rsidR="00000000" w:rsidRPr="00000000">
              <w:rPr>
                <w:rFonts w:ascii="Georgia" w:cs="Georgia" w:eastAsia="Georgia" w:hAnsi="Georgia"/>
                <w:rtl w:val="0"/>
              </w:rPr>
              <w:t xml:space="preserve">Conceput sa fie utilizat pentru gestionarea si automatizarea fluxului de lucru intr-o platforma de e-learning.</w:t>
              <w:br w:type="textWrapping"/>
              <w:br w:type="textWrapping"/>
            </w:r>
            <w:r w:rsidDel="00000000" w:rsidR="00000000" w:rsidRPr="00000000">
              <w:rPr>
                <w:rFonts w:ascii="Georgia" w:cs="Georgia" w:eastAsia="Georgia" w:hAnsi="Georgia"/>
                <w:b w:val="1"/>
                <w:rtl w:val="0"/>
              </w:rPr>
              <w:t xml:space="preserve">NU este disponibil pentru utilizatorii care</w:t>
            </w:r>
            <w:r w:rsidDel="00000000" w:rsidR="00000000" w:rsidRPr="00000000">
              <w:rPr>
                <w:rFonts w:ascii="Georgia" w:cs="Georgia" w:eastAsia="Georgia" w:hAnsi="Georgia"/>
                <w:rtl w:val="0"/>
              </w:rPr>
              <w:t xml:space="preserve">:</w:t>
            </w:r>
          </w:p>
          <w:p w:rsidR="00000000" w:rsidDel="00000000" w:rsidP="00000000" w:rsidRDefault="00000000" w:rsidRPr="00000000" w14:paraId="00000016">
            <w:pPr>
              <w:jc w:val="both"/>
              <w:rPr>
                <w:rFonts w:ascii="Georgia" w:cs="Georgia" w:eastAsia="Georgia" w:hAnsi="Georgia"/>
              </w:rPr>
            </w:pPr>
            <w:r w:rsidDel="00000000" w:rsidR="00000000" w:rsidRPr="00000000">
              <w:rPr>
                <w:rFonts w:ascii="Georgia" w:cs="Georgia" w:eastAsia="Georgia" w:hAnsi="Georgia"/>
                <w:rtl w:val="0"/>
              </w:rPr>
              <w:br w:type="textWrapping"/>
              <w:t xml:space="preserve">• Nu au confirmat adresa de email prin link-ul de verificare;</w:t>
              <w:br w:type="textWrapping"/>
              <w:t xml:space="preserve">• Au conturi inactive de peste 30 de zile sau nu s-au autentificat in ultimele 60 de zile;</w:t>
              <w:br w:type="textWrapping"/>
              <w:t xml:space="preserve">• Nu au completat profilul cu nume, institutie si domeniu de studiu;</w:t>
              <w:br w:type="textWrapping"/>
              <w:t xml:space="preserve">• Au incalcat regulile de conduita prin plagiate, mesaje ofensatoare sau hartuire;</w:t>
              <w:br w:type="textWrapping"/>
              <w:t xml:space="preserve">• Utilizeaza adrese de email temporare ori anonime care nu pot fi validate;</w:t>
              <w:br w:type="textWrapping"/>
              <w:t xml:space="preserve">• Nu au acceptat termenii si conditiile actualizate ale serviciului;</w:t>
              <w:br w:type="textWrapping"/>
              <w:t xml:space="preserve">• Sunt inscrisi in programe beta cu acces restrictionat fara invitatie oficiala;</w:t>
              <w:br w:type="textWrapping"/>
              <w:t xml:space="preserve">• Au depasit limita de cursuri gratuite disponibile simultan fara abonament activ;</w:t>
              <w:br w:type="textWrapping"/>
              <w:t xml:space="preserve">• Se afla in procedura de rambursare a fondurilor pentru achizitii anterioare;</w:t>
              <w:br w:type="textWrapping"/>
              <w:t xml:space="preserve">• Sunt conturi automate nevalidabile prin procedura captcha si test uman.</w:t>
            </w:r>
          </w:p>
        </w:tc>
        <w:tc>
          <w:tcPr/>
          <w:p w:rsidR="00000000" w:rsidDel="00000000" w:rsidP="00000000" w:rsidRDefault="00000000" w:rsidRPr="00000000" w14:paraId="00000017">
            <w:pPr>
              <w:jc w:val="both"/>
              <w:rPr>
                <w:rFonts w:ascii="Georgia" w:cs="Georgia" w:eastAsia="Georgia" w:hAnsi="Georgia"/>
              </w:rPr>
            </w:pPr>
            <w:r w:rsidDel="00000000" w:rsidR="00000000" w:rsidRPr="00000000">
              <w:rPr>
                <w:rFonts w:ascii="Georgia" w:cs="Georgia" w:eastAsia="Georgia" w:hAnsi="Georgia"/>
                <w:rtl w:val="0"/>
              </w:rPr>
              <w:t xml:space="preserve">Se adreseaza operatorilor de flote de vehicule electrice care indeplinesc cumulativ urmatoarele trei criterii:</w:t>
            </w:r>
          </w:p>
          <w:p w:rsidR="00000000" w:rsidDel="00000000" w:rsidP="00000000" w:rsidRDefault="00000000" w:rsidRPr="00000000" w14:paraId="00000018">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Flota include minim 10 vehicule 100% electrice, inregistrate oficial;</w:t>
            </w:r>
          </w:p>
          <w:p w:rsidR="00000000" w:rsidDel="00000000" w:rsidP="00000000" w:rsidRDefault="00000000" w:rsidRPr="00000000" w14:paraId="00000019">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Dispun de cel putin o statie de incarcare rapida proprie sau in parteneriat cu retele recunoscute;</w:t>
            </w:r>
          </w:p>
          <w:p w:rsidR="00000000" w:rsidDel="00000000" w:rsidP="00000000" w:rsidRDefault="00000000" w:rsidRPr="00000000" w14:paraId="0000001A">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Conform rapoartelor de consum si telemetrie, cel putin 60% din totalul calatoriilor se realizeaza in modul eco sau cu regenerare de energie.</w:t>
            </w:r>
          </w:p>
          <w:p w:rsidR="00000000" w:rsidDel="00000000" w:rsidP="00000000" w:rsidRDefault="00000000" w:rsidRPr="00000000" w14:paraId="0000001B">
            <w:pPr>
              <w:jc w:val="both"/>
              <w:rPr>
                <w:rFonts w:ascii="Georgia" w:cs="Georgia" w:eastAsia="Georgia" w:hAnsi="Georgia"/>
              </w:rPr>
            </w:pPr>
            <w:r w:rsidDel="00000000" w:rsidR="00000000" w:rsidRPr="00000000">
              <w:rPr>
                <w:rFonts w:ascii="Georgia" w:cs="Georgia" w:eastAsia="Georgia" w:hAnsi="Georgia"/>
                <w:rtl w:val="0"/>
              </w:rPr>
              <w:t xml:space="preserve">Nota: Operatorii care indeplinesc criteriile de mai sus au acces la modul Avansat de telemetrie concomitent cu restrictionarea accesului la modul Standard de monitorizare. Pentru restul operatorilor se va mentine exclusiv accesul la modul Standard.</w:t>
            </w:r>
          </w:p>
          <w:p w:rsidR="00000000" w:rsidDel="00000000" w:rsidP="00000000" w:rsidRDefault="00000000" w:rsidRPr="00000000" w14:paraId="0000001C">
            <w:pPr>
              <w:jc w:val="both"/>
              <w:rPr>
                <w:rFonts w:ascii="Georgia" w:cs="Georgia" w:eastAsia="Georgia" w:hAnsi="Georgia"/>
              </w:rPr>
            </w:pPr>
            <w:r w:rsidDel="00000000" w:rsidR="00000000" w:rsidRPr="00000000">
              <w:rPr>
                <w:rFonts w:ascii="Georgia" w:cs="Georgia" w:eastAsia="Georgia" w:hAnsi="Georgia"/>
                <w:rtl w:val="0"/>
              </w:rPr>
              <w:t xml:space="preserve">Aceasta platforma este conceputa pentru a fi utilizata pentru urmatoarele operatiuni:</w:t>
              <w:br w:type="textWrapping"/>
              <w:t xml:space="preserve">• Monitorizarea in timp real a nivelului de incarcare, traseelor si statului tehnic al vehiculelor;</w:t>
              <w:br w:type="textWrapping"/>
              <w:t xml:space="preserve">• Optimizarea rutelor pe baza datelor de trafic, profilului de consum si altor parametri operationali;</w:t>
              <w:br w:type="textWrapping"/>
              <w:t xml:space="preserve">• Generarea de rapoarte personalizate privind eficienta energetica, costurile de exploatare si emisiile evitate;</w:t>
              <w:br w:type="textWrapping"/>
              <w:t xml:space="preserve">• Setarea si primirea alertelor predictive pentru intretinere preventiva, degradarea bateriilor si interventii urgente;</w:t>
              <w:br w:type="textWrapping"/>
              <w:t xml:space="preserve">• Sincronizarea automata cu sisteme de facturare, gestiune contabila si ERP.</w:t>
            </w:r>
          </w:p>
          <w:p w:rsidR="00000000" w:rsidDel="00000000" w:rsidP="00000000" w:rsidRDefault="00000000" w:rsidRPr="00000000" w14:paraId="0000001D">
            <w:pPr>
              <w:jc w:val="both"/>
              <w:rPr>
                <w:rFonts w:ascii="Georgia" w:cs="Georgia" w:eastAsia="Georgia" w:hAnsi="Georgia"/>
              </w:rPr>
            </w:pPr>
            <w:r w:rsidDel="00000000" w:rsidR="00000000" w:rsidRPr="00000000">
              <w:rPr>
                <w:rFonts w:ascii="Georgia" w:cs="Georgia" w:eastAsia="Georgia" w:hAnsi="Georgia"/>
                <w:rtl w:val="0"/>
              </w:rPr>
              <w:t xml:space="preserve">Modul Avansat de telemetrie NU este disponibil pentru operatorii care:</w:t>
              <w:br w:type="textWrapping"/>
              <w:t xml:space="preserve">• Detin flote hibride care includ si vehicule cu combustibil fosil;</w:t>
              <w:br w:type="textWrapping"/>
              <w:t xml:space="preserve">• Nu au niciun punct de incarcare validat conform standardelor europene;</w:t>
              <w:br w:type="textWrapping"/>
              <w:t xml:space="preserve">• Au sub 5 vehicule electrice inregistrate in registrul national;</w:t>
              <w:br w:type="textWrapping"/>
              <w:t xml:space="preserve">• Nu au semnat acordul de integrare a datelor cu platforma;</w:t>
              <w:br w:type="textWrapping"/>
              <w:t xml:space="preserve">• Se afla in procedura de insolventa sau reorganizare judiciara.</w:t>
            </w:r>
          </w:p>
        </w:tc>
      </w:tr>
      <w:tr>
        <w:trPr>
          <w:cantSplit w:val="0"/>
          <w:tblHeader w:val="0"/>
        </w:trPr>
        <w:tc>
          <w:tcPr/>
          <w:p w:rsidR="00000000" w:rsidDel="00000000" w:rsidP="00000000" w:rsidRDefault="00000000" w:rsidRPr="00000000" w14:paraId="0000001E">
            <w:pPr>
              <w:jc w:val="both"/>
              <w:rPr>
                <w:rFonts w:ascii="Georgia" w:cs="Georgia" w:eastAsia="Georgia" w:hAnsi="Georgia"/>
              </w:rPr>
            </w:pPr>
            <w:r w:rsidDel="00000000" w:rsidR="00000000" w:rsidRPr="00000000">
              <w:rPr>
                <w:rFonts w:ascii="Georgia" w:cs="Georgia" w:eastAsia="Georgia" w:hAnsi="Georgia"/>
                <w:rtl w:val="0"/>
              </w:rPr>
              <w:t xml:space="preserve">sdvs</w:t>
            </w:r>
          </w:p>
          <w:sdt>
            <w:sdtPr>
              <w:lock w:val="contentLocked"/>
              <w:tag w:val="goog_rdk_0"/>
            </w:sdtPr>
            <w:sdtContent>
              <w:tbl>
                <w:tblPr>
                  <w:tblStyle w:val="Table3"/>
                  <w:tblW w:w="4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5"/>
                  <w:gridCol w:w="2087.5"/>
                  <w:tblGridChange w:id="0">
                    <w:tblGrid>
                      <w:gridCol w:w="2087.5"/>
                      <w:gridCol w:w="20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Nested table</w:t>
                      </w:r>
                    </w:p>
                  </w:tc>
                </w:tr>
              </w:tbl>
            </w:sdtContent>
          </w:sdt>
          <w:p w:rsidR="00000000" w:rsidDel="00000000" w:rsidP="00000000" w:rsidRDefault="00000000" w:rsidRPr="00000000" w14:paraId="00000027">
            <w:pPr>
              <w:jc w:val="both"/>
              <w:rPr>
                <w:rFonts w:ascii="Georgia" w:cs="Georgia" w:eastAsia="Georgia" w:hAnsi="Georgia"/>
              </w:rPr>
            </w:pPr>
            <w:r w:rsidDel="00000000" w:rsidR="00000000" w:rsidRPr="00000000">
              <w:rPr>
                <w:rFonts w:ascii="Georgia" w:cs="Georgia" w:eastAsia="Georgia" w:hAnsi="Georgia"/>
                <w:rtl w:val="0"/>
              </w:rPr>
              <w:t xml:space="preserve">sdvs</w:t>
            </w:r>
          </w:p>
        </w:tc>
        <w:tc>
          <w:tcPr/>
          <w:p w:rsidR="00000000" w:rsidDel="00000000" w:rsidP="00000000" w:rsidRDefault="00000000" w:rsidRPr="00000000" w14:paraId="00000028">
            <w:pPr>
              <w:jc w:val="both"/>
              <w:rPr>
                <w:rFonts w:ascii="Georgia" w:cs="Georgia" w:eastAsia="Georgia" w:hAnsi="Georgia"/>
              </w:rPr>
            </w:pPr>
            <w:r w:rsidDel="00000000" w:rsidR="00000000" w:rsidRPr="00000000">
              <w:rPr>
                <w:rtl w:val="0"/>
              </w:rPr>
            </w:r>
          </w:p>
        </w:tc>
      </w:tr>
    </w:tbl>
    <w:p w:rsidR="00000000" w:rsidDel="00000000" w:rsidP="00000000" w:rsidRDefault="00000000" w:rsidRPr="00000000" w14:paraId="00000029">
      <w:pPr>
        <w:spacing w:before="100" w:lineRule="auto"/>
        <w:rPr>
          <w:rFonts w:ascii="Georgia" w:cs="Georgia" w:eastAsia="Georgia" w:hAnsi="Georgia"/>
        </w:rPr>
      </w:pPr>
      <w:r w:rsidDel="00000000" w:rsidR="00000000" w:rsidRPr="00000000">
        <w:rPr>
          <w:rFonts w:ascii="Times" w:cs="Times" w:eastAsia="Times" w:hAnsi="Times"/>
          <w:sz w:val="27"/>
          <w:szCs w:val="27"/>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sdt>
      <w:sdtPr>
        <w:lock w:val="contentLocked"/>
        <w:tag w:val="goog_rdk_1"/>
      </w:sdtPr>
      <w:sdtContent>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in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Table in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Table in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Table in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Table in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Table in list</w:t>
                </w:r>
              </w:p>
            </w:tc>
          </w:tr>
        </w:tbl>
      </w:sdtContent>
    </w:sd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ymcFJz4bMRCRcXWQAi0yxjOFQ==">CgMxLjAaHgoBMBIZChcICVITChF0YWJsZS50anJwc2Zld3FkMRofCgExEhoKGAgJUhQKEnRhYmxlLmgyNDJjcDZiMXN6czIOaC5ubHZqeW9mc3lkZDE4AHIhMWJPZGlLaE9YcDhFTTZZbjB2X2hLSGVNaFlIS0d0NlJO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