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30"/>
          <w:szCs w:val="30"/>
        </w:rPr>
        <w:t xml:space="preserve">ТЕХНИЧЕСКОЕ ЗАДАНИЕ</w:t>
      </w:r>
    </w:p>
    <w:p>
      <w:pPr>
        <w:spacing w:after="20"/>
      </w:pPr>
      <w:r>
        <w:rPr>
          <w:color w:val="5B6169"/>
          <w:sz w:val="24"/>
          <w:szCs w:val="24"/>
        </w:rPr>
        <w:t xml:space="preserve">на разработку дашборда цифрового энергетического двойника</w:t>
      </w:r>
    </w:p>
    <w:p>
      <w:pPr>
        <w:spacing w:after="240"/>
      </w:pPr>
      <w:r>
        <w:rPr>
          <w:color w:val="5B6169"/>
          <w:sz w:val="24"/>
          <w:szCs w:val="24"/>
        </w:rPr>
        <w:t xml:space="preserve">Заказчик: «Перекрёсток» · Пилотная группа объектов</w:t>
      </w:r>
    </w:p>
    <w:p>
      <w:pPr>
        <w:spacing w:after="40"/>
      </w:pPr>
      <w:r>
        <w:rPr>
          <w:b/>
          <w:bCs/>
          <w:color w:val="5B6169"/>
          <w:sz w:val="20"/>
          <w:szCs w:val="20"/>
        </w:rPr>
        <w:t xml:space="preserve">Версия документа:  </w:t>
      </w:r>
      <w:r>
        <w:rPr>
          <w:color w:val="5B6169"/>
          <w:sz w:val="20"/>
          <w:szCs w:val="20"/>
        </w:rPr>
        <w:t xml:space="preserve">1.0 (черновик для внутренней проработки)</w:t>
      </w:r>
    </w:p>
    <w:p>
      <w:pPr>
        <w:spacing w:after="40"/>
      </w:pPr>
      <w:r>
        <w:rPr>
          <w:b/>
          <w:bCs/>
          <w:color w:val="5B6169"/>
          <w:sz w:val="20"/>
          <w:szCs w:val="20"/>
        </w:rPr>
        <w:t xml:space="preserve">Дата:  </w:t>
      </w:r>
      <w:r>
        <w:rPr>
          <w:color w:val="5B6169"/>
          <w:sz w:val="20"/>
          <w:szCs w:val="20"/>
        </w:rPr>
        <w:t xml:space="preserve">14 июля 2026</w:t>
      </w:r>
    </w:p>
    <w:p>
      <w:pPr>
        <w:spacing w:after="40"/>
      </w:pPr>
      <w:r>
        <w:rPr>
          <w:b/>
          <w:bCs/>
          <w:color w:val="5B6169"/>
          <w:sz w:val="20"/>
          <w:szCs w:val="20"/>
        </w:rPr>
        <w:t xml:space="preserve">Основание:  </w:t>
      </w:r>
      <w:r>
        <w:rPr>
          <w:color w:val="5B6169"/>
          <w:sz w:val="20"/>
          <w:szCs w:val="20"/>
        </w:rPr>
        <w:t xml:space="preserve">внутренняя встреча по стратегии дашборда, 14.07.2026</w:t>
      </w:r>
    </w:p>
    <w:p>
      <w:pPr>
        <w:spacing w:after="40"/>
      </w:pPr>
      <w:r>
        <w:rPr>
          <w:b/>
          <w:bCs/>
          <w:color w:val="5B6169"/>
          <w:sz w:val="20"/>
          <w:szCs w:val="20"/>
        </w:rPr>
        <w:t xml:space="preserve">Статус:  </w:t>
      </w:r>
      <w:r>
        <w:rPr>
          <w:color w:val="5B6169"/>
          <w:sz w:val="20"/>
          <w:szCs w:val="20"/>
        </w:rPr>
        <w:t xml:space="preserve">требует уточнения открытых вопросов с заказчиком (см. раздел 10)</w:t>
      </w:r>
    </w:p>
    <w:p>
      <w:pPr>
        <w:pStyle w:val="Heading1"/>
        <w:spacing w:after="140" w:before="320"/>
      </w:pPr>
      <w:r>
        <w:t xml:space="preserve">1. Назначение документа</w:t>
      </w:r>
    </w:p>
    <w:p>
      <w:pPr>
        <w:spacing w:after="120"/>
      </w:pPr>
      <w:r>
        <w:t xml:space="preserve">Документ определяет функциональные и нефункциональные требования к дашборду цифрового энергетического двойника для пилотной группы магазинов «Перекрёсток». Дашборд предназначен для демонстрации заказчику на встрече после 20.07.2026 и последующей разработки боевой версии.</w:t>
      </w:r>
    </w:p>
    <w:p>
      <w:pPr>
        <w:pStyle w:val="Heading1"/>
        <w:spacing w:after="140" w:before="320"/>
      </w:pPr>
      <w:r>
        <w:t xml:space="preserve">2. Цель разработки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Визуализировать план-факт энергопотребления по объектам сети с выделением перерасхода.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Связать инженерные данные объектов с финансовыми показателями, понятными управленцу.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Дать каждому объекту эталонную базу для сравнения «сам с собой» на основе цифрового двойника — прямое сравнение объектов между собой не предусмотрено, так как магазины сети не типовые.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Обеспечить разный уровень детализации для разных ролей пользователей без создания отдельных продуктов под каждую роль.</w:t>
      </w:r>
    </w:p>
    <w:p>
      <w:pPr>
        <w:pStyle w:val="Heading1"/>
        <w:spacing w:after="140" w:before="320"/>
      </w:pPr>
      <w:r>
        <w:t xml:space="preserve">3. Целевая аудитория и ролевая модель</w:t>
      </w:r>
    </w:p>
    <w:p>
      <w:pPr>
        <w:spacing w:after="120"/>
      </w:pPr>
      <w:r>
        <w:t xml:space="preserve">Дашборд строится по принципу drill-down: единая структура данных, три уровня раскрытия детализации.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200"/>
      </w:tblGrid>
      <w:tr>
        <w:tc>
          <w:tcPr>
            <w:tcW w:type="dxa" w:w="1500"/>
            <w:shd w:fill="EEF1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800"/>
            <w:shd w:fill="EEF1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 пользователя</w:t>
            </w:r>
          </w:p>
        </w:tc>
        <w:tc>
          <w:tcPr>
            <w:tcW w:type="dxa" w:w="5200"/>
            <w:shd w:fill="EEF1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Критерий принятия решений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Топ-менеджмент (региональный / центральный офис)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Деньги: где объект превышает план по затратам и на сколько.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Операционный / региональный менеджмент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Динамика по конкретному объекту, сравнение с собственным планом во времени.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Локальный инженер объекта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Графики и данные по часам и по отдельным потребителям энергии для операционных решений.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t xml:space="preserve">4. Функциональные требования</w:t>
      </w:r>
    </w:p>
    <w:p>
      <w:pPr>
        <w:pStyle w:val="Heading2"/>
        <w:spacing w:after="90" w:before="200"/>
      </w:pPr>
      <w:r>
        <w:t xml:space="preserve">4.1. Уровень 1 — главная страница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Список / карта объектов пилотной группы (30 магазинов) с агрегированным показателем план-факт по каждому.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Визуальное выделение красным цветом объектов, где факт превышает план по расходу ресурсов.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Переключатель единицы измерения: кВт·ч / рубли, по умолчанию — рубли.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Клик по объекту открывает уровень 2 для этого объекта.</w:t>
      </w:r>
    </w:p>
    <w:p>
      <w:pPr>
        <w:pStyle w:val="Heading2"/>
        <w:spacing w:after="90" w:before="200"/>
      </w:pPr>
      <w:r>
        <w:t xml:space="preserve">4.2. Уровень 2 — дашборд объекта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Детализация потребления по объекту: график факт против эталона двойника во времени.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Визуальный стиль — на основе референс-проекта «Искропарк» (переиспользование стилевых решений допустимо, точное копирование не обязательно).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Без вывода сверхконкретных данных по отдельным потребителям энергии на этом уровне.</w:t>
      </w:r>
    </w:p>
    <w:p>
      <w:pPr>
        <w:pStyle w:val="Heading2"/>
        <w:spacing w:after="90" w:before="200"/>
      </w:pPr>
      <w:r>
        <w:t xml:space="preserve">4.3. Уровень 3 — инженер объекта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Максимальная детализация: потребление по часам, по отдельным потребителям / зонам объекта.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Приоритет разработки — ниже уровней 1–2; может быть реализован на следующем этапе после демонстрации заказчику.</w:t>
      </w:r>
    </w:p>
    <w:p>
      <w:pPr>
        <w:pStyle w:val="Heading2"/>
        <w:spacing w:after="90" w:before="200"/>
      </w:pPr>
      <w:r>
        <w:t xml:space="preserve">4.4. Вне рамок текущей версии (MVP)</w:t>
      </w:r>
    </w:p>
    <w:p>
      <w:pPr>
        <w:spacing w:after="120"/>
      </w:pPr>
      <w:r>
        <w:t xml:space="preserve">Сознательно не включается в интерфейс на этом этапе: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Сценарии «что если» по модернизации оборудования и расчёт окупаемости инвестиций — обсуждаются с заказчиком устно, в интерфейс не выводятся.</w:t>
      </w:r>
    </w:p>
    <w:p>
      <w:pPr>
        <w:pStyle w:val="Heading1"/>
        <w:spacing w:after="140" w:before="320"/>
      </w:pPr>
      <w:r>
        <w:t xml:space="preserve">5. Требования к данным</w:t>
      </w:r>
    </w:p>
    <w:p>
      <w:pPr>
        <w:pStyle w:val="Heading2"/>
        <w:spacing w:after="90" w:before="200"/>
      </w:pPr>
      <w:r>
        <w:t xml:space="preserve">5.1. Источники данных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Источник 1 — фактические показания от подрядчика заказчика (FreeTech / «умный магазин»). Периодичность выгрузки требует уточнения у подрядчика (ежечасно / ежедневно) — см. открытые вопросы.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Источник 2 — эталонные данные цифрового энергетического двойника, рассчитанные индивидуально для каждого здания с учётом погодных условий. Периодичность выгрузки — 30 минут.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Необходимо свести (интегрировать) оба источника в единую модель данных для сопоставления факт/эталон в дашборде.</w:t>
      </w:r>
    </w:p>
    <w:p>
      <w:pPr>
        <w:pStyle w:val="Heading2"/>
        <w:spacing w:after="90" w:before="200"/>
      </w:pPr>
      <w:r>
        <w:t xml:space="preserve">5.2. Гранулярность и охват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Целевая периодичность обновления данных — 30 минут; ручное ежемесячное снятие показаний как источник для дашборда не рассматривается.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Пилотный охват — 30 объектов (допустимый диапазон 10–30); архитектура должна закладывать возможность масштабирования до 100+ объектов без пересмотра модели данных.</w:t>
      </w:r>
    </w:p>
    <w:p>
      <w:pPr>
        <w:pStyle w:val="Heading1"/>
        <w:spacing w:after="140" w:before="320"/>
      </w:pPr>
      <w:r>
        <w:t xml:space="preserve">6. Нефункциональные требования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Для пилота на 30 объектах допустимо размещение дашборда на существующих (в том числе бесплатных) BI-платформах.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Для масштабирования свыше 30 объектов требуется выделенная серверная инфраструктура; вариант размещения (на стороне заказчика, распределённо по нескольким городам/локациям для независимости от интернет-соединения) требует отдельного архитектурного решения — не финализировано.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Интерфейс — светлая тема (по итогам пользовательского тестирования тёмная тема отклонена).</w:t>
      </w:r>
    </w:p>
    <w:p>
      <w:pPr>
        <w:pStyle w:val="Heading1"/>
        <w:spacing w:after="140" w:before="320"/>
      </w:pPr>
      <w:r>
        <w:t xml:space="preserve">7. Требования к UI/UX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Перерасход относительно плана — визуально акцентирован красным цветом; это ключевой сигнал первого экрана.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Переключатель метрики кВт·ч / ₽ должен быть на всех уровнях, где отображается потребление, с рублями как основной, более понятной управленцу единицей.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Стилистика — соответствует уровню референс-проекта «Искропарк»; целевое восприятие — «дорого и качественно», подтверждено предыдущим пользовательским тестированием.</w:t>
      </w:r>
    </w:p>
    <w:p>
      <w:pPr>
        <w:pStyle w:val="Heading1"/>
        <w:spacing w:after="140" w:before="320"/>
      </w:pPr>
      <w:r>
        <w:t xml:space="preserve">8. Этапы и результаты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EEF1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500"/>
            <w:shd w:fill="EEF1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Демонстрационная версия дашборда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Тестовая версия для показа на внутренней встрече, на основе демо-данных.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Материалы «инженерный потенциал»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 слайда с находками по объектам в позитивной рамке «потенциал», не входят в сам дашборд, но сопровождают демонстрацию.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Показ заказчику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Встреча после 20.07.2026.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t xml:space="preserve">9. Критерии приёмки демонстрационной версии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Уровень 1 наглядно показывает, какие из 30 объектов превышают план (красная индикация) без необходимости открывать каждый объект отдельно.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Уровень 2 открывается по клику и визуально соответствует согласованному стилю.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Переключатель кВт·ч / ₽ работает на обоих реализованных уровнях.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интерфейсе отсутствуют сценарии модернизации / расчёта окупаемости — они не должны присутствовать в текущей версии.</w:t>
      </w:r>
    </w:p>
    <w:p>
      <w:pPr>
        <w:pStyle w:val="Heading1"/>
        <w:spacing w:after="140" w:before="320"/>
      </w:pPr>
      <w:r>
        <w:t xml:space="preserve">10. Открытые вопросы, требующие уточнения до финализации ТЗ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Периодичность фактической выгрузки данных от FreeTech — сырые данные или предобработанные, ежечасно или ежедневно.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Итоговое архитектурное решение по размещению серверной инфраструктуры при масштабировании.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Необходимость реализации уровня 3 (инженер объекта) уже к демонстрации заказчику после 20.07 или на следующем этапе.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Итоговая коммерческая модель и её влияние на состав пилотной версии (обсуждался диапазон 10–30 объектов).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2026-07-14T15:30:52.721Z</dcterms:created>
  <dcterms:modified xsi:type="dcterms:W3CDTF">2026-07-14T15:30:52.721Z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