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>Heading 1 — Page Title</w:t>
      </w:r>
    </w:p>
    <w:p>
      <w:pPr>
        <w:pStyle w:val="BodyText"/>
      </w:pPr>
      <w:r>
        <w:t xml:space="preserve">This is a Body Text paragraph. It uses Calibri 11pt with comfortable line spacing. Use inline code like </w:t>
      </w:r>
      <w:r>
        <w:rPr>
          <w:rStyle w:val="VerbatimChar"/>
        </w:rPr>
        <w:t>GET /api/v1/users</w:t>
      </w:r>
      <w:r>
        <w:t xml:space="preserve"> or </w:t>
      </w:r>
      <w:r>
        <w:rPr>
          <w:rStyle w:val="VerbatimChar"/>
        </w:rPr>
        <w:t>Authorization: Bearer &lt;token&gt;</w:t>
      </w:r>
      <w:r>
        <w:t xml:space="preserve"> within a sentence. Visit the </w:t>
      </w:r>
      <w:hyperlink r:id="rId31" w:history="1">
        <w:r>
          <w:rPr>
            <w:rStyle w:val="Hyperlink"/>
          </w:rPr>
          <w:t>official API documentation</w:t>
        </w:r>
      </w:hyperlink>
      <w:r>
        <w:t xml:space="preserve"> for more details.</w:t>
      </w:r>
    </w:p>
    <w:p>
      <w:pPr>
        <w:pStyle w:val="Heading2"/>
      </w:pPr>
      <w:r>
        <w:t>Heading 2 — Section Title</w:t>
      </w:r>
    </w:p>
    <w:p>
      <w:pPr>
        <w:pStyle w:val="BodyText"/>
      </w:pPr>
      <w:r>
        <w:t>Body text continues here under a Heading 2. Paragraphs following headings use the BodyText style automatically.</w:t>
      </w:r>
    </w:p>
    <w:p>
      <w:pPr>
        <w:pStyle w:val="Heading3"/>
      </w:pPr>
      <w:r>
        <w:t>Heading 3 — Subsection</w:t>
      </w:r>
    </w:p>
    <w:p>
      <w:pPr>
        <w:pStyle w:val="BlockText"/>
      </w:pPr>
      <w:r>
        <w:rPr>
          <w:b/>
        </w:rPr>
        <w:t xml:space="preserve">NOTE: </w:t>
      </w:r>
      <w:r>
        <w:t>This is a blockquote (Block Text style). Use it for callouts, notes, and warnings. Rendered with a green left border and light green background.</w:t>
      </w:r>
    </w:p>
    <w:p>
      <w:pPr>
        <w:pStyle w:val="SourceCode"/>
      </w:pPr>
      <w:r>
        <w:rPr>
          <w:color w:val="A8CC6A"/>
        </w:rPr>
        <w:t>// Source Code block — fenced code in markdown (```...```)</w:t>
      </w:r>
    </w:p>
    <w:p>
      <w:pPr>
        <w:pStyle w:val="SourceCode"/>
      </w:pPr>
      <w:r>
        <w:t>const response = await fetch('/api/v1/users', {</w:t>
      </w:r>
    </w:p>
    <w:p>
      <w:pPr>
        <w:pStyle w:val="SourceCode"/>
      </w:pPr>
      <w:r>
        <w:t xml:space="preserve">  method: 'GET',</w:t>
      </w:r>
    </w:p>
    <w:p>
      <w:pPr>
        <w:pStyle w:val="SourceCode"/>
      </w:pPr>
      <w:r>
        <w:t xml:space="preserve">  headers: { 'Authorization': 'Bearer &lt;token&gt;' }</w:t>
      </w:r>
    </w:p>
    <w:p>
      <w:pPr>
        <w:pStyle w:val="SourceCode"/>
      </w:pPr>
      <w:r>
        <w:t>});</w:t>
      </w:r>
    </w:p>
    <w:sect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20" w:after="160" w:line="320" w:lineRule="auto"/>
    </w:pPr>
    <w:rPr>
      <w:rFonts w:ascii="Calibri" w:hAnsi="Calibri" w:cs="Calibri"/>
      <w:color w:val="333333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6BBF00"/>
      </w:pBdr>
      <w:spacing w:before="360" w:after="160"/>
      <w:outlineLvl w:val="0"/>
    </w:pPr>
    <w:rPr>
      <w:rFonts w:ascii="Calibri Light" w:hAnsi="Calibri Light" w:cs="Calibri Light"/>
      <w:b/>
      <w:bCs/>
      <w:color w:val="6BBF00"/>
      <w:sz w:val="36"/>
      <w:szCs w:val="3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480" w:after="120"/>
      <w:outlineLvl w:val="1"/>
    </w:pPr>
    <w:rPr>
      <w:rFonts w:ascii="Calibri Light" w:hAnsi="Calibri Light" w:cs="Calibri Light"/>
      <w:b/>
      <w:bCs/>
      <w:color w:val="6BBF00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360" w:after="80"/>
      <w:outlineLvl w:val="2"/>
    </w:pPr>
    <w:rPr>
      <w:rFonts w:ascii="Calibri Light" w:hAnsi="Calibri Light" w:cs="Calibri Light"/>
      <w:b/>
      <w:bCs/>
      <w:color w:val="3333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32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8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SourceCode"/>
    <w:uiPriority w:val="9"/>
    <w:qFormat/>
    <w:pPr>
      <w:keepNext/>
      <w:spacing w:before="200" w:after="0" w:line="240" w:lineRule="auto"/>
      <w:outlineLvl w:val="5"/>
    </w:pPr>
    <w:pPr>
      <w:spacing w:before="200" w:after="0" w:line="240" w:lineRule="auto"/>
    </w:pPr>
    <w:rPr>
      <w:rFonts w:ascii="Calibri" w:hAnsi="Calibri" w:cs="Calibri"/>
      <w:i/>
      <w:iCs/>
      <w:color w:val="6BBF00"/>
      <w:sz w:val="18"/>
      <w:szCs w:val="1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qFormat/>
    <w:pPr>
      <w:pBdr>
        <w:left w:val="single" w:sz="18" w:space="12" w:color="6BBF00"/>
      </w:pBdr>
      <w:ind w:left="240" w:right="240"/>
      <w:shd w:val="clear" w:color="auto" w:fill="F0F7E0"/>
      <w:spacing w:before="160" w:after="160" w:line="320" w:lineRule="auto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W w:w="5000" w:type="pct"/>
      <w:tblLook w:firstRow="1" w:lastRow="0" w:firstColumn="0" w:lastColumn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80" w:type="dxa"/>
        <w:left w:w="80" w:type="dxa"/>
        <w:bottom w:w="80" w:type="dxa"/>
        <w:right w:w="80" w:type="dxa"/>
      </w:tblCellMar>
    </w:tblPr>
    <w:tblStylePr w:type="firstRow"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cBorders>
        <w:shd w:val="clear" w:color="auto" w:fill="6BBF00"/>
      </w:tcPr>
      <w:rPr>
        <w:b/>
        <w:bCs/>
        <w:color w:val="FFFFFF"/>
      </w:rPr>
    </w:tblStylePr>
    <w:tblStylePr w:type="band1Row">
      <w:tcPr>
        <w:shd w:val="clear" w:color="auto" w:fill="EEF7DC"/>
      </w:tcPr>
    </w:tblStylePr>
    <w:tblStylePr w:type="band2Row">
      <w:tcPr>
        <w:shd w:val="clear" w:color="auto" w:fill="FFFFFF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color w:val="333333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6BBF00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next w:val="SourceCode"/>
    <w:qFormat/>
    <w:pPr>
      <w:pBdr>
        <w:top w:val="single" w:sz="4" w:space="4" w:color="C5E08A"/>
        <w:bottom w:val="single" w:sz="4" w:space="4" w:color="C5E08A"/>
      </w:pBdr>
      <w:shd w:val="clear" w:color="auto" w:fill="auto"/>
      <w:spacing w:before="200" w:after="200" w:line="320" w:lineRule="auto"/>
    </w:pPr>
    <w:rPr>
      <w:rFonts w:ascii="Courier New" w:hAnsi="Courier New" w:cs="Courier New"/>
      <w:color w:val="333333"/>
      <w:sz w:val="22"/>
      <w:szCs w:val="22"/>
    </w:rPr>
  </w:style>
  <w:style w:type="character" w:customStyle="1" w:styleId="CommentTok">
    <w:name w:val="CommentTok"/>
    <w:basedOn w:val="VerbatimChar"/>
    <w:rPr>
      <w:color w:val="6BBF00"/>
    </w:rPr>
  </w:style>
  <w:style w:type="character" w:customStyle="1" w:styleId="KeywordTok">
    <w:name w:val="KeywordTok"/>
    <w:basedOn w:val="VerbatimChar"/>
    <w:rPr>
      <w:color w:val="333333"/>
    </w:rPr>
  </w:style>
  <w:style w:type="character" w:customStyle="1" w:styleId="NormalTok">
    <w:name w:val="NormalTok"/>
    <w:basedOn w:val="VerbatimChar"/>
    <w:rPr>
      <w:color w:val="333333"/>
    </w:rPr>
  </w:style>
  <w:style w:type="character" w:customStyle="1" w:styleId="OperatorTok">
    <w:name w:val="OperatorTok"/>
    <w:basedOn w:val="VerbatimChar"/>
    <w:rPr>
      <w:color w:val="333333"/>
    </w:rPr>
  </w:style>
  <w:style w:type="character" w:customStyle="1" w:styleId="DecValTok">
    <w:name w:val="DecValTok"/>
    <w:basedOn w:val="VerbatimChar"/>
    <w:rPr>
      <w:color w:val="333333"/>
    </w:rPr>
  </w:style>
  <w:style w:type="character" w:customStyle="1" w:styleId="StringTok">
    <w:name w:val="StringTok"/>
    <w:basedOn w:val="VerbatimChar"/>
    <w:rPr>
      <w:color w:val="333333"/>
    </w:rPr>
  </w:style>
  <w:style w:type="character" w:customStyle="1" w:styleId="FunctionTok">
    <w:name w:val="FunctionTok"/>
    <w:basedOn w:val="VerbatimChar"/>
    <w:rPr>
      <w:color w:val="333333"/>
    </w:rPr>
  </w:style>
  <w:style w:type="character" w:customStyle="1" w:styleId="OtherTok">
    <w:name w:val="OtherTok"/>
    <w:basedOn w:val="VerbatimChar"/>
    <w:rPr>
      <w:color w:val="333333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Type="http://schemas.openxmlformats.org/officeDocument/2006/relationships/hyperlink" Id="rId31" Target="https://docs.example.com/api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